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EC1F98">
      <w:pPr>
        <w:pStyle w:val="NoSpacing"/>
        <w:jc w:val="center"/>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8C2611" w:rsidRDefault="008279FE" w:rsidP="00EC1F98">
      <w:pPr>
        <w:pStyle w:val="NoSpacing"/>
        <w:rPr>
          <w:rFonts w:ascii="Times New Roman" w:eastAsia="Calibri" w:hAnsi="Times New Roman" w:cs="Times New Roman"/>
          <w:sz w:val="24"/>
          <w:szCs w:val="24"/>
        </w:rPr>
      </w:pPr>
      <w:r w:rsidRPr="008C2611">
        <w:rPr>
          <w:rFonts w:ascii="Times New Roman" w:eastAsia="Calibri" w:hAnsi="Times New Roman" w:cs="Times New Roman"/>
          <w:sz w:val="24"/>
          <w:szCs w:val="24"/>
        </w:rPr>
        <w:t>January 1</w:t>
      </w:r>
      <w:r w:rsidR="000779A4">
        <w:rPr>
          <w:rFonts w:ascii="Times New Roman" w:eastAsia="Calibri" w:hAnsi="Times New Roman" w:cs="Times New Roman"/>
          <w:sz w:val="24"/>
          <w:szCs w:val="24"/>
        </w:rPr>
        <w:t>4</w:t>
      </w:r>
      <w:r w:rsidRPr="008C2611">
        <w:rPr>
          <w:rFonts w:ascii="Times New Roman" w:eastAsia="Calibri" w:hAnsi="Times New Roman" w:cs="Times New Roman"/>
          <w:sz w:val="24"/>
          <w:szCs w:val="24"/>
        </w:rPr>
        <w:t>, 2016</w:t>
      </w:r>
    </w:p>
    <w:p w:rsidR="00EC1F98" w:rsidRPr="008C2611" w:rsidRDefault="00EC1F98" w:rsidP="00EC1F98">
      <w:pPr>
        <w:pStyle w:val="NoSpacing"/>
        <w:rPr>
          <w:rFonts w:ascii="Times New Roman" w:eastAsia="Calibri" w:hAnsi="Times New Roman" w:cs="Times New Roman"/>
          <w:sz w:val="24"/>
          <w:szCs w:val="24"/>
        </w:rPr>
      </w:pPr>
    </w:p>
    <w:p w:rsidR="00197F73" w:rsidRPr="008C2611" w:rsidRDefault="00197F73" w:rsidP="00197F73">
      <w:pPr>
        <w:pStyle w:val="NoSpacing"/>
        <w:rPr>
          <w:rFonts w:ascii="Times New Roman" w:eastAsia="Calibri" w:hAnsi="Times New Roman" w:cs="Times New Roman"/>
          <w:sz w:val="24"/>
          <w:szCs w:val="24"/>
        </w:rPr>
      </w:pPr>
      <w:r w:rsidRPr="008C2611">
        <w:rPr>
          <w:rFonts w:ascii="Times New Roman" w:eastAsia="Calibri" w:hAnsi="Times New Roman" w:cs="Times New Roman"/>
          <w:sz w:val="24"/>
          <w:szCs w:val="24"/>
        </w:rPr>
        <w:t>Christopher J. Kirkpatrick</w:t>
      </w:r>
    </w:p>
    <w:p w:rsidR="00197F73" w:rsidRPr="008C2611" w:rsidRDefault="00197F73" w:rsidP="00197F73">
      <w:pPr>
        <w:pStyle w:val="NoSpacing"/>
        <w:rPr>
          <w:rFonts w:ascii="Times New Roman" w:eastAsia="Calibri" w:hAnsi="Times New Roman" w:cs="Times New Roman"/>
          <w:sz w:val="24"/>
          <w:szCs w:val="24"/>
        </w:rPr>
      </w:pPr>
      <w:r w:rsidRPr="008C2611">
        <w:rPr>
          <w:rFonts w:ascii="Times New Roman" w:eastAsia="Calibri" w:hAnsi="Times New Roman" w:cs="Times New Roman"/>
          <w:sz w:val="24"/>
          <w:szCs w:val="24"/>
        </w:rPr>
        <w:t>Office of the Secretariat</w:t>
      </w:r>
    </w:p>
    <w:p w:rsidR="00EC1F98" w:rsidRPr="008C2611" w:rsidRDefault="00EC1F98" w:rsidP="00197F73">
      <w:pPr>
        <w:pStyle w:val="NoSpacing"/>
        <w:rPr>
          <w:rFonts w:ascii="Times New Roman" w:eastAsia="Calibri" w:hAnsi="Times New Roman" w:cs="Times New Roman"/>
          <w:sz w:val="24"/>
          <w:szCs w:val="24"/>
        </w:rPr>
      </w:pPr>
      <w:r w:rsidRPr="008C2611">
        <w:rPr>
          <w:rFonts w:ascii="Times New Roman" w:eastAsia="Calibri" w:hAnsi="Times New Roman" w:cs="Times New Roman"/>
          <w:sz w:val="24"/>
          <w:szCs w:val="24"/>
        </w:rPr>
        <w:t>Commodity Futures Trading Commission</w:t>
      </w:r>
    </w:p>
    <w:p w:rsidR="00EC1F98" w:rsidRPr="008C2611" w:rsidRDefault="00EC1F98" w:rsidP="00EC1F98">
      <w:pPr>
        <w:pStyle w:val="NoSpacing"/>
        <w:rPr>
          <w:rFonts w:ascii="Times New Roman" w:eastAsia="Calibri" w:hAnsi="Times New Roman" w:cs="Times New Roman"/>
          <w:sz w:val="24"/>
          <w:szCs w:val="24"/>
        </w:rPr>
      </w:pPr>
      <w:r w:rsidRPr="008C2611">
        <w:rPr>
          <w:rFonts w:ascii="Times New Roman" w:eastAsia="Calibri" w:hAnsi="Times New Roman" w:cs="Times New Roman"/>
          <w:sz w:val="24"/>
          <w:szCs w:val="24"/>
        </w:rPr>
        <w:t>Three Lafayette Center</w:t>
      </w:r>
    </w:p>
    <w:p w:rsidR="00EC1F98" w:rsidRPr="008C2611" w:rsidRDefault="00EC1F98" w:rsidP="00EC1F98">
      <w:pPr>
        <w:pStyle w:val="NoSpacing"/>
        <w:rPr>
          <w:rFonts w:ascii="Times New Roman" w:eastAsia="Calibri" w:hAnsi="Times New Roman" w:cs="Times New Roman"/>
          <w:sz w:val="24"/>
          <w:szCs w:val="24"/>
        </w:rPr>
      </w:pPr>
      <w:r w:rsidRPr="008C2611">
        <w:rPr>
          <w:rFonts w:ascii="Times New Roman" w:eastAsia="Calibri" w:hAnsi="Times New Roman" w:cs="Times New Roman"/>
          <w:sz w:val="24"/>
          <w:szCs w:val="24"/>
        </w:rPr>
        <w:t>1155 21</w:t>
      </w:r>
      <w:r w:rsidRPr="008C2611">
        <w:rPr>
          <w:rFonts w:ascii="Times New Roman" w:eastAsia="Calibri" w:hAnsi="Times New Roman" w:cs="Times New Roman"/>
          <w:sz w:val="24"/>
          <w:szCs w:val="24"/>
          <w:vertAlign w:val="superscript"/>
        </w:rPr>
        <w:t>st</w:t>
      </w:r>
      <w:r w:rsidRPr="008C2611">
        <w:rPr>
          <w:rFonts w:ascii="Times New Roman" w:eastAsia="Calibri" w:hAnsi="Times New Roman" w:cs="Times New Roman"/>
          <w:sz w:val="24"/>
          <w:szCs w:val="24"/>
        </w:rPr>
        <w:t xml:space="preserve"> Street, NW</w:t>
      </w:r>
    </w:p>
    <w:p w:rsidR="00EC1F98" w:rsidRPr="008C2611" w:rsidRDefault="00EC1F98" w:rsidP="00EC1F98">
      <w:pPr>
        <w:pStyle w:val="NoSpacing"/>
        <w:rPr>
          <w:rFonts w:ascii="Times New Roman" w:eastAsia="Calibri" w:hAnsi="Times New Roman" w:cs="Times New Roman"/>
          <w:sz w:val="24"/>
          <w:szCs w:val="24"/>
        </w:rPr>
      </w:pPr>
      <w:r w:rsidRPr="008C2611">
        <w:rPr>
          <w:rFonts w:ascii="Times New Roman" w:eastAsia="Calibri" w:hAnsi="Times New Roman" w:cs="Times New Roman"/>
          <w:sz w:val="24"/>
          <w:szCs w:val="24"/>
        </w:rPr>
        <w:t>Washington, DC  20581</w:t>
      </w:r>
    </w:p>
    <w:p w:rsidR="00EC1F98" w:rsidRPr="008C2611" w:rsidRDefault="00EC1F98" w:rsidP="00EC1F98">
      <w:pPr>
        <w:pStyle w:val="NoSpacing"/>
        <w:rPr>
          <w:rFonts w:ascii="Times New Roman" w:eastAsia="Times New Roman" w:hAnsi="Times New Roman" w:cs="Times New Roman"/>
          <w:sz w:val="24"/>
          <w:szCs w:val="24"/>
        </w:rPr>
      </w:pPr>
    </w:p>
    <w:p w:rsidR="00197F73" w:rsidRPr="008C2611" w:rsidRDefault="00EC1F98" w:rsidP="00197F73">
      <w:pPr>
        <w:pStyle w:val="NoSpacing"/>
        <w:ind w:left="720" w:hanging="720"/>
        <w:rPr>
          <w:rFonts w:ascii="Times New Roman" w:eastAsia="Calibri" w:hAnsi="Times New Roman" w:cs="Times New Roman"/>
          <w:b/>
          <w:sz w:val="24"/>
          <w:szCs w:val="24"/>
        </w:rPr>
      </w:pPr>
      <w:r w:rsidRPr="008C2611">
        <w:rPr>
          <w:rFonts w:ascii="Times New Roman" w:eastAsia="Calibri" w:hAnsi="Times New Roman" w:cs="Times New Roman"/>
          <w:sz w:val="24"/>
          <w:szCs w:val="24"/>
        </w:rPr>
        <w:t>Re:</w:t>
      </w:r>
      <w:r w:rsidRPr="008C2611">
        <w:rPr>
          <w:rFonts w:ascii="Times New Roman" w:eastAsia="Calibri" w:hAnsi="Times New Roman" w:cs="Times New Roman"/>
          <w:sz w:val="24"/>
          <w:szCs w:val="24"/>
        </w:rPr>
        <w:tab/>
      </w:r>
      <w:r w:rsidR="00197F73" w:rsidRPr="008C2611">
        <w:rPr>
          <w:rFonts w:ascii="Times New Roman" w:eastAsia="Calibri" w:hAnsi="Times New Roman" w:cs="Times New Roman"/>
          <w:b/>
          <w:sz w:val="24"/>
          <w:szCs w:val="24"/>
        </w:rPr>
        <w:t xml:space="preserve">Regulation §40.6 Submission Certification </w:t>
      </w:r>
    </w:p>
    <w:p w:rsidR="00EC1F98" w:rsidRPr="008C2611" w:rsidRDefault="009C04FC" w:rsidP="00197F73">
      <w:pPr>
        <w:pStyle w:val="NoSpacing"/>
        <w:ind w:left="720"/>
        <w:rPr>
          <w:rFonts w:ascii="Times New Roman" w:hAnsi="Times New Roman" w:cs="Times New Roman"/>
          <w:b/>
          <w:sz w:val="24"/>
          <w:szCs w:val="24"/>
        </w:rPr>
      </w:pPr>
      <w:r w:rsidRPr="008C2611">
        <w:rPr>
          <w:rFonts w:ascii="Times New Roman" w:eastAsia="Calibri" w:hAnsi="Times New Roman" w:cs="Times New Roman"/>
          <w:b/>
          <w:sz w:val="24"/>
          <w:szCs w:val="24"/>
        </w:rPr>
        <w:t xml:space="preserve">Market Maker Program </w:t>
      </w:r>
    </w:p>
    <w:p w:rsidR="00197F73" w:rsidRPr="00197F73" w:rsidRDefault="00197F73" w:rsidP="00197F73">
      <w:pPr>
        <w:pStyle w:val="NoSpacing"/>
        <w:ind w:left="720"/>
        <w:rPr>
          <w:rFonts w:ascii="Times New Roman" w:eastAsia="Calibri" w:hAnsi="Times New Roman" w:cs="Times New Roman"/>
          <w:b/>
          <w:sz w:val="24"/>
          <w:szCs w:val="24"/>
          <w:u w:val="single"/>
        </w:rPr>
      </w:pPr>
      <w:r w:rsidRPr="008C2611">
        <w:rPr>
          <w:rFonts w:ascii="Times New Roman" w:eastAsia="Calibri" w:hAnsi="Times New Roman" w:cs="Times New Roman"/>
          <w:b/>
          <w:sz w:val="24"/>
          <w:szCs w:val="24"/>
          <w:u w:val="single"/>
        </w:rPr>
        <w:t>Reference File: SR-NFX-20</w:t>
      </w:r>
      <w:r w:rsidR="00765E44" w:rsidRPr="008C2611">
        <w:rPr>
          <w:rFonts w:ascii="Times New Roman" w:eastAsia="Calibri" w:hAnsi="Times New Roman" w:cs="Times New Roman"/>
          <w:b/>
          <w:sz w:val="24"/>
          <w:szCs w:val="24"/>
          <w:u w:val="single"/>
        </w:rPr>
        <w:t>1</w:t>
      </w:r>
      <w:r w:rsidR="008279FE" w:rsidRPr="008C2611">
        <w:rPr>
          <w:rFonts w:ascii="Times New Roman" w:eastAsia="Calibri" w:hAnsi="Times New Roman" w:cs="Times New Roman"/>
          <w:b/>
          <w:sz w:val="24"/>
          <w:szCs w:val="24"/>
          <w:u w:val="single"/>
        </w:rPr>
        <w:t>6</w:t>
      </w:r>
      <w:r w:rsidR="00765E44" w:rsidRPr="008C2611">
        <w:rPr>
          <w:rFonts w:ascii="Times New Roman" w:eastAsia="Calibri" w:hAnsi="Times New Roman" w:cs="Times New Roman"/>
          <w:b/>
          <w:sz w:val="24"/>
          <w:szCs w:val="24"/>
          <w:u w:val="single"/>
        </w:rPr>
        <w:t>-</w:t>
      </w:r>
      <w:r w:rsidR="000779A4">
        <w:rPr>
          <w:rFonts w:ascii="Times New Roman" w:eastAsia="Calibri" w:hAnsi="Times New Roman" w:cs="Times New Roman"/>
          <w:b/>
          <w:sz w:val="24"/>
          <w:szCs w:val="24"/>
          <w:u w:val="single"/>
        </w:rPr>
        <w:t>05</w:t>
      </w:r>
    </w:p>
    <w:p w:rsidR="00EC1F98" w:rsidRPr="00425ABB" w:rsidRDefault="00EC1F98" w:rsidP="00EC1F98">
      <w:pPr>
        <w:pStyle w:val="NoSpacing"/>
        <w:ind w:left="720" w:hanging="720"/>
        <w:rPr>
          <w:rFonts w:ascii="Times New Roman" w:hAnsi="Times New Roman" w:cs="Times New Roman"/>
          <w:b/>
          <w:sz w:val="24"/>
          <w:szCs w:val="24"/>
          <w:u w:val="single"/>
        </w:rPr>
      </w:pPr>
    </w:p>
    <w:p w:rsidR="00EC1F98" w:rsidRPr="00021A62" w:rsidRDefault="00197F73" w:rsidP="00EC1F98">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Dear Mr. Kirkpatrick:</w:t>
      </w:r>
    </w:p>
    <w:p w:rsidR="00EC1F98" w:rsidRPr="00021A62" w:rsidRDefault="00EC1F98" w:rsidP="00EC1F98">
      <w:pPr>
        <w:pStyle w:val="NoSpacing"/>
        <w:rPr>
          <w:rFonts w:ascii="Times New Roman" w:eastAsia="Calibri" w:hAnsi="Times New Roman" w:cs="Times New Roman"/>
          <w:sz w:val="24"/>
          <w:szCs w:val="24"/>
        </w:rPr>
      </w:pPr>
    </w:p>
    <w:p w:rsidR="007B1144" w:rsidRDefault="00EC1F98" w:rsidP="001E69DD">
      <w:pPr>
        <w:pStyle w:val="NoSpacing"/>
        <w:ind w:firstLine="1310"/>
        <w:rPr>
          <w:rFonts w:ascii="Times New Roman" w:eastAsia="Calibri" w:hAnsi="Times New Roman" w:cs="Times New Roman"/>
          <w:sz w:val="24"/>
          <w:szCs w:val="24"/>
        </w:rPr>
      </w:pPr>
      <w:r w:rsidRPr="00021A62">
        <w:rPr>
          <w:rFonts w:ascii="Times New Roman" w:eastAsia="Calibri" w:hAnsi="Times New Roman" w:cs="Times New Roman"/>
          <w:sz w:val="24"/>
          <w:szCs w:val="24"/>
        </w:rPr>
        <w:t>Pursuant to Section 5c(c)(1) of the Commodity Exchange Act, as amended (“</w:t>
      </w:r>
      <w:r w:rsidRPr="00FC6DF1">
        <w:rPr>
          <w:rFonts w:ascii="Times New Roman" w:eastAsia="Calibri" w:hAnsi="Times New Roman" w:cs="Times New Roman"/>
          <w:sz w:val="24"/>
          <w:szCs w:val="24"/>
          <w:u w:val="single"/>
        </w:rPr>
        <w:t>Act</w:t>
      </w:r>
      <w:r w:rsidR="00631739">
        <w:rPr>
          <w:rFonts w:ascii="Times New Roman" w:eastAsia="Calibri" w:hAnsi="Times New Roman" w:cs="Times New Roman"/>
          <w:sz w:val="24"/>
          <w:szCs w:val="24"/>
        </w:rPr>
        <w:t>”), and Section</w:t>
      </w:r>
      <w:r w:rsidRPr="00021A62">
        <w:rPr>
          <w:rFonts w:ascii="Times New Roman" w:eastAsia="Calibri" w:hAnsi="Times New Roman" w:cs="Times New Roman"/>
          <w:sz w:val="24"/>
          <w:szCs w:val="24"/>
        </w:rPr>
        <w:t xml:space="preserve"> </w:t>
      </w:r>
      <w:r w:rsidRPr="00021A62">
        <w:rPr>
          <w:rFonts w:ascii="Times New Roman" w:hAnsi="Times New Roman" w:cs="Times New Roman"/>
          <w:sz w:val="24"/>
          <w:szCs w:val="24"/>
        </w:rPr>
        <w:t xml:space="preserve">40.6 </w:t>
      </w:r>
      <w:r w:rsidRPr="00021A62">
        <w:rPr>
          <w:rFonts w:ascii="Times New Roman" w:eastAsia="Calibri" w:hAnsi="Times New Roman" w:cs="Times New Roman"/>
          <w:sz w:val="24"/>
          <w:szCs w:val="24"/>
        </w:rPr>
        <w:t xml:space="preserve">of the </w:t>
      </w:r>
      <w:r w:rsidR="00631739">
        <w:rPr>
          <w:rFonts w:ascii="Times New Roman" w:eastAsia="Calibri" w:hAnsi="Times New Roman" w:cs="Times New Roman"/>
          <w:sz w:val="24"/>
          <w:szCs w:val="24"/>
        </w:rPr>
        <w:t xml:space="preserve">Commission’s </w:t>
      </w:r>
      <w:r w:rsidRPr="00021A62">
        <w:rPr>
          <w:rFonts w:ascii="Times New Roman" w:eastAsia="Calibri" w:hAnsi="Times New Roman" w:cs="Times New Roman"/>
          <w:sz w:val="24"/>
          <w:szCs w:val="24"/>
        </w:rPr>
        <w:t xml:space="preserve">regulations </w:t>
      </w:r>
      <w:r w:rsidR="00631739">
        <w:rPr>
          <w:rFonts w:ascii="Times New Roman" w:eastAsia="Calibri" w:hAnsi="Times New Roman" w:cs="Times New Roman"/>
          <w:sz w:val="24"/>
          <w:szCs w:val="24"/>
        </w:rPr>
        <w:t>there</w:t>
      </w:r>
      <w:r w:rsidRPr="00021A62">
        <w:rPr>
          <w:rFonts w:ascii="Times New Roman" w:eastAsia="Calibri" w:hAnsi="Times New Roman" w:cs="Times New Roman"/>
          <w:sz w:val="24"/>
          <w:szCs w:val="24"/>
        </w:rPr>
        <w:t>under, NASDAQ Futures, Inc. (“</w:t>
      </w:r>
      <w:r w:rsidRPr="00FC6DF1">
        <w:rPr>
          <w:rFonts w:ascii="Times New Roman" w:eastAsia="Calibri" w:hAnsi="Times New Roman" w:cs="Times New Roman"/>
          <w:sz w:val="24"/>
          <w:szCs w:val="24"/>
          <w:u w:val="single"/>
        </w:rPr>
        <w:t>N</w:t>
      </w:r>
      <w:r w:rsidR="0055547F" w:rsidRPr="00FC6DF1">
        <w:rPr>
          <w:rFonts w:ascii="Times New Roman" w:eastAsia="Calibri" w:hAnsi="Times New Roman" w:cs="Times New Roman"/>
          <w:sz w:val="24"/>
          <w:szCs w:val="24"/>
          <w:u w:val="single"/>
        </w:rPr>
        <w:t>F</w:t>
      </w:r>
      <w:r w:rsidR="00197F73" w:rsidRPr="00FC6DF1">
        <w:rPr>
          <w:rFonts w:ascii="Times New Roman" w:eastAsia="Calibri" w:hAnsi="Times New Roman" w:cs="Times New Roman"/>
          <w:sz w:val="24"/>
          <w:szCs w:val="24"/>
          <w:u w:val="single"/>
        </w:rPr>
        <w:t>X</w:t>
      </w:r>
      <w:r w:rsidRPr="00021A62">
        <w:rPr>
          <w:rFonts w:ascii="Times New Roman" w:eastAsia="Calibri" w:hAnsi="Times New Roman" w:cs="Times New Roman"/>
          <w:sz w:val="24"/>
          <w:szCs w:val="24"/>
        </w:rPr>
        <w:t>” or “</w:t>
      </w:r>
      <w:r w:rsidRPr="00FC6DF1">
        <w:rPr>
          <w:rFonts w:ascii="Times New Roman" w:eastAsia="Calibri" w:hAnsi="Times New Roman" w:cs="Times New Roman"/>
          <w:sz w:val="24"/>
          <w:szCs w:val="24"/>
          <w:u w:val="single"/>
        </w:rPr>
        <w:t>Exchange</w:t>
      </w:r>
      <w:r w:rsidRPr="00021A62">
        <w:rPr>
          <w:rFonts w:ascii="Times New Roman" w:eastAsia="Calibri" w:hAnsi="Times New Roman" w:cs="Times New Roman"/>
          <w:sz w:val="24"/>
          <w:szCs w:val="24"/>
        </w:rPr>
        <w:t xml:space="preserve">”) </w:t>
      </w:r>
      <w:r w:rsidR="00A53AF2" w:rsidRPr="00722839">
        <w:rPr>
          <w:rFonts w:ascii="Times New Roman" w:eastAsia="Times New Roman" w:hAnsi="Times New Roman" w:cs="Times New Roman"/>
          <w:sz w:val="24"/>
          <w:szCs w:val="24"/>
        </w:rPr>
        <w:t>sub</w:t>
      </w:r>
      <w:r w:rsidR="00A53AF2">
        <w:rPr>
          <w:rFonts w:ascii="Times New Roman" w:eastAsia="Times New Roman" w:hAnsi="Times New Roman" w:cs="Times New Roman"/>
          <w:sz w:val="24"/>
          <w:szCs w:val="24"/>
        </w:rPr>
        <w:t xml:space="preserve">mits this self-certification to amend </w:t>
      </w:r>
      <w:r w:rsidR="007B1144">
        <w:rPr>
          <w:rFonts w:ascii="Times New Roman" w:eastAsia="Times New Roman" w:hAnsi="Times New Roman" w:cs="Times New Roman"/>
          <w:sz w:val="24"/>
          <w:szCs w:val="24"/>
        </w:rPr>
        <w:t xml:space="preserve">certain elements of </w:t>
      </w:r>
      <w:r w:rsidR="00A53AF2">
        <w:rPr>
          <w:rFonts w:ascii="Times New Roman" w:eastAsia="Times New Roman" w:hAnsi="Times New Roman" w:cs="Times New Roman"/>
          <w:sz w:val="24"/>
          <w:szCs w:val="24"/>
        </w:rPr>
        <w:t>the</w:t>
      </w:r>
      <w:r w:rsidR="00A53AF2">
        <w:rPr>
          <w:rFonts w:ascii="Times New Roman" w:eastAsia="Calibri" w:hAnsi="Times New Roman" w:cs="Times New Roman"/>
          <w:sz w:val="24"/>
          <w:szCs w:val="24"/>
        </w:rPr>
        <w:t xml:space="preserve"> </w:t>
      </w:r>
      <w:r w:rsidR="000779A4">
        <w:rPr>
          <w:rFonts w:ascii="Times New Roman" w:eastAsia="Calibri" w:hAnsi="Times New Roman" w:cs="Times New Roman"/>
          <w:sz w:val="24"/>
          <w:szCs w:val="24"/>
        </w:rPr>
        <w:t>trading incentive</w:t>
      </w:r>
      <w:r w:rsidR="009C04FC">
        <w:rPr>
          <w:rFonts w:ascii="Times New Roman" w:eastAsia="Calibri" w:hAnsi="Times New Roman" w:cs="Times New Roman"/>
          <w:sz w:val="24"/>
          <w:szCs w:val="24"/>
        </w:rPr>
        <w:t xml:space="preserve"> program </w:t>
      </w:r>
      <w:r w:rsidR="001E69DD">
        <w:rPr>
          <w:rFonts w:ascii="Times New Roman" w:eastAsia="Calibri" w:hAnsi="Times New Roman" w:cs="Times New Roman"/>
          <w:sz w:val="24"/>
          <w:szCs w:val="24"/>
        </w:rPr>
        <w:t>(the “</w:t>
      </w:r>
      <w:r w:rsidR="001E69DD" w:rsidRPr="00FC6DF1">
        <w:rPr>
          <w:rFonts w:ascii="Times New Roman" w:eastAsia="Calibri" w:hAnsi="Times New Roman" w:cs="Times New Roman"/>
          <w:sz w:val="24"/>
          <w:szCs w:val="24"/>
          <w:u w:val="single"/>
        </w:rPr>
        <w:t>Program</w:t>
      </w:r>
      <w:r w:rsidR="001E69DD">
        <w:rPr>
          <w:rFonts w:ascii="Times New Roman" w:eastAsia="Calibri" w:hAnsi="Times New Roman" w:cs="Times New Roman"/>
          <w:sz w:val="24"/>
          <w:szCs w:val="24"/>
        </w:rPr>
        <w:t xml:space="preserve">”) </w:t>
      </w:r>
      <w:r w:rsidR="009C04FC">
        <w:rPr>
          <w:rFonts w:ascii="Times New Roman" w:eastAsia="Calibri" w:hAnsi="Times New Roman" w:cs="Times New Roman"/>
          <w:sz w:val="24"/>
          <w:szCs w:val="24"/>
        </w:rPr>
        <w:t xml:space="preserve">for </w:t>
      </w:r>
      <w:r w:rsidR="000C4580">
        <w:rPr>
          <w:rFonts w:ascii="Times New Roman" w:eastAsia="Calibri" w:hAnsi="Times New Roman" w:cs="Times New Roman"/>
          <w:sz w:val="24"/>
          <w:szCs w:val="24"/>
        </w:rPr>
        <w:t xml:space="preserve">certain </w:t>
      </w:r>
      <w:r w:rsidR="009C04FC">
        <w:rPr>
          <w:rFonts w:ascii="Times New Roman" w:eastAsia="Calibri" w:hAnsi="Times New Roman" w:cs="Times New Roman"/>
          <w:sz w:val="24"/>
          <w:szCs w:val="24"/>
        </w:rPr>
        <w:t xml:space="preserve">energy contracts that the Exchange </w:t>
      </w:r>
      <w:r w:rsidR="00A53AF2">
        <w:rPr>
          <w:rFonts w:ascii="Times New Roman" w:eastAsia="Calibri" w:hAnsi="Times New Roman" w:cs="Times New Roman"/>
          <w:sz w:val="24"/>
          <w:szCs w:val="24"/>
        </w:rPr>
        <w:t>has listed</w:t>
      </w:r>
      <w:r w:rsidR="007B1144">
        <w:rPr>
          <w:rFonts w:ascii="Times New Roman" w:eastAsia="Calibri" w:hAnsi="Times New Roman" w:cs="Times New Roman"/>
          <w:sz w:val="24"/>
          <w:szCs w:val="24"/>
        </w:rPr>
        <w:t>.</w:t>
      </w:r>
    </w:p>
    <w:p w:rsidR="007B1144" w:rsidRDefault="007B1144" w:rsidP="007B1144">
      <w:pPr>
        <w:pStyle w:val="NoSpacing"/>
        <w:ind w:firstLine="1310"/>
        <w:rPr>
          <w:rFonts w:ascii="Times New Roman" w:eastAsia="Calibri" w:hAnsi="Times New Roman" w:cs="Times New Roman"/>
          <w:sz w:val="24"/>
          <w:szCs w:val="24"/>
          <w:highlight w:val="yellow"/>
        </w:rPr>
      </w:pPr>
    </w:p>
    <w:p w:rsidR="007B1144" w:rsidRDefault="007B1144" w:rsidP="007B1144">
      <w:pPr>
        <w:pStyle w:val="NoSpacing"/>
        <w:ind w:firstLine="1310"/>
        <w:rPr>
          <w:rFonts w:ascii="Times New Roman" w:eastAsia="Calibri" w:hAnsi="Times New Roman" w:cs="Times New Roman"/>
          <w:sz w:val="24"/>
          <w:szCs w:val="24"/>
        </w:rPr>
      </w:pPr>
      <w:r w:rsidRPr="007B1144">
        <w:rPr>
          <w:rFonts w:ascii="Times New Roman" w:eastAsia="Calibri" w:hAnsi="Times New Roman" w:cs="Times New Roman"/>
          <w:sz w:val="24"/>
          <w:szCs w:val="24"/>
        </w:rPr>
        <w:t>The amendments to the current Program</w:t>
      </w:r>
      <w:r>
        <w:rPr>
          <w:rStyle w:val="FootnoteReference"/>
          <w:rFonts w:ascii="Times New Roman" w:eastAsia="Calibri" w:hAnsi="Times New Roman" w:cs="Times New Roman"/>
          <w:sz w:val="24"/>
          <w:szCs w:val="24"/>
        </w:rPr>
        <w:footnoteReference w:id="1"/>
      </w:r>
      <w:r w:rsidRPr="007B1144">
        <w:rPr>
          <w:rFonts w:ascii="Times New Roman" w:eastAsia="Calibri" w:hAnsi="Times New Roman" w:cs="Times New Roman"/>
          <w:sz w:val="24"/>
          <w:szCs w:val="24"/>
        </w:rPr>
        <w:t xml:space="preserve"> will be implemented on February 1, 2016 and will continue until the Program expires.</w:t>
      </w:r>
      <w:r>
        <w:rPr>
          <w:rFonts w:ascii="Times New Roman" w:eastAsia="Calibri" w:hAnsi="Times New Roman" w:cs="Times New Roman"/>
          <w:sz w:val="24"/>
          <w:szCs w:val="24"/>
        </w:rPr>
        <w:t xml:space="preserve">  The confidential details of the Program and the amendments thereto are set forth in Confidential Appendix 1, attached under separate cover.</w:t>
      </w:r>
    </w:p>
    <w:p w:rsidR="007B1144" w:rsidRDefault="007B1144" w:rsidP="001E69DD">
      <w:pPr>
        <w:pStyle w:val="NoSpacing"/>
        <w:ind w:firstLine="1310"/>
        <w:rPr>
          <w:rFonts w:ascii="Times New Roman" w:eastAsia="Calibri" w:hAnsi="Times New Roman" w:cs="Times New Roman"/>
          <w:sz w:val="24"/>
          <w:szCs w:val="24"/>
        </w:rPr>
      </w:pPr>
    </w:p>
    <w:p w:rsidR="000779A4" w:rsidRPr="000779A4" w:rsidRDefault="00F66C24" w:rsidP="007B1144">
      <w:pPr>
        <w:spacing w:before="15" w:after="100" w:afterAutospacing="1" w:line="240" w:lineRule="atLeast"/>
        <w:ind w:firstLine="1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w:t>
      </w:r>
      <w:r w:rsidR="000779A4" w:rsidRPr="000779A4">
        <w:rPr>
          <w:rFonts w:ascii="Times New Roman" w:eastAsia="Times New Roman" w:hAnsi="Times New Roman" w:cs="Times New Roman"/>
          <w:sz w:val="24"/>
          <w:szCs w:val="24"/>
        </w:rPr>
        <w:t>he Exchange implement</w:t>
      </w:r>
      <w:r>
        <w:rPr>
          <w:rFonts w:ascii="Times New Roman" w:eastAsia="Times New Roman" w:hAnsi="Times New Roman" w:cs="Times New Roman"/>
          <w:sz w:val="24"/>
          <w:szCs w:val="24"/>
        </w:rPr>
        <w:t>ed</w:t>
      </w:r>
      <w:r w:rsidR="000779A4" w:rsidRPr="000779A4">
        <w:rPr>
          <w:rFonts w:ascii="Times New Roman" w:eastAsia="Times New Roman" w:hAnsi="Times New Roman" w:cs="Times New Roman"/>
          <w:sz w:val="24"/>
          <w:szCs w:val="24"/>
        </w:rPr>
        <w:t xml:space="preserve"> a Program to incent Futures Participants, as well as Authorized Customers, to enhance liquidity in </w:t>
      </w:r>
      <w:r>
        <w:rPr>
          <w:rFonts w:ascii="Times New Roman" w:eastAsia="Times New Roman" w:hAnsi="Times New Roman" w:cs="Times New Roman"/>
          <w:sz w:val="24"/>
          <w:szCs w:val="24"/>
        </w:rPr>
        <w:t>certain energy contracts</w:t>
      </w:r>
      <w:r w:rsidR="000779A4" w:rsidRPr="000779A4">
        <w:rPr>
          <w:rFonts w:ascii="Times New Roman" w:eastAsia="Times New Roman" w:hAnsi="Times New Roman" w:cs="Times New Roman"/>
          <w:sz w:val="24"/>
          <w:szCs w:val="24"/>
        </w:rPr>
        <w:t xml:space="preserve"> listed on the Exchange.  </w:t>
      </w:r>
      <w:r>
        <w:rPr>
          <w:rFonts w:ascii="Times New Roman" w:eastAsia="Times New Roman" w:hAnsi="Times New Roman" w:cs="Times New Roman"/>
          <w:sz w:val="24"/>
          <w:szCs w:val="24"/>
        </w:rPr>
        <w:t>The Exchange believes that t</w:t>
      </w:r>
      <w:r w:rsidR="000779A4" w:rsidRPr="000779A4">
        <w:rPr>
          <w:rFonts w:ascii="Times New Roman" w:eastAsia="Times New Roman" w:hAnsi="Times New Roman" w:cs="Times New Roman"/>
          <w:sz w:val="24"/>
          <w:szCs w:val="24"/>
        </w:rPr>
        <w:t>he resulting increase in liquidity generated by the Program benefits all participants in the market.  The Exchange believes that the Program</w:t>
      </w:r>
      <w:r>
        <w:rPr>
          <w:rFonts w:ascii="Times New Roman" w:eastAsia="Times New Roman" w:hAnsi="Times New Roman" w:cs="Times New Roman"/>
          <w:sz w:val="24"/>
          <w:szCs w:val="24"/>
        </w:rPr>
        <w:t>, and the amendments thereto, are</w:t>
      </w:r>
      <w:r w:rsidR="000779A4" w:rsidRPr="000779A4">
        <w:rPr>
          <w:rFonts w:ascii="Times New Roman" w:eastAsia="Times New Roman" w:hAnsi="Times New Roman" w:cs="Times New Roman"/>
          <w:sz w:val="24"/>
          <w:szCs w:val="24"/>
        </w:rPr>
        <w:t xml:space="preserve"> consistent with Core Principles 2 (Compliance with Rules), 4 (Prevention of Market Disruption), 9 (Execution of Transactions), 12 (Protection of Market Participants), 18 (Recordkeeping) and 19 (Antitrust Considerations) under Section 5 of the Act because the Program does not incentivize manipulative trading or market abuse and will not impact the Exchange’s ability to perform its trade practice and market surveillance obligations under the Act.  </w:t>
      </w:r>
    </w:p>
    <w:p w:rsidR="000779A4" w:rsidRPr="000779A4" w:rsidRDefault="000779A4" w:rsidP="007B1144">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lastRenderedPageBreak/>
        <w:t xml:space="preserve">With respect to compliance with Core Principle 2, as noted above, the Exchange’s Rule at Chapter III, Section 24, entitled “General Trading Standards and Prohibited Practices” prohibits abusive trading practices.  Also, the Exchange’s Rulebook at Chapter III, Sections 6 through 15 includes Customer Protection Rules that apply when a Futures Participant enters a trade on behalf of a Customer.  The Exchange’s Rules include prohibitions against fraudulent, non-competitive, unfair or abusive practices.  All Futures Participants that participate in the Program are subject to NFX Rules. </w:t>
      </w:r>
    </w:p>
    <w:p w:rsidR="000779A4" w:rsidRPr="000779A4" w:rsidRDefault="000779A4" w:rsidP="007B1144">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4, the Exchange’s market regulation staff monitor trading in the Program’s products to prevent manipulative trading and market abuse.  Additionally, the Exchange has implemented systems to track Program participants’ obligations under the Program to ensure compliance with earned incentives.  The incentives offered as part of the Program </w:t>
      </w:r>
      <w:r w:rsidR="00F66C24">
        <w:rPr>
          <w:rFonts w:ascii="Times New Roman" w:eastAsia="Times New Roman" w:hAnsi="Times New Roman" w:cs="Times New Roman"/>
          <w:sz w:val="24"/>
          <w:szCs w:val="24"/>
        </w:rPr>
        <w:t>do</w:t>
      </w:r>
      <w:r w:rsidRPr="000779A4">
        <w:rPr>
          <w:rFonts w:ascii="Times New Roman" w:eastAsia="Times New Roman" w:hAnsi="Times New Roman" w:cs="Times New Roman"/>
          <w:sz w:val="24"/>
          <w:szCs w:val="24"/>
        </w:rPr>
        <w:t xml:space="preserve"> not impact the manner in which Orders </w:t>
      </w:r>
      <w:r w:rsidR="00F66C24">
        <w:rPr>
          <w:rFonts w:ascii="Times New Roman" w:eastAsia="Times New Roman" w:hAnsi="Times New Roman" w:cs="Times New Roman"/>
          <w:sz w:val="24"/>
          <w:szCs w:val="24"/>
        </w:rPr>
        <w:t>are</w:t>
      </w:r>
      <w:r w:rsidRPr="000779A4">
        <w:rPr>
          <w:rFonts w:ascii="Times New Roman" w:eastAsia="Times New Roman" w:hAnsi="Times New Roman" w:cs="Times New Roman"/>
          <w:sz w:val="24"/>
          <w:szCs w:val="24"/>
        </w:rPr>
        <w:t xml:space="preserve"> executed on NFX.  Pursuant to the Exchange Rules at Chapter VI, the Surveillance and Enforcement groups are authorized to investigate trading activities on the Exchange, and initiate enforcement procedures to ensure compliance with the Rules.  </w:t>
      </w:r>
    </w:p>
    <w:p w:rsidR="000779A4" w:rsidRPr="000779A4" w:rsidRDefault="000779A4" w:rsidP="007B1144">
      <w:pPr>
        <w:spacing w:after="0" w:line="240" w:lineRule="auto"/>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The Exchange’s Rules at Chapter III, Section 19, entitled “Exchange Access to Position Information” provide that the Exchange shall have the authority to obtain from any Futures Participant information with respect to positions of such Futures Participant or any Customer of such Futures Participant.  The Exchange’s Rules at Chapter III, Section 16 require Futures Participants to submit a daily report of all Large Trader Reporting levels as set forth by the Exchange.</w:t>
      </w:r>
    </w:p>
    <w:p w:rsidR="000779A4" w:rsidRPr="000779A4" w:rsidRDefault="000779A4" w:rsidP="000779A4">
      <w:pPr>
        <w:spacing w:after="0" w:line="240" w:lineRule="auto"/>
        <w:jc w:val="both"/>
        <w:rPr>
          <w:rFonts w:ascii="Times New Roman" w:eastAsia="Times New Roman" w:hAnsi="Times New Roman" w:cs="Times New Roman"/>
          <w:sz w:val="24"/>
          <w:szCs w:val="24"/>
        </w:rPr>
      </w:pPr>
    </w:p>
    <w:p w:rsidR="000779A4" w:rsidRPr="000779A4" w:rsidRDefault="000779A4" w:rsidP="007B1144">
      <w:pPr>
        <w:autoSpaceDE w:val="0"/>
        <w:autoSpaceDN w:val="0"/>
        <w:adjustRightInd w:val="0"/>
        <w:spacing w:after="0" w:line="240" w:lineRule="auto"/>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The Exchange’s Rules provide that all matched trades generated by the Trading System, after the application of pre-trade risk parameters, will be automatically submitted to the Clearing Corporation as described in Chapter V, Section 2.  Chapter II, Section 1 of the Exchange’s Rules requires that all Futures Participants must be members of the Clearing Corporation or maintain a clearing account with a Clearing Futures Participant.  Futures commission merchants must maintain an account directly with the Clearing Corporation.  Clearing Futures Participants are required to guarantee all trades transacted on NFX on behalf of itself, its Customers and Non-Clearing Futures Participants.  Clearing Futures Participants must guarantee and assume financial responsibility for all Exchange Contracts of each Futures Participant guaranteed by it, and will be liable for all trades made by that Futures Participant.  The Exchange requires a similar guarantee for Authorized Customers submitting trades into the Trading System via Direct Access pursuant to Chapter V, Section 4.  The Exchange’s Rules governing minimum financial requirements and protection of Customer funds are set forth in Chapter III.  Pursuant to Chapter IV, Section 7, the Exchange requires that Authorized Risk Officers of the Clearing Futures Participant initially set and adjust pre-trade risk parameters for Futures Participants, Authorized Traders and Authorized Customers.  </w:t>
      </w:r>
    </w:p>
    <w:p w:rsidR="000779A4" w:rsidRPr="000779A4" w:rsidRDefault="000779A4" w:rsidP="000779A4">
      <w:pPr>
        <w:autoSpaceDE w:val="0"/>
        <w:autoSpaceDN w:val="0"/>
        <w:adjustRightInd w:val="0"/>
        <w:spacing w:after="0" w:line="240" w:lineRule="auto"/>
        <w:jc w:val="both"/>
        <w:rPr>
          <w:rFonts w:ascii="Times New Roman" w:eastAsia="Times New Roman" w:hAnsi="Times New Roman" w:cs="Times New Roman"/>
          <w:sz w:val="24"/>
          <w:szCs w:val="24"/>
        </w:rPr>
      </w:pPr>
    </w:p>
    <w:p w:rsidR="000779A4" w:rsidRPr="000779A4" w:rsidRDefault="000779A4" w:rsidP="007B1144">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The Program </w:t>
      </w:r>
      <w:r w:rsidR="00F66C24">
        <w:rPr>
          <w:rFonts w:ascii="Times New Roman" w:eastAsia="Times New Roman" w:hAnsi="Times New Roman" w:cs="Times New Roman"/>
          <w:sz w:val="24"/>
          <w:szCs w:val="24"/>
        </w:rPr>
        <w:t>is</w:t>
      </w:r>
      <w:r w:rsidRPr="000779A4">
        <w:rPr>
          <w:rFonts w:ascii="Times New Roman" w:eastAsia="Times New Roman" w:hAnsi="Times New Roman" w:cs="Times New Roman"/>
          <w:sz w:val="24"/>
          <w:szCs w:val="24"/>
        </w:rPr>
        <w:t xml:space="preserve"> subject to the Exchange’s record retention policies which comply with the Act.  Futures Participants, Authorized Traders and Authorized Customers are required to maintain audit trail information as specified in Exchange Rules at Chapter III, Section 1, Chapter V, Section 1(f)(v) and Chapter V, Section 4(j).</w:t>
      </w:r>
    </w:p>
    <w:p w:rsidR="000779A4" w:rsidRPr="000779A4" w:rsidRDefault="000779A4" w:rsidP="007B1144">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lastRenderedPageBreak/>
        <w:t xml:space="preserve">With respect to compliance with Core Principle 9, the </w:t>
      </w:r>
      <w:r w:rsidR="00F66C24">
        <w:rPr>
          <w:rFonts w:ascii="Times New Roman" w:eastAsia="Times New Roman" w:hAnsi="Times New Roman" w:cs="Times New Roman"/>
          <w:sz w:val="24"/>
          <w:szCs w:val="24"/>
        </w:rPr>
        <w:t>Program is</w:t>
      </w:r>
      <w:r w:rsidRPr="000779A4">
        <w:rPr>
          <w:rFonts w:ascii="Times New Roman" w:eastAsia="Times New Roman" w:hAnsi="Times New Roman" w:cs="Times New Roman"/>
          <w:sz w:val="24"/>
          <w:szCs w:val="24"/>
        </w:rPr>
        <w:t xml:space="preserve"> designed to promote liquidity in the </w:t>
      </w:r>
      <w:r w:rsidR="00F66C24">
        <w:rPr>
          <w:rFonts w:ascii="Times New Roman" w:eastAsia="Times New Roman" w:hAnsi="Times New Roman" w:cs="Times New Roman"/>
          <w:sz w:val="24"/>
          <w:szCs w:val="24"/>
        </w:rPr>
        <w:t>energy</w:t>
      </w:r>
      <w:r w:rsidRPr="000779A4">
        <w:rPr>
          <w:rFonts w:ascii="Times New Roman" w:eastAsia="Times New Roman" w:hAnsi="Times New Roman" w:cs="Times New Roman"/>
          <w:sz w:val="24"/>
          <w:szCs w:val="24"/>
        </w:rPr>
        <w:t xml:space="preserve"> contracts, thus enhancing competition.  Provisions for termination of the incentives are triggered upon achievement of a target, indicating a level of acceptance of the contracts by the market.  The Exchange has no plans to extend the program beyond what is needed to achieve sustainable volumes. Additionally, the Exchange will continue to operate an electronic trading facility that provides Futures Participants with the ability to execute Orders within the Exchange’s Order Book and Combination Order Book from the interaction of multiple bids and offers within a predetermined automated trade matching and execution algorithm.  Orders submitted into the Trading System will continue to be matched in either Price-Time priority or Size Pro-Rata priority order as specified by the Exchange in Chapter IV, Section 5.  The Exchange specifies the types of Orders that will be accepted by the Trading System in Chapter IV, Section 4.  Finally, the Exchange separately describes its Rules for executing transactions outside of the Order Book, such as Block Trades and exchange for related positions, in Chapter IV, Sections 1</w:t>
      </w:r>
      <w:r w:rsidR="003839C3">
        <w:rPr>
          <w:rFonts w:ascii="Times New Roman" w:eastAsia="Times New Roman" w:hAnsi="Times New Roman" w:cs="Times New Roman"/>
          <w:sz w:val="24"/>
          <w:szCs w:val="24"/>
        </w:rPr>
        <w:t>1</w:t>
      </w:r>
      <w:r w:rsidRPr="000779A4">
        <w:rPr>
          <w:rFonts w:ascii="Times New Roman" w:eastAsia="Times New Roman" w:hAnsi="Times New Roman" w:cs="Times New Roman"/>
          <w:sz w:val="24"/>
          <w:szCs w:val="24"/>
        </w:rPr>
        <w:t xml:space="preserve"> and 1</w:t>
      </w:r>
      <w:r w:rsidR="003839C3">
        <w:rPr>
          <w:rFonts w:ascii="Times New Roman" w:eastAsia="Times New Roman" w:hAnsi="Times New Roman" w:cs="Times New Roman"/>
          <w:sz w:val="24"/>
          <w:szCs w:val="24"/>
        </w:rPr>
        <w:t>2</w:t>
      </w:r>
      <w:r w:rsidRPr="000779A4">
        <w:rPr>
          <w:rFonts w:ascii="Times New Roman" w:eastAsia="Times New Roman" w:hAnsi="Times New Roman" w:cs="Times New Roman"/>
          <w:sz w:val="24"/>
          <w:szCs w:val="24"/>
        </w:rPr>
        <w:t xml:space="preserve"> respectively.  </w:t>
      </w:r>
    </w:p>
    <w:p w:rsidR="000779A4" w:rsidRPr="000779A4" w:rsidRDefault="000779A4" w:rsidP="007B1144">
      <w:pPr>
        <w:spacing w:after="0" w:line="240" w:lineRule="auto"/>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12, as noted above, all trading of the energy contracts </w:t>
      </w:r>
      <w:r w:rsidR="00F66C24">
        <w:rPr>
          <w:rFonts w:ascii="Times New Roman" w:eastAsia="Times New Roman" w:hAnsi="Times New Roman" w:cs="Times New Roman"/>
          <w:sz w:val="24"/>
          <w:szCs w:val="24"/>
        </w:rPr>
        <w:t>is</w:t>
      </w:r>
      <w:r w:rsidRPr="000779A4">
        <w:rPr>
          <w:rFonts w:ascii="Times New Roman" w:eastAsia="Times New Roman" w:hAnsi="Times New Roman" w:cs="Times New Roman"/>
          <w:sz w:val="24"/>
          <w:szCs w:val="24"/>
        </w:rPr>
        <w:t xml:space="preserve"> subject to the Exchange’s rules, designed to achieve fair and equitable trading of all listed contracts.  Chapter III of the Exchange’s Rulebook contains prohibitions precluding intermediaries from disadvantaging their customers.  Improper conduct and trade practices </w:t>
      </w:r>
      <w:r w:rsidR="00F66C24">
        <w:rPr>
          <w:rFonts w:ascii="Times New Roman" w:eastAsia="Times New Roman" w:hAnsi="Times New Roman" w:cs="Times New Roman"/>
          <w:sz w:val="24"/>
          <w:szCs w:val="24"/>
        </w:rPr>
        <w:t>are</w:t>
      </w:r>
      <w:r w:rsidRPr="000779A4">
        <w:rPr>
          <w:rFonts w:ascii="Times New Roman" w:eastAsia="Times New Roman" w:hAnsi="Times New Roman" w:cs="Times New Roman"/>
          <w:sz w:val="24"/>
          <w:szCs w:val="24"/>
        </w:rPr>
        <w:t xml:space="preserve"> investigated and adjudicated as described in Chapter VI of the Exchange’s Rules.  The procedures for executing trades through the Exchange’s Trading System, which are described in the Exchange’s Rules at Chapters IV and V, are designed to promote fair and equitable trading on the Exchange.</w:t>
      </w:r>
    </w:p>
    <w:p w:rsidR="000779A4" w:rsidRPr="000779A4" w:rsidRDefault="000779A4" w:rsidP="000779A4">
      <w:pPr>
        <w:spacing w:after="0" w:line="240" w:lineRule="auto"/>
        <w:jc w:val="both"/>
        <w:rPr>
          <w:rFonts w:ascii="Times New Roman" w:eastAsia="Times New Roman" w:hAnsi="Times New Roman" w:cs="Times New Roman"/>
          <w:sz w:val="24"/>
          <w:szCs w:val="24"/>
        </w:rPr>
      </w:pPr>
    </w:p>
    <w:p w:rsidR="000779A4" w:rsidRPr="000779A4" w:rsidRDefault="000779A4" w:rsidP="007B1144">
      <w:pPr>
        <w:spacing w:after="0" w:line="240" w:lineRule="auto"/>
        <w:ind w:firstLine="1310"/>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With respect to compliance with Core Principle 18, the Exchange’s recordkeeping program satisfies the relevant criteria set forth in §1.31 of the Commission Regulations.  The Exchange’s Regulatory Services Provider, NFA, generates records relating to the provision of services pursuant to an RSA.  Such records are maintained in accordance with the Act and Commission Regulations.</w:t>
      </w:r>
    </w:p>
    <w:p w:rsidR="000779A4" w:rsidRPr="000779A4" w:rsidRDefault="000779A4" w:rsidP="000779A4">
      <w:pPr>
        <w:spacing w:after="0" w:line="240" w:lineRule="auto"/>
        <w:jc w:val="both"/>
        <w:rPr>
          <w:rFonts w:ascii="Times New Roman" w:eastAsia="Times New Roman" w:hAnsi="Times New Roman" w:cs="Times New Roman"/>
          <w:sz w:val="24"/>
          <w:szCs w:val="24"/>
        </w:rPr>
      </w:pPr>
    </w:p>
    <w:p w:rsidR="000779A4" w:rsidRPr="000779A4" w:rsidRDefault="000779A4" w:rsidP="007B1144">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19, the Program does not result in an unreasonable restraint of trade, or the imposition of any material anticompetitive burden. If sufficient liquidity is achieved, the Program should enhance trade and competition by providing an alternative to the incumbent exchanges.  </w:t>
      </w:r>
    </w:p>
    <w:p w:rsidR="00EC1F98" w:rsidRDefault="000779A4" w:rsidP="007B1144">
      <w:pPr>
        <w:pStyle w:val="NoSpacing"/>
        <w:ind w:firstLine="1310"/>
        <w:rPr>
          <w:rFonts w:ascii="Times New Roman" w:eastAsia="Calibri" w:hAnsi="Times New Roman" w:cs="Times New Roman"/>
          <w:sz w:val="24"/>
          <w:szCs w:val="24"/>
        </w:rPr>
      </w:pPr>
      <w:r w:rsidRPr="000779A4">
        <w:rPr>
          <w:rFonts w:ascii="Times New Roman" w:eastAsia="Times New Roman" w:hAnsi="Times New Roman" w:cs="Times New Roman"/>
          <w:sz w:val="24"/>
          <w:szCs w:val="24"/>
        </w:rPr>
        <w:t>The Exchange make</w:t>
      </w:r>
      <w:r w:rsidR="00F66C24">
        <w:rPr>
          <w:rFonts w:ascii="Times New Roman" w:eastAsia="Times New Roman" w:hAnsi="Times New Roman" w:cs="Times New Roman"/>
          <w:sz w:val="24"/>
          <w:szCs w:val="24"/>
        </w:rPr>
        <w:t>s</w:t>
      </w:r>
      <w:r w:rsidRPr="000779A4">
        <w:rPr>
          <w:rFonts w:ascii="Times New Roman" w:eastAsia="Times New Roman" w:hAnsi="Times New Roman" w:cs="Times New Roman"/>
          <w:sz w:val="24"/>
          <w:szCs w:val="24"/>
        </w:rPr>
        <w:t xml:space="preserve"> public daily information on settlement prices, volume, open interest, and opening and closing ranges for actively traded contracts.  Trading information is published on the Exchange’s website on the next business day prior to the opening.</w:t>
      </w:r>
      <w:r w:rsidR="001839AD">
        <w:rPr>
          <w:rFonts w:ascii="Times New Roman" w:eastAsia="Calibri" w:hAnsi="Times New Roman" w:cs="Times New Roman"/>
          <w:sz w:val="24"/>
          <w:szCs w:val="24"/>
        </w:rPr>
        <w:t xml:space="preserve"> </w:t>
      </w:r>
      <w:r w:rsidR="001E69DD">
        <w:rPr>
          <w:rFonts w:ascii="Times New Roman" w:eastAsia="Calibri" w:hAnsi="Times New Roman" w:cs="Times New Roman"/>
          <w:sz w:val="24"/>
          <w:szCs w:val="24"/>
        </w:rPr>
        <w:tab/>
      </w:r>
    </w:p>
    <w:p w:rsidR="001E69DD" w:rsidRDefault="001E69DD" w:rsidP="00EC1F98">
      <w:pPr>
        <w:pStyle w:val="NoSpacing"/>
        <w:ind w:firstLine="720"/>
        <w:rPr>
          <w:rFonts w:ascii="Times New Roman" w:eastAsia="Calibri" w:hAnsi="Times New Roman" w:cs="Times New Roman"/>
          <w:sz w:val="24"/>
          <w:szCs w:val="24"/>
        </w:rPr>
      </w:pPr>
    </w:p>
    <w:p w:rsidR="00CA1348" w:rsidRPr="00CA1348" w:rsidRDefault="00EC1F98" w:rsidP="00CA1348">
      <w:pPr>
        <w:ind w:firstLine="1310"/>
        <w:rPr>
          <w:rFonts w:ascii="Times New Roman" w:hAnsi="Times New Roman" w:cs="Times New Roman"/>
          <w:sz w:val="24"/>
          <w:szCs w:val="24"/>
        </w:rPr>
      </w:pPr>
      <w:r w:rsidRPr="00650B32">
        <w:rPr>
          <w:rFonts w:ascii="Times New Roman" w:eastAsia="Calibri" w:hAnsi="Times New Roman" w:cs="Times New Roman"/>
          <w:sz w:val="24"/>
          <w:szCs w:val="24"/>
        </w:rPr>
        <w:t>There were no opposing views among the N</w:t>
      </w:r>
      <w:r w:rsidR="0055547F">
        <w:rPr>
          <w:rFonts w:ascii="Times New Roman" w:eastAsia="Calibri" w:hAnsi="Times New Roman" w:cs="Times New Roman"/>
          <w:sz w:val="24"/>
          <w:szCs w:val="24"/>
        </w:rPr>
        <w:t>F</w:t>
      </w:r>
      <w:r w:rsidR="00197F73">
        <w:rPr>
          <w:rFonts w:ascii="Times New Roman" w:eastAsia="Calibri" w:hAnsi="Times New Roman" w:cs="Times New Roman"/>
          <w:sz w:val="24"/>
          <w:szCs w:val="24"/>
        </w:rPr>
        <w:t>X</w:t>
      </w:r>
      <w:r w:rsidRPr="00650B32">
        <w:rPr>
          <w:rFonts w:ascii="Times New Roman" w:eastAsia="Calibri" w:hAnsi="Times New Roman" w:cs="Times New Roman"/>
          <w:sz w:val="24"/>
          <w:szCs w:val="24"/>
        </w:rPr>
        <w:t xml:space="preserve">’s Board of Directors, members or market participants.  </w:t>
      </w:r>
      <w:r w:rsidR="0055547F">
        <w:rPr>
          <w:rFonts w:ascii="Times New Roman" w:eastAsia="Calibri" w:hAnsi="Times New Roman" w:cs="Times New Roman"/>
          <w:sz w:val="24"/>
          <w:szCs w:val="24"/>
        </w:rPr>
        <w:t xml:space="preserve">The Exchange </w:t>
      </w:r>
      <w:r w:rsidRPr="00650B32">
        <w:rPr>
          <w:rFonts w:ascii="Times New Roman" w:eastAsia="Calibri" w:hAnsi="Times New Roman" w:cs="Times New Roman"/>
          <w:sz w:val="24"/>
          <w:szCs w:val="24"/>
        </w:rPr>
        <w:t xml:space="preserve">hereby certifies that </w:t>
      </w:r>
      <w:r>
        <w:rPr>
          <w:rFonts w:ascii="Times New Roman" w:eastAsia="Calibri" w:hAnsi="Times New Roman" w:cs="Times New Roman"/>
          <w:sz w:val="24"/>
          <w:szCs w:val="24"/>
        </w:rPr>
        <w:t xml:space="preserve">the </w:t>
      </w:r>
      <w:r w:rsidR="00A1032E">
        <w:rPr>
          <w:rFonts w:ascii="Times New Roman" w:eastAsia="Calibri" w:hAnsi="Times New Roman" w:cs="Times New Roman"/>
          <w:sz w:val="24"/>
          <w:szCs w:val="24"/>
        </w:rPr>
        <w:t xml:space="preserve">Program </w:t>
      </w:r>
      <w:r>
        <w:rPr>
          <w:rFonts w:ascii="Times New Roman" w:eastAsia="Calibri" w:hAnsi="Times New Roman" w:cs="Times New Roman"/>
          <w:sz w:val="24"/>
          <w:szCs w:val="24"/>
        </w:rPr>
        <w:t>compl</w:t>
      </w:r>
      <w:r w:rsidR="000C4580">
        <w:rPr>
          <w:rFonts w:ascii="Times New Roman" w:eastAsia="Calibri" w:hAnsi="Times New Roman" w:cs="Times New Roman"/>
          <w:sz w:val="24"/>
          <w:szCs w:val="24"/>
        </w:rPr>
        <w:t>ies</w:t>
      </w:r>
      <w:r w:rsidRPr="00650B32">
        <w:rPr>
          <w:rFonts w:ascii="Times New Roman" w:eastAsia="Calibri" w:hAnsi="Times New Roman" w:cs="Times New Roman"/>
          <w:sz w:val="24"/>
          <w:szCs w:val="24"/>
        </w:rPr>
        <w:t xml:space="preserve"> with the Commodity Exchange Act and regulations thereunder. </w:t>
      </w:r>
      <w:r>
        <w:rPr>
          <w:rFonts w:ascii="Times New Roman" w:eastAsia="Calibri" w:hAnsi="Times New Roman" w:cs="Times New Roman"/>
          <w:sz w:val="24"/>
          <w:szCs w:val="24"/>
        </w:rPr>
        <w:t xml:space="preserve"> The Exchange also certifies that </w:t>
      </w:r>
      <w:r w:rsidRPr="00B77405">
        <w:rPr>
          <w:rFonts w:ascii="Times New Roman" w:eastAsia="Calibri" w:hAnsi="Times New Roman" w:cs="Times New Roman"/>
          <w:sz w:val="24"/>
          <w:szCs w:val="24"/>
        </w:rPr>
        <w:t xml:space="preserve">notice of pending certification </w:t>
      </w:r>
      <w:r w:rsidR="00A1032E" w:rsidRPr="00A1032E">
        <w:rPr>
          <w:rFonts w:ascii="Times New Roman" w:eastAsia="Calibri" w:hAnsi="Times New Roman" w:cs="Times New Roman"/>
          <w:sz w:val="24"/>
          <w:szCs w:val="24"/>
        </w:rPr>
        <w:t xml:space="preserve">and a copy of this submission </w:t>
      </w:r>
      <w:r>
        <w:rPr>
          <w:rFonts w:ascii="Times New Roman" w:eastAsia="Calibri" w:hAnsi="Times New Roman" w:cs="Times New Roman"/>
          <w:sz w:val="24"/>
          <w:szCs w:val="24"/>
        </w:rPr>
        <w:t>ha</w:t>
      </w:r>
      <w:r w:rsidR="00CA1348">
        <w:rPr>
          <w:rFonts w:ascii="Times New Roman" w:eastAsia="Calibri" w:hAnsi="Times New Roman" w:cs="Times New Roman"/>
          <w:sz w:val="24"/>
          <w:szCs w:val="24"/>
        </w:rPr>
        <w:t>ve</w:t>
      </w:r>
      <w:r>
        <w:rPr>
          <w:rFonts w:ascii="Times New Roman" w:eastAsia="Calibri" w:hAnsi="Times New Roman" w:cs="Times New Roman"/>
          <w:sz w:val="24"/>
          <w:szCs w:val="24"/>
        </w:rPr>
        <w:t xml:space="preserve"> been concurrently posted on the Exchange’s website at</w:t>
      </w:r>
      <w:r w:rsidR="00400F17">
        <w:rPr>
          <w:rFonts w:ascii="Times New Roman" w:eastAsia="Calibri" w:hAnsi="Times New Roman" w:cs="Times New Roman"/>
          <w:sz w:val="24"/>
          <w:szCs w:val="24"/>
        </w:rPr>
        <w:t xml:space="preserve"> </w:t>
      </w:r>
      <w:hyperlink r:id="rId12" w:history="1">
        <w:r w:rsidR="00DF3D42" w:rsidRPr="00343359">
          <w:rPr>
            <w:rStyle w:val="Hyperlink"/>
          </w:rPr>
          <w:t>http://business.nasdaq.com/nasdaq-futures/nfx-market</w:t>
        </w:r>
      </w:hyperlink>
      <w:r w:rsidR="00DF3D42">
        <w:t>.</w:t>
      </w:r>
    </w:p>
    <w:p w:rsidR="00EC1F98" w:rsidRPr="00650B32" w:rsidRDefault="005444C0" w:rsidP="001839AD">
      <w:pPr>
        <w:pStyle w:val="NoSpacing"/>
        <w:keepNext/>
        <w:ind w:firstLine="1310"/>
        <w:rPr>
          <w:rFonts w:ascii="Times New Roman" w:eastAsia="Calibri" w:hAnsi="Times New Roman" w:cs="Times New Roman"/>
          <w:sz w:val="24"/>
          <w:szCs w:val="24"/>
        </w:rPr>
      </w:pPr>
      <w:r w:rsidRPr="00CA1348">
        <w:rPr>
          <w:rFonts w:ascii="Times New Roman" w:eastAsia="Calibri" w:hAnsi="Times New Roman" w:cs="Times New Roman"/>
          <w:sz w:val="24"/>
          <w:szCs w:val="24"/>
        </w:rPr>
        <w:lastRenderedPageBreak/>
        <w:t>If you require any additional information regarding the submission, ple</w:t>
      </w:r>
      <w:r w:rsidRPr="005444C0">
        <w:rPr>
          <w:rFonts w:ascii="Times New Roman" w:eastAsia="Calibri" w:hAnsi="Times New Roman" w:cs="Times New Roman"/>
          <w:sz w:val="24"/>
          <w:szCs w:val="24"/>
        </w:rPr>
        <w:t xml:space="preserve">ase contact </w:t>
      </w:r>
      <w:r w:rsidR="00AF09D4">
        <w:rPr>
          <w:rFonts w:ascii="Times New Roman" w:eastAsia="Calibri" w:hAnsi="Times New Roman" w:cs="Times New Roman"/>
          <w:sz w:val="24"/>
          <w:szCs w:val="24"/>
        </w:rPr>
        <w:t>Stephen Matthews</w:t>
      </w:r>
      <w:r w:rsidR="00FC6DF1">
        <w:rPr>
          <w:rFonts w:ascii="Times New Roman" w:eastAsia="Calibri" w:hAnsi="Times New Roman" w:cs="Times New Roman"/>
          <w:sz w:val="24"/>
          <w:szCs w:val="24"/>
        </w:rPr>
        <w:t xml:space="preserve"> at (</w:t>
      </w:r>
      <w:r w:rsidR="00AF09D4">
        <w:rPr>
          <w:rFonts w:ascii="Times New Roman" w:eastAsia="Calibri" w:hAnsi="Times New Roman" w:cs="Times New Roman"/>
          <w:sz w:val="24"/>
          <w:szCs w:val="24"/>
        </w:rPr>
        <w:t>301</w:t>
      </w:r>
      <w:r w:rsidR="00FC6DF1">
        <w:rPr>
          <w:rFonts w:ascii="Times New Roman" w:eastAsia="Calibri" w:hAnsi="Times New Roman" w:cs="Times New Roman"/>
          <w:sz w:val="24"/>
          <w:szCs w:val="24"/>
        </w:rPr>
        <w:t xml:space="preserve">) </w:t>
      </w:r>
      <w:r w:rsidR="00AF09D4">
        <w:rPr>
          <w:rFonts w:ascii="Times New Roman" w:eastAsia="Calibri" w:hAnsi="Times New Roman" w:cs="Times New Roman"/>
          <w:sz w:val="24"/>
          <w:szCs w:val="24"/>
        </w:rPr>
        <w:t>978</w:t>
      </w:r>
      <w:r w:rsidR="00FC6DF1">
        <w:rPr>
          <w:rFonts w:ascii="Times New Roman" w:eastAsia="Calibri" w:hAnsi="Times New Roman" w:cs="Times New Roman"/>
          <w:sz w:val="24"/>
          <w:szCs w:val="24"/>
        </w:rPr>
        <w:t>-</w:t>
      </w:r>
      <w:r w:rsidR="00AF09D4">
        <w:rPr>
          <w:rFonts w:ascii="Times New Roman" w:eastAsia="Calibri" w:hAnsi="Times New Roman" w:cs="Times New Roman"/>
          <w:sz w:val="24"/>
          <w:szCs w:val="24"/>
        </w:rPr>
        <w:t>8458</w:t>
      </w:r>
      <w:r w:rsidR="009C04FC">
        <w:rPr>
          <w:rFonts w:ascii="Times New Roman" w:eastAsia="Calibri" w:hAnsi="Times New Roman" w:cs="Times New Roman"/>
          <w:sz w:val="24"/>
          <w:szCs w:val="24"/>
        </w:rPr>
        <w:t xml:space="preserve"> </w:t>
      </w:r>
      <w:r w:rsidRPr="005444C0">
        <w:rPr>
          <w:rFonts w:ascii="Times New Roman" w:eastAsia="Calibri" w:hAnsi="Times New Roman" w:cs="Times New Roman"/>
          <w:sz w:val="24"/>
          <w:szCs w:val="24"/>
        </w:rPr>
        <w:t xml:space="preserve">or via e-mail at </w:t>
      </w:r>
      <w:r w:rsidR="00AF09D4">
        <w:rPr>
          <w:rFonts w:ascii="Times New Roman" w:eastAsia="Calibri" w:hAnsi="Times New Roman" w:cs="Times New Roman"/>
          <w:sz w:val="24"/>
          <w:szCs w:val="24"/>
        </w:rPr>
        <w:t>steve.matthews</w:t>
      </w:r>
      <w:r w:rsidR="00FC6DF1">
        <w:rPr>
          <w:rFonts w:ascii="Times New Roman" w:eastAsia="Calibri" w:hAnsi="Times New Roman" w:cs="Times New Roman"/>
          <w:sz w:val="24"/>
          <w:szCs w:val="24"/>
        </w:rPr>
        <w:t>@nasdaq.com</w:t>
      </w:r>
      <w:r w:rsidR="000C4580">
        <w:rPr>
          <w:rFonts w:ascii="Times New Roman" w:eastAsia="Calibri" w:hAnsi="Times New Roman" w:cs="Times New Roman"/>
          <w:sz w:val="24"/>
          <w:szCs w:val="24"/>
        </w:rPr>
        <w:t>.</w:t>
      </w:r>
      <w:r w:rsidRPr="005444C0">
        <w:rPr>
          <w:rFonts w:ascii="Times New Roman" w:eastAsia="Calibri" w:hAnsi="Times New Roman" w:cs="Times New Roman"/>
          <w:sz w:val="24"/>
          <w:szCs w:val="24"/>
        </w:rPr>
        <w:t xml:space="preserve">  Please reference </w:t>
      </w:r>
      <w:r w:rsidR="009C04FC" w:rsidRPr="008C2611">
        <w:rPr>
          <w:rFonts w:ascii="Times New Roman" w:eastAsia="Calibri" w:hAnsi="Times New Roman" w:cs="Times New Roman"/>
          <w:sz w:val="24"/>
          <w:szCs w:val="24"/>
        </w:rPr>
        <w:t>SR-NFX-201</w:t>
      </w:r>
      <w:r w:rsidR="008C2611" w:rsidRPr="008C2611">
        <w:rPr>
          <w:rFonts w:ascii="Times New Roman" w:eastAsia="Calibri" w:hAnsi="Times New Roman" w:cs="Times New Roman"/>
          <w:sz w:val="24"/>
          <w:szCs w:val="24"/>
        </w:rPr>
        <w:t>6</w:t>
      </w:r>
      <w:r w:rsidR="009C04FC" w:rsidRPr="008C2611">
        <w:rPr>
          <w:rFonts w:ascii="Times New Roman" w:eastAsia="Calibri" w:hAnsi="Times New Roman" w:cs="Times New Roman"/>
          <w:sz w:val="24"/>
          <w:szCs w:val="24"/>
        </w:rPr>
        <w:t>-</w:t>
      </w:r>
      <w:r w:rsidR="00A67939">
        <w:rPr>
          <w:rFonts w:ascii="Times New Roman" w:eastAsia="Calibri" w:hAnsi="Times New Roman" w:cs="Times New Roman"/>
          <w:sz w:val="24"/>
          <w:szCs w:val="24"/>
        </w:rPr>
        <w:t>05</w:t>
      </w:r>
      <w:r w:rsidR="009C04FC" w:rsidRPr="008C2611">
        <w:rPr>
          <w:rFonts w:ascii="Times New Roman" w:eastAsia="Calibri" w:hAnsi="Times New Roman" w:cs="Times New Roman"/>
          <w:sz w:val="24"/>
          <w:szCs w:val="24"/>
        </w:rPr>
        <w:t xml:space="preserve"> </w:t>
      </w:r>
      <w:r w:rsidRPr="008C2611">
        <w:rPr>
          <w:rFonts w:ascii="Times New Roman" w:eastAsia="Calibri" w:hAnsi="Times New Roman" w:cs="Times New Roman"/>
          <w:sz w:val="24"/>
          <w:szCs w:val="24"/>
        </w:rPr>
        <w:t>in</w:t>
      </w:r>
      <w:r w:rsidRPr="005444C0">
        <w:rPr>
          <w:rFonts w:ascii="Times New Roman" w:eastAsia="Calibri" w:hAnsi="Times New Roman" w:cs="Times New Roman"/>
          <w:sz w:val="24"/>
          <w:szCs w:val="24"/>
        </w:rPr>
        <w:t xml:space="preserve"> any related correspondence.</w:t>
      </w:r>
    </w:p>
    <w:p w:rsidR="00EC1F98" w:rsidRPr="00650B32" w:rsidRDefault="00EC1F98" w:rsidP="005444C0">
      <w:pPr>
        <w:pStyle w:val="NoSpacing"/>
        <w:keepNext/>
        <w:rPr>
          <w:rFonts w:ascii="Times New Roman" w:eastAsia="Times New Roman" w:hAnsi="Times New Roman" w:cs="Times New Roman"/>
          <w:sz w:val="24"/>
          <w:szCs w:val="24"/>
        </w:rPr>
      </w:pPr>
    </w:p>
    <w:p w:rsidR="00EC1F98" w:rsidRPr="00650B32" w:rsidRDefault="00EC1F98" w:rsidP="005444C0">
      <w:pPr>
        <w:pStyle w:val="NoSpacing"/>
        <w:keepNext/>
        <w:rPr>
          <w:rFonts w:ascii="Times New Roman" w:eastAsia="Calibri" w:hAnsi="Times New Roman" w:cs="Times New Roman"/>
          <w:sz w:val="24"/>
          <w:szCs w:val="24"/>
        </w:rPr>
      </w:pPr>
    </w:p>
    <w:p w:rsidR="00EC1F98" w:rsidRPr="00650B32" w:rsidRDefault="001839AD" w:rsidP="005444C0">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B5D1D58" wp14:editId="7E3B9CEB">
            <wp:simplePos x="0" y="0"/>
            <wp:positionH relativeFrom="column">
              <wp:posOffset>2131695</wp:posOffset>
            </wp:positionH>
            <wp:positionV relativeFrom="paragraph">
              <wp:posOffset>-3810</wp:posOffset>
            </wp:positionV>
            <wp:extent cx="244792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447925" cy="638175"/>
                    </a:xfrm>
                    <a:prstGeom prst="rect">
                      <a:avLst/>
                    </a:prstGeom>
                    <a:noFill/>
                    <a:ln w="9525">
                      <a:noFill/>
                      <a:miter lim="800000"/>
                      <a:headEnd/>
                      <a:tailEnd/>
                    </a:ln>
                  </pic:spPr>
                </pic:pic>
              </a:graphicData>
            </a:graphic>
            <wp14:sizeRelH relativeFrom="margin">
              <wp14:pctWidth>0</wp14:pctWidth>
            </wp14:sizeRelH>
          </wp:anchor>
        </w:drawing>
      </w:r>
      <w:r w:rsidR="00EC1F98"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650B32" w:rsidRDefault="00EC1F98" w:rsidP="00EC1F98">
      <w:pPr>
        <w:pStyle w:val="NoSpacing"/>
        <w:rPr>
          <w:rFonts w:ascii="Times New Roman" w:eastAsia="Calibri" w:hAnsi="Times New Roman" w:cs="Times New Roman"/>
          <w:sz w:val="24"/>
          <w:szCs w:val="24"/>
        </w:rPr>
      </w:pPr>
    </w:p>
    <w:p w:rsidR="001839AD" w:rsidRDefault="001839AD" w:rsidP="001839AD">
      <w:pPr>
        <w:spacing w:after="0" w:line="240" w:lineRule="auto"/>
        <w:rPr>
          <w:rFonts w:ascii="Times New Roman" w:eastAsia="Calibri" w:hAnsi="Times New Roman" w:cs="Times New Roman"/>
          <w:sz w:val="24"/>
          <w:szCs w:val="24"/>
        </w:rPr>
      </w:pPr>
    </w:p>
    <w:p w:rsidR="00801DD1" w:rsidRDefault="00FC6DF1" w:rsidP="001839A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Attachment</w:t>
      </w:r>
      <w:r w:rsidR="00765E44">
        <w:rPr>
          <w:rFonts w:ascii="Times New Roman" w:eastAsia="Calibri" w:hAnsi="Times New Roman" w:cs="Times New Roman"/>
          <w:sz w:val="24"/>
          <w:szCs w:val="24"/>
        </w:rPr>
        <w:t>s</w:t>
      </w:r>
      <w:r>
        <w:rPr>
          <w:rFonts w:ascii="Times New Roman" w:eastAsia="Calibri" w:hAnsi="Times New Roman" w:cs="Times New Roman"/>
          <w:sz w:val="24"/>
          <w:szCs w:val="24"/>
        </w:rPr>
        <w:t>:</w:t>
      </w:r>
    </w:p>
    <w:p w:rsidR="00FC6DF1" w:rsidRDefault="00FC6DF1" w:rsidP="001839AD">
      <w:pPr>
        <w:spacing w:after="0" w:line="240" w:lineRule="auto"/>
        <w:rPr>
          <w:rFonts w:ascii="Times New Roman" w:eastAsia="Calibri" w:hAnsi="Times New Roman" w:cs="Times New Roman"/>
          <w:sz w:val="24"/>
          <w:szCs w:val="24"/>
        </w:rPr>
      </w:pPr>
    </w:p>
    <w:p w:rsidR="00FC6DF1" w:rsidRDefault="00FC6DF1" w:rsidP="001839A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Confidential Appendix 1 (attached under separate cover)</w:t>
      </w:r>
    </w:p>
    <w:sectPr w:rsidR="00FC6DF1"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1C1" w:rsidRDefault="006C21C1">
      <w:r>
        <w:separator/>
      </w:r>
    </w:p>
  </w:endnote>
  <w:endnote w:type="continuationSeparator" w:id="0">
    <w:p w:rsidR="006C21C1" w:rsidRDefault="006C2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026B8E4F-DFFB-401E-9943-C12E49A1A8B6}"/>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02A" w:rsidRDefault="00E6102A" w:rsidP="00F06CCD">
    <w:pPr>
      <w:pStyle w:val="Footer"/>
      <w:spacing w:before="600"/>
    </w:pPr>
    <w:r>
      <w:rPr>
        <w:noProof/>
        <w:lang w:eastAsia="en-US"/>
      </w:rPr>
      <w:drawing>
        <wp:anchor distT="0" distB="0" distL="114300" distR="114300" simplePos="0" relativeHeight="251660288" behindDoc="1" locked="0" layoutInCell="1" allowOverlap="1" wp14:anchorId="381F9201" wp14:editId="2E310256">
          <wp:simplePos x="0" y="0"/>
          <wp:positionH relativeFrom="page">
            <wp:posOffset>1905</wp:posOffset>
          </wp:positionH>
          <wp:positionV relativeFrom="page">
            <wp:align>bottom</wp:align>
          </wp:positionV>
          <wp:extent cx="7772400" cy="914400"/>
          <wp:effectExtent l="0" t="0" r="0" b="0"/>
          <wp:wrapNone/>
          <wp:docPr id="20" name="Picture 20" descr="Black_Mac:  Nasdaq Design-Production:JOBS:2010 JOBS:Q10-1083 US Stationery Update:Letterhead:QX_US_Letterhead_1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ck_Mac:  Nasdaq Design-Production:JOBS:2010 JOBS:Q10-1083 US Stationery Update:Letterhead:QX_US_Letterhead_11-1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1C1" w:rsidRDefault="006C21C1">
      <w:r>
        <w:separator/>
      </w:r>
    </w:p>
  </w:footnote>
  <w:footnote w:type="continuationSeparator" w:id="0">
    <w:p w:rsidR="006C21C1" w:rsidRDefault="006C21C1">
      <w:r>
        <w:continuationSeparator/>
      </w:r>
    </w:p>
  </w:footnote>
  <w:footnote w:id="1">
    <w:p w:rsidR="007B1144" w:rsidRDefault="007B1144">
      <w:pPr>
        <w:pStyle w:val="FootnoteText"/>
      </w:pPr>
      <w:r>
        <w:rPr>
          <w:rStyle w:val="FootnoteReference"/>
        </w:rPr>
        <w:footnoteRef/>
      </w:r>
      <w:r>
        <w:t xml:space="preserve"> </w:t>
      </w:r>
      <w:r w:rsidRPr="00FC6DF1">
        <w:rPr>
          <w:rFonts w:ascii="Times New Roman" w:hAnsi="Times New Roman" w:cs="Times New Roman"/>
          <w:sz w:val="24"/>
          <w:szCs w:val="24"/>
          <w:u w:val="single"/>
        </w:rPr>
        <w:t>S</w:t>
      </w:r>
      <w:r>
        <w:rPr>
          <w:rFonts w:ascii="Times New Roman" w:hAnsi="Times New Roman" w:cs="Times New Roman"/>
          <w:sz w:val="24"/>
          <w:szCs w:val="24"/>
          <w:u w:val="single"/>
        </w:rPr>
        <w:t>ee</w:t>
      </w:r>
      <w:r w:rsidRPr="00FC6DF1">
        <w:rPr>
          <w:rFonts w:ascii="Times New Roman" w:hAnsi="Times New Roman" w:cs="Times New Roman"/>
          <w:sz w:val="24"/>
          <w:szCs w:val="24"/>
        </w:rPr>
        <w:t xml:space="preserve"> SR-NFX-2015-</w:t>
      </w:r>
      <w:r>
        <w:rPr>
          <w:rFonts w:ascii="Times New Roman" w:hAnsi="Times New Roman" w:cs="Times New Roman"/>
          <w:sz w:val="24"/>
          <w:szCs w:val="24"/>
        </w:rPr>
        <w:t xml:space="preserve">30, filed </w:t>
      </w:r>
      <w:r w:rsidR="00F66C24">
        <w:rPr>
          <w:rFonts w:ascii="Times New Roman" w:hAnsi="Times New Roman" w:cs="Times New Roman"/>
          <w:sz w:val="24"/>
          <w:szCs w:val="24"/>
        </w:rPr>
        <w:t>May 15</w:t>
      </w:r>
      <w:r>
        <w:rPr>
          <w:rFonts w:ascii="Times New Roman" w:hAnsi="Times New Roman" w:cs="Times New Roman"/>
          <w:sz w:val="24"/>
          <w:szCs w:val="24"/>
        </w:rPr>
        <w:t>,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02A" w:rsidRPr="00A1032E" w:rsidRDefault="00E6102A" w:rsidP="005E244B">
    <w:pPr>
      <w:pStyle w:val="NoSpacing"/>
      <w:rPr>
        <w:rFonts w:ascii="Times New Roman" w:eastAsia="Calibri" w:hAnsi="Times New Roman" w:cs="Times New Roman"/>
        <w:sz w:val="20"/>
        <w:szCs w:val="20"/>
      </w:rPr>
    </w:pPr>
    <w:r w:rsidRPr="00A1032E">
      <w:rPr>
        <w:rFonts w:ascii="Times New Roman" w:eastAsia="Calibri" w:hAnsi="Times New Roman" w:cs="Times New Roman"/>
        <w:sz w:val="20"/>
        <w:szCs w:val="20"/>
      </w:rPr>
      <w:t>Commodity Futures Trading Commission</w:t>
    </w:r>
  </w:p>
  <w:p w:rsidR="00E6102A" w:rsidRPr="00A1032E" w:rsidRDefault="008C2611" w:rsidP="005E244B">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January 1</w:t>
    </w:r>
    <w:r w:rsidR="00A67939">
      <w:rPr>
        <w:rFonts w:ascii="Times New Roman" w:eastAsia="Calibri" w:hAnsi="Times New Roman" w:cs="Times New Roman"/>
        <w:sz w:val="20"/>
        <w:szCs w:val="20"/>
      </w:rPr>
      <w:t>4</w:t>
    </w:r>
    <w:r>
      <w:rPr>
        <w:rFonts w:ascii="Times New Roman" w:eastAsia="Calibri" w:hAnsi="Times New Roman" w:cs="Times New Roman"/>
        <w:sz w:val="20"/>
        <w:szCs w:val="20"/>
      </w:rPr>
      <w:t>, 2016</w:t>
    </w:r>
  </w:p>
  <w:p w:rsidR="00E6102A" w:rsidRDefault="00E610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8C2611">
      <w:rPr>
        <w:rFonts w:ascii="Times New Roman" w:hAnsi="Times New Roman" w:cs="Times New Roman"/>
        <w:sz w:val="20"/>
        <w:szCs w:val="20"/>
      </w:rPr>
      <w:t>6</w:t>
    </w:r>
    <w:r>
      <w:rPr>
        <w:rFonts w:ascii="Times New Roman" w:hAnsi="Times New Roman" w:cs="Times New Roman"/>
        <w:sz w:val="20"/>
        <w:szCs w:val="20"/>
      </w:rPr>
      <w:t>-</w:t>
    </w:r>
    <w:r w:rsidR="008C2611">
      <w:rPr>
        <w:rFonts w:ascii="Times New Roman" w:hAnsi="Times New Roman" w:cs="Times New Roman"/>
        <w:sz w:val="20"/>
        <w:szCs w:val="20"/>
      </w:rPr>
      <w:t>0</w:t>
    </w:r>
    <w:r w:rsidR="00A67939">
      <w:rPr>
        <w:rFonts w:ascii="Times New Roman" w:hAnsi="Times New Roman" w:cs="Times New Roman"/>
        <w:sz w:val="20"/>
        <w:szCs w:val="20"/>
      </w:rPr>
      <w:t>5</w:t>
    </w:r>
  </w:p>
  <w:p w:rsidR="00E6102A" w:rsidRPr="00B67098" w:rsidRDefault="00E6102A"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203F8D">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rsidR="00E6102A" w:rsidRPr="00B67098" w:rsidRDefault="00E6102A" w:rsidP="00B67098">
    <w:pPr>
      <w:spacing w:after="0" w:line="240" w:lineRule="auto"/>
      <w:rPr>
        <w:rFonts w:ascii="Times New Roman" w:hAnsi="Times New Roman" w:cs="Times New Roman"/>
        <w:sz w:val="20"/>
        <w:szCs w:val="20"/>
      </w:rPr>
    </w:pPr>
  </w:p>
  <w:p w:rsidR="00E6102A" w:rsidRPr="00B67098" w:rsidRDefault="00E6102A"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02A" w:rsidRDefault="00E6102A" w:rsidP="00C532C3">
    <w:pPr>
      <w:pStyle w:val="ListParagraph"/>
      <w:kinsoku w:val="0"/>
      <w:overflowPunct w:val="0"/>
      <w:spacing w:before="9"/>
      <w:rPr>
        <w:sz w:val="6"/>
        <w:szCs w:val="6"/>
      </w:rPr>
    </w:pPr>
  </w:p>
  <w:p w:rsidR="00E6102A" w:rsidRDefault="00E6102A" w:rsidP="00C532C3">
    <w:pPr>
      <w:pStyle w:val="ListParagraph"/>
      <w:kinsoku w:val="0"/>
      <w:overflowPunct w:val="0"/>
      <w:spacing w:line="200" w:lineRule="atLeast"/>
      <w:ind w:left="103"/>
      <w:rPr>
        <w:sz w:val="20"/>
        <w:szCs w:val="20"/>
      </w:rPr>
    </w:pPr>
    <w:bookmarkStart w:id="1" w:name="bookmark1"/>
    <w:bookmarkStart w:id="2" w:name="bookmark0"/>
    <w:bookmarkStart w:id="3" w:name="SR-NFX-2015-10"/>
    <w:bookmarkEnd w:id="1"/>
    <w:bookmarkEnd w:id="2"/>
    <w:bookmarkEnd w:id="3"/>
    <w:r>
      <w:rPr>
        <w:noProof/>
        <w:sz w:val="20"/>
        <w:szCs w:val="20"/>
      </w:rPr>
      <w:drawing>
        <wp:inline distT="0" distB="0" distL="0" distR="0" wp14:anchorId="0DFB79B1" wp14:editId="037845EF">
          <wp:extent cx="3476625"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6625" cy="619125"/>
                  </a:xfrm>
                  <a:prstGeom prst="rect">
                    <a:avLst/>
                  </a:prstGeom>
                  <a:noFill/>
                  <a:ln>
                    <a:noFill/>
                  </a:ln>
                </pic:spPr>
              </pic:pic>
            </a:graphicData>
          </a:graphic>
        </wp:inline>
      </w:drawing>
    </w:r>
  </w:p>
  <w:p w:rsidR="00E6102A" w:rsidRDefault="00E6102A">
    <w:pPr>
      <w:spacing w:after="9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2">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6">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1"/>
  </w:num>
  <w:num w:numId="4">
    <w:abstractNumId w:val="16"/>
  </w:num>
  <w:num w:numId="5">
    <w:abstractNumId w:val="14"/>
  </w:num>
  <w:num w:numId="6">
    <w:abstractNumId w:val="13"/>
  </w:num>
  <w:num w:numId="7">
    <w:abstractNumId w:val="12"/>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6"/>
  </w:num>
  <w:num w:numId="18">
    <w:abstractNumId w:val="9"/>
  </w:num>
  <w:num w:numId="19">
    <w:abstractNumId w:val="11"/>
  </w:num>
  <w:num w:numId="20">
    <w:abstractNumId w:val="10"/>
  </w:num>
  <w:num w:numId="21">
    <w:abstractNumId w:val="16"/>
  </w:num>
  <w:num w:numId="22">
    <w:abstractNumId w:val="9"/>
  </w:num>
  <w:num w:numId="23">
    <w:abstractNumId w:val="11"/>
  </w:num>
  <w:num w:numId="24">
    <w:abstractNumId w:val="10"/>
  </w:num>
  <w:num w:numId="25">
    <w:abstractNumId w:val="16"/>
  </w:num>
  <w:num w:numId="26">
    <w:abstractNumId w:val="15"/>
  </w:num>
  <w:num w:numId="27">
    <w:abstractNumId w:val="1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embedTrueTypeFonts/>
  <w:saveSubsetFonts/>
  <w:attachedTemplate r:id="rId1"/>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76912"/>
    <w:rsid w:val="000779A4"/>
    <w:rsid w:val="0009075B"/>
    <w:rsid w:val="000C4580"/>
    <w:rsid w:val="00141FCB"/>
    <w:rsid w:val="001646BD"/>
    <w:rsid w:val="001839AD"/>
    <w:rsid w:val="00197F73"/>
    <w:rsid w:val="001E69DD"/>
    <w:rsid w:val="002017EC"/>
    <w:rsid w:val="00203F8D"/>
    <w:rsid w:val="002276AD"/>
    <w:rsid w:val="00272F55"/>
    <w:rsid w:val="00274FA0"/>
    <w:rsid w:val="002A147E"/>
    <w:rsid w:val="003334C8"/>
    <w:rsid w:val="00337B63"/>
    <w:rsid w:val="003839C3"/>
    <w:rsid w:val="003A76CC"/>
    <w:rsid w:val="003E5713"/>
    <w:rsid w:val="00400F17"/>
    <w:rsid w:val="00425E24"/>
    <w:rsid w:val="004416D1"/>
    <w:rsid w:val="004623F3"/>
    <w:rsid w:val="00462BD3"/>
    <w:rsid w:val="004660AF"/>
    <w:rsid w:val="004C5283"/>
    <w:rsid w:val="004C61E7"/>
    <w:rsid w:val="00537050"/>
    <w:rsid w:val="005444C0"/>
    <w:rsid w:val="0055465F"/>
    <w:rsid w:val="0055547F"/>
    <w:rsid w:val="005B121C"/>
    <w:rsid w:val="005B4892"/>
    <w:rsid w:val="005D1BE8"/>
    <w:rsid w:val="005E244B"/>
    <w:rsid w:val="00602FD4"/>
    <w:rsid w:val="00615BE5"/>
    <w:rsid w:val="00631739"/>
    <w:rsid w:val="00645538"/>
    <w:rsid w:val="00662BF1"/>
    <w:rsid w:val="00672BD3"/>
    <w:rsid w:val="006C21C1"/>
    <w:rsid w:val="00701A1E"/>
    <w:rsid w:val="00722A3A"/>
    <w:rsid w:val="00723F8E"/>
    <w:rsid w:val="007263EC"/>
    <w:rsid w:val="007416EA"/>
    <w:rsid w:val="00752A6A"/>
    <w:rsid w:val="00765E44"/>
    <w:rsid w:val="007A6CF6"/>
    <w:rsid w:val="007B1144"/>
    <w:rsid w:val="007B5088"/>
    <w:rsid w:val="007C1756"/>
    <w:rsid w:val="00801DD1"/>
    <w:rsid w:val="00803051"/>
    <w:rsid w:val="008110DF"/>
    <w:rsid w:val="008279FE"/>
    <w:rsid w:val="008C04C7"/>
    <w:rsid w:val="008C2611"/>
    <w:rsid w:val="008D0EA0"/>
    <w:rsid w:val="008E113C"/>
    <w:rsid w:val="00901585"/>
    <w:rsid w:val="009325A9"/>
    <w:rsid w:val="009B67F4"/>
    <w:rsid w:val="009C04FC"/>
    <w:rsid w:val="009D2F9C"/>
    <w:rsid w:val="00A032A5"/>
    <w:rsid w:val="00A1032E"/>
    <w:rsid w:val="00A31683"/>
    <w:rsid w:val="00A53AF2"/>
    <w:rsid w:val="00A67939"/>
    <w:rsid w:val="00AA7892"/>
    <w:rsid w:val="00AB4A64"/>
    <w:rsid w:val="00AF09D4"/>
    <w:rsid w:val="00B15314"/>
    <w:rsid w:val="00B16521"/>
    <w:rsid w:val="00B5184E"/>
    <w:rsid w:val="00B67098"/>
    <w:rsid w:val="00B8408C"/>
    <w:rsid w:val="00B9399D"/>
    <w:rsid w:val="00BD0EC1"/>
    <w:rsid w:val="00BF0157"/>
    <w:rsid w:val="00BF2D2F"/>
    <w:rsid w:val="00C0700B"/>
    <w:rsid w:val="00C26C74"/>
    <w:rsid w:val="00C43288"/>
    <w:rsid w:val="00C532C3"/>
    <w:rsid w:val="00C628A0"/>
    <w:rsid w:val="00C64416"/>
    <w:rsid w:val="00CA1348"/>
    <w:rsid w:val="00CB6A80"/>
    <w:rsid w:val="00CE4500"/>
    <w:rsid w:val="00DF3D42"/>
    <w:rsid w:val="00E462DD"/>
    <w:rsid w:val="00E53844"/>
    <w:rsid w:val="00E6102A"/>
    <w:rsid w:val="00EC12B3"/>
    <w:rsid w:val="00EC1F98"/>
    <w:rsid w:val="00F06CCD"/>
    <w:rsid w:val="00F23770"/>
    <w:rsid w:val="00F43570"/>
    <w:rsid w:val="00F56481"/>
    <w:rsid w:val="00F66C24"/>
    <w:rsid w:val="00FC6DF1"/>
    <w:rsid w:val="00FE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ListParagraph">
    <w:name w:val="List Paragraph"/>
    <w:basedOn w:val="Normal"/>
    <w:uiPriority w:val="1"/>
    <w:qFormat/>
    <w:rsid w:val="00C532C3"/>
    <w:pPr>
      <w:autoSpaceDE w:val="0"/>
      <w:autoSpaceDN w:val="0"/>
      <w:adjustRightInd w:val="0"/>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rsid w:val="009C04FC"/>
    <w:pPr>
      <w:spacing w:after="0" w:line="240" w:lineRule="auto"/>
    </w:pPr>
    <w:rPr>
      <w:sz w:val="20"/>
      <w:szCs w:val="20"/>
    </w:rPr>
  </w:style>
  <w:style w:type="character" w:customStyle="1" w:styleId="FootnoteTextChar">
    <w:name w:val="Footnote Text Char"/>
    <w:basedOn w:val="DefaultParagraphFont"/>
    <w:link w:val="FootnoteText"/>
    <w:rsid w:val="009C04FC"/>
    <w:rPr>
      <w:rFonts w:asciiTheme="minorHAnsi" w:eastAsiaTheme="minorHAnsi" w:hAnsiTheme="minorHAnsi" w:cstheme="minorBidi"/>
    </w:rPr>
  </w:style>
  <w:style w:type="character" w:styleId="FootnoteReference">
    <w:name w:val="footnote reference"/>
    <w:basedOn w:val="DefaultParagraphFont"/>
    <w:rsid w:val="009C04FC"/>
    <w:rPr>
      <w:vertAlign w:val="superscript"/>
    </w:rPr>
  </w:style>
  <w:style w:type="character" w:styleId="FollowedHyperlink">
    <w:name w:val="FollowedHyperlink"/>
    <w:basedOn w:val="DefaultParagraphFont"/>
    <w:rsid w:val="008C2611"/>
    <w:rPr>
      <w:color w:val="800080" w:themeColor="followedHyperlink"/>
      <w:u w:val="single"/>
    </w:rPr>
  </w:style>
  <w:style w:type="paragraph" w:styleId="EndnoteText">
    <w:name w:val="endnote text"/>
    <w:basedOn w:val="Normal"/>
    <w:link w:val="EndnoteTextChar"/>
    <w:rsid w:val="007B1144"/>
    <w:pPr>
      <w:spacing w:after="0" w:line="240" w:lineRule="auto"/>
    </w:pPr>
    <w:rPr>
      <w:sz w:val="20"/>
      <w:szCs w:val="20"/>
    </w:rPr>
  </w:style>
  <w:style w:type="character" w:customStyle="1" w:styleId="EndnoteTextChar">
    <w:name w:val="Endnote Text Char"/>
    <w:basedOn w:val="DefaultParagraphFont"/>
    <w:link w:val="EndnoteText"/>
    <w:rsid w:val="007B1144"/>
    <w:rPr>
      <w:rFonts w:asciiTheme="minorHAnsi" w:eastAsiaTheme="minorHAnsi" w:hAnsiTheme="minorHAnsi" w:cstheme="minorBidi"/>
    </w:rPr>
  </w:style>
  <w:style w:type="character" w:styleId="EndnoteReference">
    <w:name w:val="endnote reference"/>
    <w:basedOn w:val="DefaultParagraphFont"/>
    <w:rsid w:val="007B11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ListParagraph">
    <w:name w:val="List Paragraph"/>
    <w:basedOn w:val="Normal"/>
    <w:uiPriority w:val="1"/>
    <w:qFormat/>
    <w:rsid w:val="00C532C3"/>
    <w:pPr>
      <w:autoSpaceDE w:val="0"/>
      <w:autoSpaceDN w:val="0"/>
      <w:adjustRightInd w:val="0"/>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rsid w:val="009C04FC"/>
    <w:pPr>
      <w:spacing w:after="0" w:line="240" w:lineRule="auto"/>
    </w:pPr>
    <w:rPr>
      <w:sz w:val="20"/>
      <w:szCs w:val="20"/>
    </w:rPr>
  </w:style>
  <w:style w:type="character" w:customStyle="1" w:styleId="FootnoteTextChar">
    <w:name w:val="Footnote Text Char"/>
    <w:basedOn w:val="DefaultParagraphFont"/>
    <w:link w:val="FootnoteText"/>
    <w:rsid w:val="009C04FC"/>
    <w:rPr>
      <w:rFonts w:asciiTheme="minorHAnsi" w:eastAsiaTheme="minorHAnsi" w:hAnsiTheme="minorHAnsi" w:cstheme="minorBidi"/>
    </w:rPr>
  </w:style>
  <w:style w:type="character" w:styleId="FootnoteReference">
    <w:name w:val="footnote reference"/>
    <w:basedOn w:val="DefaultParagraphFont"/>
    <w:rsid w:val="009C04FC"/>
    <w:rPr>
      <w:vertAlign w:val="superscript"/>
    </w:rPr>
  </w:style>
  <w:style w:type="character" w:styleId="FollowedHyperlink">
    <w:name w:val="FollowedHyperlink"/>
    <w:basedOn w:val="DefaultParagraphFont"/>
    <w:rsid w:val="008C2611"/>
    <w:rPr>
      <w:color w:val="800080" w:themeColor="followedHyperlink"/>
      <w:u w:val="single"/>
    </w:rPr>
  </w:style>
  <w:style w:type="paragraph" w:styleId="EndnoteText">
    <w:name w:val="endnote text"/>
    <w:basedOn w:val="Normal"/>
    <w:link w:val="EndnoteTextChar"/>
    <w:rsid w:val="007B1144"/>
    <w:pPr>
      <w:spacing w:after="0" w:line="240" w:lineRule="auto"/>
    </w:pPr>
    <w:rPr>
      <w:sz w:val="20"/>
      <w:szCs w:val="20"/>
    </w:rPr>
  </w:style>
  <w:style w:type="character" w:customStyle="1" w:styleId="EndnoteTextChar">
    <w:name w:val="Endnote Text Char"/>
    <w:basedOn w:val="DefaultParagraphFont"/>
    <w:link w:val="EndnoteText"/>
    <w:rsid w:val="007B1144"/>
    <w:rPr>
      <w:rFonts w:asciiTheme="minorHAnsi" w:eastAsiaTheme="minorHAnsi" w:hAnsiTheme="minorHAnsi" w:cstheme="minorBidi"/>
    </w:rPr>
  </w:style>
  <w:style w:type="character" w:styleId="EndnoteReference">
    <w:name w:val="endnote reference"/>
    <w:basedOn w:val="DefaultParagraphFont"/>
    <w:rsid w:val="007B11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99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0fb583df-a3fd-4cfe-ba54-9f4d4bb95ab5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2016-01-14T22:16:39+00:00</Document_x0020_Date>
    <Document_x0020_No xmlns="4b47aac5-4c46-444f-8595-ce09b406fc61">21865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791099-6EB1-47C5-8C7C-7A9A779E08D6}"/>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6C5E78A0-D66A-4500-944B-548A71AB570D}"/>
</file>

<file path=customXml/itemProps5.xml><?xml version="1.0" encoding="utf-8"?>
<ds:datastoreItem xmlns:ds="http://schemas.openxmlformats.org/officeDocument/2006/customXml" ds:itemID="{409FCC16-16FE-4BC8-93C5-9C8DF4EFC66D}"/>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4</Pages>
  <Words>1343</Words>
  <Characters>7659</Characters>
  <Application>Microsoft Office Word</Application>
  <DocSecurity>6</DocSecurity>
  <Lines>63</Lines>
  <Paragraphs>17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2016-01-14T21:52:00Z</dcterms:created>
  <dcterms:modified xsi:type="dcterms:W3CDTF">2016-01-14T21:52:00Z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2087500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