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8C2611" w:rsidRDefault="008279FE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C6179E">
        <w:rPr>
          <w:rFonts w:ascii="Times New Roman" w:eastAsia="Calibri" w:hAnsi="Times New Roman" w:cs="Times New Roman"/>
          <w:sz w:val="24"/>
          <w:szCs w:val="24"/>
        </w:rPr>
        <w:t>22</w:t>
      </w:r>
      <w:r w:rsidRPr="008C2611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8C2611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Pr="008C2611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8C2611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261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2611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8C2611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8C2611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Re:</w:t>
      </w:r>
      <w:r w:rsidRPr="008C2611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8C2611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8C2611" w:rsidRDefault="009C04FC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2611">
        <w:rPr>
          <w:rFonts w:ascii="Times New Roman" w:eastAsia="Calibri" w:hAnsi="Times New Roman" w:cs="Times New Roman"/>
          <w:b/>
          <w:sz w:val="24"/>
          <w:szCs w:val="24"/>
        </w:rPr>
        <w:t xml:space="preserve">Market Maker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65E44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279FE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65E44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C6179E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EC1F98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A53AF2" w:rsidRPr="0072283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mits this self-certification to amend the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market maker program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energy contracts that the Exchange </w:t>
      </w:r>
      <w:r w:rsidR="00A53AF2">
        <w:rPr>
          <w:rFonts w:ascii="Times New Roman" w:eastAsia="Calibri" w:hAnsi="Times New Roman" w:cs="Times New Roman"/>
          <w:sz w:val="24"/>
          <w:szCs w:val="24"/>
        </w:rPr>
        <w:t>has listed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more specifically, 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D2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79E">
        <w:rPr>
          <w:rFonts w:ascii="Times New Roman" w:eastAsia="Times New Roman" w:hAnsi="Times New Roman" w:cs="Times New Roman"/>
          <w:sz w:val="24"/>
          <w:szCs w:val="24"/>
        </w:rPr>
        <w:t xml:space="preserve">include the fifteen </w:t>
      </w:r>
      <w:r w:rsidR="00C6179E">
        <w:rPr>
          <w:rFonts w:ascii="Times New Roman" w:eastAsia="Calibri" w:hAnsi="Times New Roman" w:cs="Times New Roman"/>
          <w:sz w:val="24"/>
          <w:szCs w:val="24"/>
        </w:rPr>
        <w:t>financially settled energy futures products filed under filing SR-NFX-2016-07 (the “</w:t>
      </w:r>
      <w:r w:rsidR="00C6179E" w:rsidRPr="004C1269">
        <w:rPr>
          <w:rFonts w:ascii="Times New Roman" w:eastAsia="Calibri" w:hAnsi="Times New Roman" w:cs="Times New Roman"/>
          <w:sz w:val="24"/>
          <w:szCs w:val="24"/>
          <w:u w:val="single"/>
        </w:rPr>
        <w:t>New Contracts</w:t>
      </w:r>
      <w:r w:rsidR="00C6179E">
        <w:rPr>
          <w:rFonts w:ascii="Times New Roman" w:eastAsia="Calibri" w:hAnsi="Times New Roman" w:cs="Times New Roman"/>
          <w:sz w:val="24"/>
          <w:szCs w:val="24"/>
        </w:rPr>
        <w:t>”</w:t>
      </w:r>
      <w:r w:rsidR="00C6179E">
        <w:rPr>
          <w:rFonts w:ascii="Times New Roman" w:eastAsia="Calibri" w:hAnsi="Times New Roman" w:cs="Times New Roman"/>
          <w:sz w:val="24"/>
          <w:szCs w:val="24"/>
        </w:rPr>
        <w:t>) under the Energy DMM Program</w:t>
      </w:r>
      <w:r w:rsidR="009C04FC">
        <w:rPr>
          <w:rFonts w:ascii="Times New Roman" w:eastAsia="Calibri" w:hAnsi="Times New Roman" w:cs="Times New Roman"/>
          <w:sz w:val="24"/>
          <w:szCs w:val="24"/>
        </w:rPr>
        <w:t>.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The amendments to </w:t>
      </w:r>
      <w:r w:rsidR="00A53AF2">
        <w:rPr>
          <w:rFonts w:ascii="Times New Roman" w:eastAsia="Calibri" w:hAnsi="Times New Roman" w:cs="Times New Roman"/>
          <w:sz w:val="24"/>
          <w:szCs w:val="24"/>
        </w:rPr>
        <w:t>the current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Energy DMM Program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are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set forth in </w:t>
      </w:r>
      <w:r w:rsidR="00A53AF2" w:rsidRPr="007A6CF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8110DF" w:rsidRPr="008110DF">
        <w:rPr>
          <w:rFonts w:ascii="Times New Roman" w:eastAsia="Calibri" w:hAnsi="Times New Roman" w:cs="Times New Roman"/>
          <w:sz w:val="24"/>
          <w:szCs w:val="24"/>
        </w:rPr>
        <w:t xml:space="preserve"> and will be implemented on </w:t>
      </w:r>
      <w:r w:rsidR="00C6179E">
        <w:rPr>
          <w:rFonts w:ascii="Times New Roman" w:eastAsia="Calibri" w:hAnsi="Times New Roman" w:cs="Times New Roman"/>
          <w:sz w:val="24"/>
          <w:szCs w:val="24"/>
        </w:rPr>
        <w:t>February 8</w:t>
      </w:r>
      <w:r w:rsidR="00C26C74" w:rsidRPr="009D2F9C">
        <w:rPr>
          <w:rFonts w:ascii="Times New Roman" w:eastAsia="Calibri" w:hAnsi="Times New Roman" w:cs="Times New Roman"/>
          <w:sz w:val="24"/>
          <w:szCs w:val="24"/>
        </w:rPr>
        <w:t>, 2016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 xml:space="preserve"> and will continue until the Energy DMM Program</w:t>
      </w:r>
      <w:r w:rsidR="00AF09D4" w:rsidRPr="00274FA0">
        <w:rPr>
          <w:rFonts w:ascii="Times New Roman" w:eastAsia="Calibri" w:hAnsi="Times New Roman" w:cs="Times New Roman"/>
          <w:sz w:val="24"/>
          <w:szCs w:val="24"/>
        </w:rPr>
        <w:t xml:space="preserve"> expires 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on April 24, 2016.</w:t>
      </w:r>
    </w:p>
    <w:p w:rsidR="00801DD1" w:rsidRDefault="00801DD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Participants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FC6DF1">
        <w:rPr>
          <w:rFonts w:ascii="Times New Roman" w:eastAsia="Calibri" w:hAnsi="Times New Roman" w:cs="Times New Roman"/>
          <w:sz w:val="24"/>
          <w:szCs w:val="24"/>
        </w:rPr>
        <w:t>have been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selected by Exchange staff </w:t>
      </w:r>
      <w:r w:rsidR="008C04C7">
        <w:rPr>
          <w:rFonts w:ascii="Times New Roman" w:eastAsia="Calibri" w:hAnsi="Times New Roman" w:cs="Times New Roman"/>
          <w:sz w:val="24"/>
          <w:szCs w:val="24"/>
        </w:rPr>
        <w:t>using the process described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839AD">
        <w:rPr>
          <w:rFonts w:ascii="Times New Roman" w:eastAsia="Calibri" w:hAnsi="Times New Roman" w:cs="Times New Roman"/>
          <w:sz w:val="24"/>
          <w:szCs w:val="24"/>
        </w:rPr>
        <w:t>the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AD" w:rsidRPr="00A1032E">
        <w:rPr>
          <w:rFonts w:ascii="Times New Roman" w:eastAsia="Calibri" w:hAnsi="Times New Roman" w:cs="Times New Roman"/>
          <w:sz w:val="24"/>
          <w:szCs w:val="24"/>
        </w:rPr>
        <w:t xml:space="preserve">Designated Market Maker Solicitation for Appointment in Energy Futures and Options Products </w:t>
      </w:r>
      <w:r w:rsidR="008C04C7" w:rsidRPr="00A1032E">
        <w:rPr>
          <w:rFonts w:ascii="Times New Roman" w:eastAsia="Calibri" w:hAnsi="Times New Roman" w:cs="Times New Roman"/>
          <w:sz w:val="24"/>
          <w:szCs w:val="24"/>
        </w:rPr>
        <w:t>(</w:t>
      </w:r>
      <w:r w:rsidR="00FC6DF1">
        <w:rPr>
          <w:rFonts w:ascii="Times New Roman" w:eastAsia="Calibri" w:hAnsi="Times New Roman" w:cs="Times New Roman"/>
          <w:sz w:val="24"/>
          <w:szCs w:val="24"/>
        </w:rPr>
        <w:t>the “</w:t>
      </w:r>
      <w:r w:rsidR="00FC6DF1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 w:rsidR="00FC6DF1">
        <w:rPr>
          <w:rFonts w:ascii="Times New Roman" w:eastAsia="Calibri" w:hAnsi="Times New Roman" w:cs="Times New Roman"/>
          <w:sz w:val="24"/>
          <w:szCs w:val="24"/>
        </w:rPr>
        <w:t>”), previously filed with the Commission.</w:t>
      </w:r>
      <w:r w:rsidR="00FC6DF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110DF">
        <w:rPr>
          <w:rFonts w:ascii="Times New Roman" w:eastAsia="Calibri" w:hAnsi="Times New Roman" w:cs="Times New Roman"/>
          <w:sz w:val="24"/>
          <w:szCs w:val="24"/>
        </w:rPr>
        <w:t>NFX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select</w:t>
      </w:r>
      <w:r w:rsidR="00FC6DF1" w:rsidRPr="00274FA0">
        <w:rPr>
          <w:rFonts w:ascii="Times New Roman" w:eastAsia="Calibri" w:hAnsi="Times New Roman" w:cs="Times New Roman"/>
          <w:sz w:val="24"/>
          <w:szCs w:val="24"/>
        </w:rPr>
        <w:t>ed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0DF">
        <w:rPr>
          <w:rFonts w:ascii="Times New Roman" w:eastAsia="Calibri" w:hAnsi="Times New Roman" w:cs="Times New Roman"/>
          <w:sz w:val="24"/>
          <w:szCs w:val="24"/>
        </w:rPr>
        <w:t xml:space="preserve">around </w:t>
      </w:r>
      <w:r w:rsidR="008C2611">
        <w:rPr>
          <w:rFonts w:ascii="Times New Roman" w:eastAsia="Calibri" w:hAnsi="Times New Roman" w:cs="Times New Roman"/>
          <w:sz w:val="24"/>
          <w:szCs w:val="24"/>
        </w:rPr>
        <w:t>20</w:t>
      </w:r>
      <w:r w:rsidR="00765E44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Designated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Market Makers </w:t>
      </w:r>
      <w:r w:rsidR="00765E44">
        <w:rPr>
          <w:rFonts w:ascii="Times New Roman" w:eastAsia="Calibri" w:hAnsi="Times New Roman" w:cs="Times New Roman"/>
          <w:sz w:val="24"/>
          <w:szCs w:val="24"/>
        </w:rPr>
        <w:t>(“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8C04C7">
        <w:rPr>
          <w:rFonts w:ascii="Times New Roman" w:eastAsia="Calibri" w:hAnsi="Times New Roman" w:cs="Times New Roman"/>
          <w:sz w:val="24"/>
          <w:szCs w:val="24"/>
        </w:rPr>
        <w:t>for the Program from among the Futures Participants and Authorized Customers who submit</w:t>
      </w:r>
      <w:r w:rsidR="00FC6DF1">
        <w:rPr>
          <w:rFonts w:ascii="Times New Roman" w:eastAsia="Calibri" w:hAnsi="Times New Roman" w:cs="Times New Roman"/>
          <w:sz w:val="24"/>
          <w:szCs w:val="24"/>
        </w:rPr>
        <w:t>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proposals in response to the Solicitation</w:t>
      </w:r>
      <w:r w:rsidR="008C2611">
        <w:rPr>
          <w:rFonts w:ascii="Times New Roman" w:eastAsia="Calibri" w:hAnsi="Times New Roman" w:cs="Times New Roman"/>
          <w:sz w:val="24"/>
          <w:szCs w:val="24"/>
        </w:rPr>
        <w:t>, with a view to having up to 25 DMMs participating at any particular time</w:t>
      </w:r>
      <w:r w:rsidR="008C04C7">
        <w:rPr>
          <w:rFonts w:ascii="Times New Roman" w:eastAsia="Calibri" w:hAnsi="Times New Roman" w:cs="Times New Roman"/>
          <w:sz w:val="24"/>
          <w:szCs w:val="24"/>
        </w:rPr>
        <w:t>.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basic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attached hereto as </w:t>
      </w:r>
      <w:r w:rsidR="00765E44" w:rsidRPr="00C6179E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confidential details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Program are set forth in Confidential Appendix 1, attached under separate cover.  </w:t>
      </w:r>
    </w:p>
    <w:p w:rsidR="001E69DD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Pr="00CA1348" w:rsidRDefault="00EC1F98" w:rsidP="00CA1348">
      <w:pPr>
        <w:ind w:firstLine="1310"/>
        <w:rPr>
          <w:rFonts w:ascii="Times New Roman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>
        <w:rPr>
          <w:rFonts w:ascii="Times New Roman" w:eastAsia="Calibri" w:hAnsi="Times New Roman" w:cs="Times New Roman"/>
          <w:sz w:val="24"/>
          <w:szCs w:val="24"/>
        </w:rPr>
        <w:t>F</w:t>
      </w:r>
      <w:r w:rsidR="00197F73">
        <w:rPr>
          <w:rFonts w:ascii="Times New Roman" w:eastAsia="Calibri" w:hAnsi="Times New Roman" w:cs="Times New Roman"/>
          <w:sz w:val="24"/>
          <w:szCs w:val="24"/>
        </w:rPr>
        <w:t>X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hereby certifies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A1032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>
        <w:rPr>
          <w:rFonts w:ascii="Times New Roman" w:eastAsia="Calibri" w:hAnsi="Times New Roman" w:cs="Times New Roman"/>
          <w:sz w:val="24"/>
          <w:szCs w:val="24"/>
        </w:rPr>
        <w:t>ies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Exchange also certifies that </w:t>
      </w:r>
      <w:r w:rsidRPr="00B77405">
        <w:rPr>
          <w:rFonts w:ascii="Times New Roman" w:eastAsia="Calibri" w:hAnsi="Times New Roman" w:cs="Times New Roman"/>
          <w:sz w:val="24"/>
          <w:szCs w:val="24"/>
        </w:rPr>
        <w:t xml:space="preserve">notice of pending certification </w:t>
      </w:r>
      <w:r w:rsidR="00A1032E" w:rsidRPr="00A1032E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CA134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DF3D42" w:rsidRPr="00343359">
          <w:rPr>
            <w:rStyle w:val="Hyperlink"/>
          </w:rPr>
          <w:t>http://business.nasdaq.com/nasdaq-futures/nfx-market</w:t>
        </w:r>
      </w:hyperlink>
      <w:r w:rsidR="00DF3D42">
        <w:t>.</w:t>
      </w:r>
    </w:p>
    <w:p w:rsidR="00EC1F98" w:rsidRPr="00650B32" w:rsidRDefault="005444C0" w:rsidP="001839AD">
      <w:pPr>
        <w:pStyle w:val="NoSpacing"/>
        <w:keepNext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CA1348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the submission, ple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ase contact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Stephen 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at (</w:t>
      </w:r>
      <w:r w:rsidR="00AF09D4">
        <w:rPr>
          <w:rFonts w:ascii="Times New Roman" w:eastAsia="Calibri" w:hAnsi="Times New Roman" w:cs="Times New Roman"/>
          <w:sz w:val="24"/>
          <w:szCs w:val="24"/>
        </w:rPr>
        <w:t>301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09D4">
        <w:rPr>
          <w:rFonts w:ascii="Times New Roman" w:eastAsia="Calibri" w:hAnsi="Times New Roman" w:cs="Times New Roman"/>
          <w:sz w:val="24"/>
          <w:szCs w:val="24"/>
        </w:rPr>
        <w:t>978</w:t>
      </w:r>
      <w:r w:rsidR="00FC6DF1">
        <w:rPr>
          <w:rFonts w:ascii="Times New Roman" w:eastAsia="Calibri" w:hAnsi="Times New Roman" w:cs="Times New Roman"/>
          <w:sz w:val="24"/>
          <w:szCs w:val="24"/>
        </w:rPr>
        <w:t>-</w:t>
      </w:r>
      <w:r w:rsidR="00AF09D4">
        <w:rPr>
          <w:rFonts w:ascii="Times New Roman" w:eastAsia="Calibri" w:hAnsi="Times New Roman" w:cs="Times New Roman"/>
          <w:sz w:val="24"/>
          <w:szCs w:val="24"/>
        </w:rPr>
        <w:t>8458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or via e-mail at </w:t>
      </w:r>
      <w:r w:rsidR="00AF09D4" w:rsidRPr="00C6179E">
        <w:rPr>
          <w:rFonts w:ascii="Times New Roman" w:eastAsia="Calibri" w:hAnsi="Times New Roman" w:cs="Times New Roman"/>
          <w:sz w:val="24"/>
          <w:szCs w:val="24"/>
          <w:u w:val="single"/>
        </w:rPr>
        <w:t>steve.matthews</w:t>
      </w:r>
      <w:r w:rsidR="00FC6DF1" w:rsidRPr="00C6179E">
        <w:rPr>
          <w:rFonts w:ascii="Times New Roman" w:eastAsia="Calibri" w:hAnsi="Times New Roman" w:cs="Times New Roman"/>
          <w:sz w:val="24"/>
          <w:szCs w:val="24"/>
          <w:u w:val="single"/>
        </w:rPr>
        <w:t>@nasdaq.com</w:t>
      </w:r>
      <w:r w:rsidR="000C4580">
        <w:rPr>
          <w:rFonts w:ascii="Times New Roman" w:eastAsia="Calibri" w:hAnsi="Times New Roman" w:cs="Times New Roman"/>
          <w:sz w:val="24"/>
          <w:szCs w:val="24"/>
        </w:rPr>
        <w:t>.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 Please reference 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>SR-NFX-201</w:t>
      </w:r>
      <w:r w:rsidR="008C2611" w:rsidRPr="008C2611">
        <w:rPr>
          <w:rFonts w:ascii="Times New Roman" w:eastAsia="Calibri" w:hAnsi="Times New Roman" w:cs="Times New Roman"/>
          <w:sz w:val="24"/>
          <w:szCs w:val="24"/>
        </w:rPr>
        <w:t>6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>-</w:t>
      </w:r>
      <w:r w:rsidR="00C6179E">
        <w:rPr>
          <w:rFonts w:ascii="Times New Roman" w:eastAsia="Calibri" w:hAnsi="Times New Roman" w:cs="Times New Roman"/>
          <w:sz w:val="24"/>
          <w:szCs w:val="24"/>
        </w:rPr>
        <w:t>1</w:t>
      </w:r>
      <w:r w:rsidR="008C2611" w:rsidRPr="008C2611">
        <w:rPr>
          <w:rFonts w:ascii="Times New Roman" w:eastAsia="Calibri" w:hAnsi="Times New Roman" w:cs="Times New Roman"/>
          <w:sz w:val="24"/>
          <w:szCs w:val="24"/>
        </w:rPr>
        <w:t>1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611">
        <w:rPr>
          <w:rFonts w:ascii="Times New Roman" w:eastAsia="Calibri" w:hAnsi="Times New Roman" w:cs="Times New Roman"/>
          <w:sz w:val="24"/>
          <w:szCs w:val="24"/>
        </w:rPr>
        <w:t>in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EC1F98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1839AD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D1D58" wp14:editId="7E3B9CEB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1F98"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</w:t>
      </w:r>
      <w:r w:rsidR="00765E44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Confidential Appendix 1 (attached under separate cover)</w:t>
      </w:r>
    </w:p>
    <w:p w:rsidR="00765E44" w:rsidRDefault="00765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Pr="000C4580" w:rsidRDefault="000C4580" w:rsidP="000C4580">
      <w:pPr>
        <w:spacing w:after="0" w:line="240" w:lineRule="auto"/>
        <w:ind w:left="262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  <w:r w:rsidR="00765E44"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F09D4" w:rsidRPr="004B563F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765E44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58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NFX 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>
        <w:rPr>
          <w:rFonts w:ascii="Times New Roman" w:eastAsia="Calibri" w:hAnsi="Times New Roman" w:cs="Times New Roman"/>
          <w:sz w:val="24"/>
          <w:szCs w:val="24"/>
        </w:rPr>
        <w:t>(the “</w:t>
      </w:r>
      <w:r w:rsidR="00400F17"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0C4580"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to incentivize market makers </w:t>
      </w:r>
      <w:r w:rsidR="00141FCB">
        <w:rPr>
          <w:rFonts w:ascii="Times New Roman" w:eastAsia="Calibri" w:hAnsi="Times New Roman" w:cs="Times New Roman"/>
          <w:sz w:val="24"/>
          <w:szCs w:val="24"/>
        </w:rPr>
        <w:t>selected by NFX (“</w:t>
      </w:r>
      <w:r w:rsidR="00141FCB"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>to provide liquidity in the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and combinations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listed below.  The resulting additional liquidity should benefit all participants in the market.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WTI Crude Oil Penultimate Financial Futures (TQ)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Heating Oil Penultimate Financial Futures (OQ)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WTI Crude Oil Penultimate Financial Futures (TOQ)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RBOB Gasoline Penultimate Financial Futures (RQ)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Day-Ahead Off-Peak Financial Futures (ONPQ)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</w:t>
      </w:r>
      <w:proofErr w:type="gramStart"/>
      <w:r w:rsidRPr="00C6179E">
        <w:rPr>
          <w:rFonts w:ascii="Times New Roman" w:eastAsia="Calibri" w:hAnsi="Times New Roman" w:cs="Times New Roman"/>
          <w:sz w:val="24"/>
          <w:szCs w:val="24"/>
        </w:rPr>
        <w:t>Ahead</w:t>
      </w:r>
      <w:proofErr w:type="gramEnd"/>
      <w:r w:rsidRPr="00C6179E">
        <w:rPr>
          <w:rFonts w:ascii="Times New Roman" w:eastAsia="Calibri" w:hAnsi="Times New Roman" w:cs="Times New Roman"/>
          <w:sz w:val="24"/>
          <w:szCs w:val="24"/>
        </w:rPr>
        <w:t xml:space="preserve"> Peak Financial Futures (NPMQ)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Day-Ahead Off-Peak Financial Futures (OFPQ)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</w:t>
      </w:r>
      <w:proofErr w:type="gramStart"/>
      <w:r w:rsidRPr="00C6179E">
        <w:rPr>
          <w:rFonts w:ascii="Times New Roman" w:eastAsia="Calibri" w:hAnsi="Times New Roman" w:cs="Times New Roman"/>
          <w:sz w:val="24"/>
          <w:szCs w:val="24"/>
        </w:rPr>
        <w:t>Ahead</w:t>
      </w:r>
      <w:proofErr w:type="gramEnd"/>
      <w:r w:rsidRPr="00C6179E">
        <w:rPr>
          <w:rFonts w:ascii="Times New Roman" w:eastAsia="Calibri" w:hAnsi="Times New Roman" w:cs="Times New Roman"/>
          <w:sz w:val="24"/>
          <w:szCs w:val="24"/>
        </w:rPr>
        <w:t xml:space="preserve"> Peak Financial Futures (SPMQ)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Off-Peak Financial Futures (NOPQ)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Peak Financial Futures (NEPQ)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Off-Peak Financial Futures (CPOQ)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Peak Financial Futures (CINQ)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Off-Peak Financial Futures (AODQ)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Peak Financial Futures (MSOQ)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Off-Peak Financial Futures (NIOQ)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Peak Financial Futures (PNLQ)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Day-Ahead Off-Peak Financial Futures (PJDQ)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Day-Ahead Peak Financial Futures (PJCQ)</w:t>
      </w:r>
    </w:p>
    <w:p w:rsidR="008C2611" w:rsidRPr="00C6179E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Off-Peak Financial Futures (OPJQ)</w:t>
      </w:r>
    </w:p>
    <w:p w:rsidR="00C6179E" w:rsidRDefault="008C2611" w:rsidP="00C6179E">
      <w:pPr>
        <w:spacing w:after="0" w:line="240" w:lineRule="auto"/>
        <w:rPr>
          <w:color w:val="1F497D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Peak Financial Futures (PJMQ)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CAISO NP-15 Hub Day-Ahead Peak Mini Financial Futures – 5 MW (NPNQ)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NFX CAISO NP-15 Hub Day-Ahead Peak Mini Financial Futures – 1 MW (NPPQ) 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CAISO SP-15 Hub Day-Ahead Peak Mini Financial Futures – 5 MW (SPZQ)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CAISO SP-15 Hub Day-Ahead Peak Mini Financial Futures – 1 MW (SPVQ)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ISO-NE Massachusetts Hub Day-Ahead Peak Mini Financial Futures – 5 MW (NMMQ)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ISO-NE Massachusetts Hub Day-Ahead Peak Mini Financial Futures – 1 MW (NEMQ)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NFX MISO Indiana Hub Real-Time Peak Mini Financial Futures – 5 MW (MCHQ)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MISO Indiana Hub Real-Time Peak Mini Financial Futures – 1 MW (MCGQ)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AEP Dayton Hub Real-Time Peak Mini Financial Futures – 5 MW (MSSQ)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AEP Dayton Hub Real-Time Peak Mini Financial Futures – 1 MW (MSTQ)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Northern Illinois Hub Real-Time Peak Mini Financial Futures – 5 MW (PNQQ)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Northern Illinois Hub Real-Time Peak Mini Financial Futures – 1 MW (PNPQ)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Western Hub Real-Time Off-Peak Mini Financial Futures (OPKQ)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Western Hub Real-Time Peak Mini Financial Futures – 5 MW (PMJQ)</w:t>
      </w:r>
    </w:p>
    <w:p w:rsidR="00C6179E" w:rsidRPr="00C6179E" w:rsidRDefault="00C6179E" w:rsidP="00C61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79E">
        <w:rPr>
          <w:rFonts w:ascii="Times New Roman" w:eastAsia="Calibri" w:hAnsi="Times New Roman" w:cs="Times New Roman"/>
          <w:sz w:val="24"/>
          <w:szCs w:val="24"/>
          <w:u w:val="single"/>
        </w:rPr>
        <w:t>NFX PJM Western Hub Real-Time Peak Mini Financial Futures – 1 MW (PMIQ)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collectively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following combinations: 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</w:t>
      </w:r>
      <w:r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OQ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 w:rsidRPr="00C26C74">
        <w:rPr>
          <w:rFonts w:ascii="Times New Roman" w:eastAsia="Calibri" w:hAnsi="Times New Roman" w:cs="Times New Roman"/>
          <w:sz w:val="24"/>
          <w:szCs w:val="24"/>
        </w:rPr>
        <w:t>BFQ</w:t>
      </w:r>
    </w:p>
    <w:p w:rsidR="00765E44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F23770" w:rsidRDefault="00F23770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</w:t>
      </w:r>
      <w:r w:rsidR="004C61E7" w:rsidRPr="008110DF">
        <w:rPr>
          <w:rFonts w:ascii="Times New Roman" w:eastAsia="Calibri" w:hAnsi="Times New Roman" w:cs="Times New Roman"/>
          <w:sz w:val="24"/>
          <w:szCs w:val="24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DMMs’ specific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quoting and size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obligations </w:t>
      </w:r>
      <w:r w:rsidR="000C4580">
        <w:rPr>
          <w:rFonts w:ascii="Times New Roman" w:eastAsia="Calibri" w:hAnsi="Times New Roman" w:cs="Times New Roman"/>
          <w:sz w:val="24"/>
          <w:szCs w:val="24"/>
        </w:rPr>
        <w:t>are set forth in individual agreements with NFX.</w:t>
      </w:r>
    </w:p>
    <w:p w:rsidR="00141FCB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Monitoring and Termination of Status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80" w:rsidRP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 status if it concludes </w:t>
      </w:r>
      <w:r w:rsidR="004660AF" w:rsidRPr="00C26C74">
        <w:rPr>
          <w:rFonts w:ascii="Times New Roman" w:eastAsia="Calibri" w:hAnsi="Times New Roman" w:cs="Times New Roman"/>
          <w:sz w:val="24"/>
          <w:szCs w:val="24"/>
        </w:rPr>
        <w:t>after</w:t>
      </w:r>
      <w:r w:rsidR="0046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review that a participant has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failed to meet its obligations or no longer meets the eligibility requirements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>Program.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FC" w:rsidRPr="001839AD" w:rsidRDefault="009C04FC" w:rsidP="001839AD">
      <w:pPr>
        <w:spacing w:after="0" w:line="240" w:lineRule="auto"/>
      </w:pPr>
    </w:p>
    <w:sectPr w:rsidR="009C04FC" w:rsidRPr="001839AD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1A" w:rsidRDefault="00A3721A">
      <w:r>
        <w:separator/>
      </w:r>
    </w:p>
  </w:endnote>
  <w:endnote w:type="continuationSeparator" w:id="0">
    <w:p w:rsidR="00A3721A" w:rsidRDefault="00A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854D1D8-E367-4CAA-9E9E-437AC4164522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AC9B11" wp14:editId="5FC5A20E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1A" w:rsidRDefault="00A3721A">
      <w:r>
        <w:separator/>
      </w:r>
    </w:p>
  </w:footnote>
  <w:footnote w:type="continuationSeparator" w:id="0">
    <w:p w:rsidR="00A3721A" w:rsidRDefault="00A3721A">
      <w:r>
        <w:continuationSeparator/>
      </w:r>
    </w:p>
  </w:footnote>
  <w:footnote w:id="1">
    <w:p w:rsidR="00E6102A" w:rsidRPr="00FC6DF1" w:rsidRDefault="00E610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C6DF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C6DF1">
        <w:rPr>
          <w:rFonts w:ascii="Times New Roman" w:hAnsi="Times New Roman" w:cs="Times New Roman"/>
          <w:sz w:val="24"/>
          <w:szCs w:val="24"/>
        </w:rPr>
        <w:t xml:space="preserve"> </w:t>
      </w:r>
      <w:r w:rsidRPr="00FC6DF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FC6DF1">
        <w:rPr>
          <w:rFonts w:ascii="Times New Roman" w:hAnsi="Times New Roman" w:cs="Times New Roman"/>
          <w:sz w:val="24"/>
          <w:szCs w:val="24"/>
        </w:rPr>
        <w:t xml:space="preserve"> SR-NFX-2015-</w:t>
      </w:r>
      <w:r>
        <w:rPr>
          <w:rFonts w:ascii="Times New Roman" w:hAnsi="Times New Roman" w:cs="Times New Roman"/>
          <w:sz w:val="24"/>
          <w:szCs w:val="24"/>
        </w:rPr>
        <w:t>15, filed April 2,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Pr="00A1032E" w:rsidRDefault="00E6102A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E6102A" w:rsidRPr="00A1032E" w:rsidRDefault="008C2611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January </w:t>
    </w:r>
    <w:r w:rsidR="00C6179E">
      <w:rPr>
        <w:rFonts w:ascii="Times New Roman" w:eastAsia="Calibri" w:hAnsi="Times New Roman" w:cs="Times New Roman"/>
        <w:sz w:val="20"/>
        <w:szCs w:val="20"/>
      </w:rPr>
      <w:t>22</w:t>
    </w:r>
    <w:r>
      <w:rPr>
        <w:rFonts w:ascii="Times New Roman" w:eastAsia="Calibri" w:hAnsi="Times New Roman" w:cs="Times New Roman"/>
        <w:sz w:val="20"/>
        <w:szCs w:val="20"/>
      </w:rPr>
      <w:t>, 2016</w:t>
    </w:r>
  </w:p>
  <w:p w:rsidR="00E6102A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8C2611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-</w:t>
    </w:r>
    <w:r w:rsidR="00C6179E">
      <w:rPr>
        <w:rFonts w:ascii="Times New Roman" w:hAnsi="Times New Roman" w:cs="Times New Roman"/>
        <w:sz w:val="20"/>
        <w:szCs w:val="20"/>
      </w:rPr>
      <w:t>1</w:t>
    </w:r>
    <w:r w:rsidR="008C2611">
      <w:rPr>
        <w:rFonts w:ascii="Times New Roman" w:hAnsi="Times New Roman" w:cs="Times New Roman"/>
        <w:sz w:val="20"/>
        <w:szCs w:val="20"/>
      </w:rPr>
      <w:t>1</w:t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6179E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E6102A" w:rsidRDefault="00E6102A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02A" w:rsidRDefault="00E6102A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114F3"/>
    <w:multiLevelType w:val="hybridMultilevel"/>
    <w:tmpl w:val="259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D95A">
      <w:numFmt w:val="bullet"/>
      <w:lvlText w:val="•"/>
      <w:lvlJc w:val="left"/>
      <w:pPr>
        <w:ind w:left="1830" w:hanging="75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7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7"/>
  </w:num>
  <w:num w:numId="22">
    <w:abstractNumId w:val="9"/>
  </w:num>
  <w:num w:numId="23">
    <w:abstractNumId w:val="11"/>
  </w:num>
  <w:num w:numId="24">
    <w:abstractNumId w:val="10"/>
  </w:num>
  <w:num w:numId="25">
    <w:abstractNumId w:val="17"/>
  </w:num>
  <w:num w:numId="26">
    <w:abstractNumId w:val="16"/>
  </w:num>
  <w:num w:numId="27">
    <w:abstractNumId w:val="1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76912"/>
    <w:rsid w:val="0009075B"/>
    <w:rsid w:val="000C4580"/>
    <w:rsid w:val="00141FCB"/>
    <w:rsid w:val="001646BD"/>
    <w:rsid w:val="001839AD"/>
    <w:rsid w:val="00197F73"/>
    <w:rsid w:val="001E69DD"/>
    <w:rsid w:val="002017EC"/>
    <w:rsid w:val="002276AD"/>
    <w:rsid w:val="00272F55"/>
    <w:rsid w:val="00274FA0"/>
    <w:rsid w:val="002A147E"/>
    <w:rsid w:val="00337B63"/>
    <w:rsid w:val="003A76CC"/>
    <w:rsid w:val="003E5713"/>
    <w:rsid w:val="00400F17"/>
    <w:rsid w:val="00425E24"/>
    <w:rsid w:val="004416D1"/>
    <w:rsid w:val="004623F3"/>
    <w:rsid w:val="00462BD3"/>
    <w:rsid w:val="004660AF"/>
    <w:rsid w:val="004C5283"/>
    <w:rsid w:val="004C61E7"/>
    <w:rsid w:val="00537050"/>
    <w:rsid w:val="005444C0"/>
    <w:rsid w:val="0055465F"/>
    <w:rsid w:val="0055547F"/>
    <w:rsid w:val="005B121C"/>
    <w:rsid w:val="005B4892"/>
    <w:rsid w:val="005D1BE8"/>
    <w:rsid w:val="005E244B"/>
    <w:rsid w:val="00602FD4"/>
    <w:rsid w:val="00615BE5"/>
    <w:rsid w:val="00631739"/>
    <w:rsid w:val="00645538"/>
    <w:rsid w:val="00662BF1"/>
    <w:rsid w:val="00672BD3"/>
    <w:rsid w:val="00722A3A"/>
    <w:rsid w:val="00723F8E"/>
    <w:rsid w:val="007263EC"/>
    <w:rsid w:val="007416EA"/>
    <w:rsid w:val="00752A6A"/>
    <w:rsid w:val="00765E44"/>
    <w:rsid w:val="007A6CF6"/>
    <w:rsid w:val="007B5088"/>
    <w:rsid w:val="007C1756"/>
    <w:rsid w:val="00801DD1"/>
    <w:rsid w:val="00803051"/>
    <w:rsid w:val="008110DF"/>
    <w:rsid w:val="008279FE"/>
    <w:rsid w:val="008C04C7"/>
    <w:rsid w:val="008C2611"/>
    <w:rsid w:val="008D0EA0"/>
    <w:rsid w:val="008E113C"/>
    <w:rsid w:val="00901585"/>
    <w:rsid w:val="009325A9"/>
    <w:rsid w:val="009B67F4"/>
    <w:rsid w:val="009C04FC"/>
    <w:rsid w:val="009D2F9C"/>
    <w:rsid w:val="00A032A5"/>
    <w:rsid w:val="00A1032E"/>
    <w:rsid w:val="00A31683"/>
    <w:rsid w:val="00A3721A"/>
    <w:rsid w:val="00A53AF2"/>
    <w:rsid w:val="00AA7892"/>
    <w:rsid w:val="00AB4A64"/>
    <w:rsid w:val="00AF09D4"/>
    <w:rsid w:val="00B15314"/>
    <w:rsid w:val="00B16521"/>
    <w:rsid w:val="00B5184E"/>
    <w:rsid w:val="00B67098"/>
    <w:rsid w:val="00B8408C"/>
    <w:rsid w:val="00B9399D"/>
    <w:rsid w:val="00BD0EC1"/>
    <w:rsid w:val="00BF0157"/>
    <w:rsid w:val="00BF2D2F"/>
    <w:rsid w:val="00C0700B"/>
    <w:rsid w:val="00C26C74"/>
    <w:rsid w:val="00C43288"/>
    <w:rsid w:val="00C532C3"/>
    <w:rsid w:val="00C6179E"/>
    <w:rsid w:val="00C628A0"/>
    <w:rsid w:val="00C64416"/>
    <w:rsid w:val="00CA1348"/>
    <w:rsid w:val="00CB6A80"/>
    <w:rsid w:val="00CE4500"/>
    <w:rsid w:val="00DF3D42"/>
    <w:rsid w:val="00E462DD"/>
    <w:rsid w:val="00E53844"/>
    <w:rsid w:val="00E6102A"/>
    <w:rsid w:val="00EC12B3"/>
    <w:rsid w:val="00EC1F98"/>
    <w:rsid w:val="00F06CCD"/>
    <w:rsid w:val="00F23770"/>
    <w:rsid w:val="00F43570"/>
    <w:rsid w:val="00F56481"/>
    <w:rsid w:val="00FC6DF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character" w:styleId="FollowedHyperlink">
    <w:name w:val="FollowedHyperlink"/>
    <w:basedOn w:val="DefaultParagraphFont"/>
    <w:rsid w:val="008C2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character" w:styleId="FollowedHyperlink">
    <w:name w:val="FollowedHyperlink"/>
    <w:basedOn w:val="DefaultParagraphFont"/>
    <w:rsid w:val="008C2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6b8962ea-b05e-4a3f-925d-801d1244c38c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2016-01-22T22:37:04+00:00</Document_x0020_Date>
    <Document_x0020_No xmlns="4b47aac5-4c46-444f-8595-ce09b406fc61">22237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EAEA0-404F-428D-AF6D-C910230C06D9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7D06BA13-96CB-41CE-894B-14FCFD248D0D}"/>
</file>

<file path=customXml/itemProps5.xml><?xml version="1.0" encoding="utf-8"?>
<ds:datastoreItem xmlns:ds="http://schemas.openxmlformats.org/officeDocument/2006/customXml" ds:itemID="{0662740F-C1DF-4153-8B36-E8CEE5F7E241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11</TotalTime>
  <Pages>5</Pages>
  <Words>1171</Words>
  <Characters>6678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3</cp:revision>
  <cp:lastPrinted>2008-04-01T17:51:00Z</cp:lastPrinted>
  <dcterms:created xsi:type="dcterms:W3CDTF">2016-01-11T21:51:00Z</dcterms:created>
  <dcterms:modified xsi:type="dcterms:W3CDTF">2016-01-22T20:53:00Z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2141300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