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43392E"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January 28</w:t>
      </w:r>
      <w:r w:rsidR="005101CA">
        <w:rPr>
          <w:rFonts w:ascii="Times New Roman" w:eastAsia="Calibri" w:hAnsi="Times New Roman" w:cs="Times New Roman"/>
          <w:sz w:val="24"/>
          <w:szCs w:val="24"/>
        </w:rPr>
        <w:t>, 201</w:t>
      </w:r>
      <w:r>
        <w:rPr>
          <w:rFonts w:ascii="Times New Roman" w:eastAsia="Calibri" w:hAnsi="Times New Roman" w:cs="Times New Roman"/>
          <w:sz w:val="24"/>
          <w:szCs w:val="24"/>
        </w:rPr>
        <w:t>9</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43392E" w:rsidRDefault="005101CA" w:rsidP="0043392E">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43392E">
        <w:rPr>
          <w:rFonts w:ascii="Times New Roman" w:eastAsia="Calibri" w:hAnsi="Times New Roman" w:cs="Times New Roman"/>
          <w:sz w:val="24"/>
          <w:szCs w:val="24"/>
        </w:rPr>
        <w:tab/>
      </w:r>
      <w:r w:rsidR="005F6EC0" w:rsidRPr="00352533">
        <w:rPr>
          <w:rFonts w:ascii="Times New Roman" w:eastAsia="Calibri" w:hAnsi="Times New Roman" w:cs="Times New Roman"/>
          <w:b/>
          <w:sz w:val="24"/>
          <w:szCs w:val="24"/>
        </w:rPr>
        <w:t xml:space="preserve">Rule Certification </w:t>
      </w:r>
      <w:r w:rsidR="005F6EC0">
        <w:rPr>
          <w:rFonts w:ascii="Times New Roman" w:eastAsia="Calibri" w:hAnsi="Times New Roman" w:cs="Times New Roman"/>
          <w:b/>
          <w:sz w:val="24"/>
          <w:szCs w:val="24"/>
        </w:rPr>
        <w:t xml:space="preserve">for </w:t>
      </w:r>
      <w:r w:rsidR="00E10EC8">
        <w:rPr>
          <w:rFonts w:ascii="Times New Roman" w:eastAsia="Calibri" w:hAnsi="Times New Roman" w:cs="Times New Roman"/>
          <w:b/>
          <w:sz w:val="24"/>
          <w:szCs w:val="24"/>
        </w:rPr>
        <w:t>Amendment</w:t>
      </w:r>
      <w:r w:rsidR="00B5514C">
        <w:rPr>
          <w:rFonts w:ascii="Times New Roman" w:eastAsia="Calibri" w:hAnsi="Times New Roman" w:cs="Times New Roman"/>
          <w:b/>
          <w:sz w:val="24"/>
          <w:szCs w:val="24"/>
        </w:rPr>
        <w:t>s</w:t>
      </w:r>
      <w:r w:rsidR="00E10EC8">
        <w:rPr>
          <w:rFonts w:ascii="Times New Roman" w:eastAsia="Calibri" w:hAnsi="Times New Roman" w:cs="Times New Roman"/>
          <w:b/>
          <w:sz w:val="24"/>
          <w:szCs w:val="24"/>
        </w:rPr>
        <w:t xml:space="preserve"> to the</w:t>
      </w:r>
      <w:r w:rsidR="0043392E">
        <w:rPr>
          <w:rFonts w:ascii="Times New Roman" w:eastAsia="Calibri" w:hAnsi="Times New Roman" w:cs="Times New Roman"/>
          <w:b/>
          <w:sz w:val="24"/>
          <w:szCs w:val="24"/>
        </w:rPr>
        <w:t xml:space="preserve"> </w:t>
      </w:r>
    </w:p>
    <w:p w:rsidR="0043392E" w:rsidRPr="0043392E" w:rsidRDefault="001B7206" w:rsidP="0043392E">
      <w:pPr>
        <w:pStyle w:val="NoSpacing"/>
        <w:ind w:left="720" w:firstLine="590"/>
        <w:rPr>
          <w:rFonts w:ascii="Times New Roman" w:eastAsia="Calibri" w:hAnsi="Times New Roman" w:cs="Times New Roman"/>
          <w:sz w:val="24"/>
          <w:szCs w:val="24"/>
        </w:rPr>
      </w:pPr>
      <w:r>
        <w:rPr>
          <w:rFonts w:ascii="Times New Roman" w:eastAsia="Calibri" w:hAnsi="Times New Roman" w:cs="Times New Roman"/>
          <w:b/>
          <w:sz w:val="24"/>
          <w:szCs w:val="24"/>
        </w:rPr>
        <w:t>Competitor Response</w:t>
      </w:r>
      <w:r w:rsidR="0043392E">
        <w:rPr>
          <w:rFonts w:ascii="Times New Roman" w:eastAsia="Calibri" w:hAnsi="Times New Roman" w:cs="Times New Roman"/>
          <w:b/>
          <w:sz w:val="24"/>
          <w:szCs w:val="24"/>
        </w:rPr>
        <w:t xml:space="preserve"> Incentive </w:t>
      </w:r>
      <w:r w:rsidR="0043392E" w:rsidRPr="00D06205">
        <w:rPr>
          <w:rFonts w:ascii="Times New Roman" w:eastAsia="Calibri" w:hAnsi="Times New Roman" w:cs="Times New Roman"/>
          <w:b/>
          <w:sz w:val="24"/>
          <w:szCs w:val="24"/>
        </w:rPr>
        <w:t>Program</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sidR="0043392E">
        <w:rPr>
          <w:rFonts w:ascii="Times New Roman" w:eastAsia="Calibri" w:hAnsi="Times New Roman" w:cs="Times New Roman"/>
          <w:b/>
          <w:sz w:val="24"/>
          <w:szCs w:val="24"/>
        </w:rPr>
        <w:tab/>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w:t>
      </w:r>
      <w:r w:rsidR="0043392E">
        <w:rPr>
          <w:rFonts w:ascii="Times New Roman" w:eastAsia="Calibri" w:hAnsi="Times New Roman" w:cs="Times New Roman"/>
          <w:b/>
          <w:sz w:val="24"/>
          <w:szCs w:val="24"/>
          <w:u w:val="single"/>
        </w:rPr>
        <w:t>9</w:t>
      </w:r>
      <w:r w:rsidRPr="00352533">
        <w:rPr>
          <w:rFonts w:ascii="Times New Roman" w:eastAsia="Calibri" w:hAnsi="Times New Roman" w:cs="Times New Roman"/>
          <w:b/>
          <w:sz w:val="24"/>
          <w:szCs w:val="24"/>
          <w:u w:val="single"/>
        </w:rPr>
        <w:t>-</w:t>
      </w:r>
      <w:r w:rsidR="0043392E">
        <w:rPr>
          <w:rFonts w:ascii="Times New Roman" w:eastAsia="Calibri" w:hAnsi="Times New Roman" w:cs="Times New Roman"/>
          <w:b/>
          <w:sz w:val="24"/>
          <w:szCs w:val="24"/>
          <w:u w:val="single"/>
        </w:rPr>
        <w:t>0</w:t>
      </w:r>
      <w:r w:rsidR="001B7206">
        <w:rPr>
          <w:rFonts w:ascii="Times New Roman" w:eastAsia="Calibri" w:hAnsi="Times New Roman" w:cs="Times New Roman"/>
          <w:b/>
          <w:sz w:val="24"/>
          <w:szCs w:val="24"/>
          <w:u w:val="single"/>
        </w:rPr>
        <w:t>2</w:t>
      </w:r>
    </w:p>
    <w:p w:rsidR="005101CA" w:rsidRPr="00352533" w:rsidRDefault="005101CA" w:rsidP="005101CA">
      <w:pPr>
        <w:pStyle w:val="NoSpacing"/>
        <w:ind w:left="720" w:hanging="720"/>
        <w:rPr>
          <w:rFonts w:ascii="Times New Roman" w:hAnsi="Times New Roman" w:cs="Times New Roman"/>
          <w:b/>
          <w:sz w:val="24"/>
          <w:szCs w:val="24"/>
          <w:u w:val="single"/>
        </w:rPr>
      </w:pPr>
    </w:p>
    <w:p w:rsidR="00F22043" w:rsidRPr="00F31547" w:rsidRDefault="00F22043" w:rsidP="00F22043">
      <w:pPr>
        <w:widowControl w:val="0"/>
        <w:kinsoku w:val="0"/>
        <w:overflowPunct w:val="0"/>
        <w:autoSpaceDE w:val="0"/>
        <w:autoSpaceDN w:val="0"/>
        <w:adjustRightInd w:val="0"/>
        <w:spacing w:before="90" w:after="0" w:line="240" w:lineRule="auto"/>
        <w:ind w:left="122"/>
        <w:rPr>
          <w:rFonts w:ascii="Times New Roman" w:eastAsiaTheme="minorEastAsia" w:hAnsi="Times New Roman" w:cs="Times New Roman"/>
          <w:sz w:val="24"/>
          <w:szCs w:val="24"/>
        </w:rPr>
      </w:pPr>
      <w:r w:rsidRPr="00F31547">
        <w:rPr>
          <w:rFonts w:ascii="Times New Roman" w:eastAsiaTheme="minorEastAsia" w:hAnsi="Times New Roman" w:cs="Times New Roman"/>
          <w:sz w:val="24"/>
          <w:szCs w:val="24"/>
        </w:rPr>
        <w:t>Dear Mr. Kirkpatrick:</w:t>
      </w:r>
    </w:p>
    <w:p w:rsidR="00F22043" w:rsidRPr="00F31547" w:rsidRDefault="00F22043" w:rsidP="00F22043">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4"/>
          <w:szCs w:val="24"/>
        </w:rPr>
      </w:pPr>
    </w:p>
    <w:p w:rsidR="001B7206" w:rsidRDefault="001B7206" w:rsidP="001B7206">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Pr="00722839">
        <w:rPr>
          <w:rFonts w:ascii="Times New Roman" w:eastAsia="Times New Roman" w:hAnsi="Times New Roman" w:cs="Times New Roman"/>
          <w:sz w:val="24"/>
          <w:szCs w:val="24"/>
        </w:rPr>
        <w:t>sub</w:t>
      </w:r>
      <w:r>
        <w:rPr>
          <w:rFonts w:ascii="Times New Roman" w:eastAsia="Times New Roman" w:hAnsi="Times New Roman" w:cs="Times New Roman"/>
          <w:sz w:val="24"/>
          <w:szCs w:val="24"/>
        </w:rPr>
        <w:t>mits this self-</w:t>
      </w:r>
      <w:r w:rsidRPr="008A77A0">
        <w:rPr>
          <w:rFonts w:ascii="Times New Roman" w:eastAsia="Times New Roman" w:hAnsi="Times New Roman" w:cs="Times New Roman"/>
          <w:sz w:val="24"/>
          <w:szCs w:val="24"/>
        </w:rPr>
        <w:t xml:space="preserve">certification to amend its </w:t>
      </w:r>
      <w:r w:rsidRPr="008A77A0">
        <w:rPr>
          <w:rFonts w:ascii="Times New Roman" w:eastAsia="Calibri" w:hAnsi="Times New Roman" w:cs="Times New Roman"/>
          <w:sz w:val="24"/>
          <w:szCs w:val="24"/>
        </w:rPr>
        <w:t>Competitor Response Incentive Program (“</w:t>
      </w:r>
      <w:r w:rsidRPr="008A77A0">
        <w:rPr>
          <w:rFonts w:ascii="Times New Roman" w:eastAsia="Calibri" w:hAnsi="Times New Roman" w:cs="Times New Roman"/>
          <w:sz w:val="24"/>
          <w:szCs w:val="24"/>
          <w:u w:val="single"/>
        </w:rPr>
        <w:t>CR Program</w:t>
      </w:r>
      <w:r w:rsidRPr="008A77A0">
        <w:rPr>
          <w:rFonts w:ascii="Times New Roman" w:eastAsia="Calibri" w:hAnsi="Times New Roman" w:cs="Times New Roman"/>
          <w:sz w:val="24"/>
          <w:szCs w:val="24"/>
        </w:rPr>
        <w:t xml:space="preserve">”) </w:t>
      </w:r>
      <w:r w:rsidRPr="008A77A0">
        <w:rPr>
          <w:rFonts w:ascii="Times New Roman" w:eastAsia="Times New Roman" w:hAnsi="Times New Roman" w:cs="Times New Roman"/>
          <w:sz w:val="24"/>
          <w:szCs w:val="24"/>
        </w:rPr>
        <w:t>for contracts that the Exchange has listed pursuant to Appendix A of the Exchange Rulebook (the “</w:t>
      </w:r>
      <w:r w:rsidRPr="008A77A0">
        <w:rPr>
          <w:rFonts w:ascii="Times New Roman" w:eastAsia="Times New Roman" w:hAnsi="Times New Roman" w:cs="Times New Roman"/>
          <w:sz w:val="24"/>
          <w:szCs w:val="24"/>
          <w:u w:val="single"/>
        </w:rPr>
        <w:t>Contracts</w:t>
      </w:r>
      <w:r w:rsidRPr="008A77A0">
        <w:rPr>
          <w:rFonts w:ascii="Times New Roman" w:eastAsia="Times New Roman" w:hAnsi="Times New Roman" w:cs="Times New Roman"/>
          <w:sz w:val="24"/>
          <w:szCs w:val="24"/>
        </w:rPr>
        <w:t>”).</w:t>
      </w:r>
      <w:r w:rsidRPr="008A77A0">
        <w:rPr>
          <w:rStyle w:val="FootnoteReference"/>
          <w:rFonts w:ascii="Times New Roman" w:hAnsi="Times New Roman" w:cs="Times New Roman"/>
          <w:color w:val="000000"/>
          <w:sz w:val="24"/>
          <w:szCs w:val="24"/>
        </w:rPr>
        <w:footnoteReference w:id="1"/>
      </w:r>
      <w:r w:rsidRPr="008A77A0">
        <w:rPr>
          <w:rFonts w:ascii="Times New Roman" w:eastAsia="Times New Roman" w:hAnsi="Times New Roman" w:cs="Times New Roman"/>
          <w:sz w:val="24"/>
          <w:szCs w:val="24"/>
        </w:rPr>
        <w:t xml:space="preserve">  The CR Program is open to all Futures Participants </w:t>
      </w:r>
      <w:r>
        <w:rPr>
          <w:rFonts w:ascii="Times New Roman" w:eastAsia="Times New Roman" w:hAnsi="Times New Roman" w:cs="Times New Roman"/>
          <w:sz w:val="24"/>
          <w:szCs w:val="24"/>
        </w:rPr>
        <w:t xml:space="preserve">and Authorized Customers </w:t>
      </w:r>
      <w:r w:rsidRPr="008A77A0">
        <w:rPr>
          <w:rFonts w:ascii="Times New Roman" w:eastAsia="Times New Roman" w:hAnsi="Times New Roman" w:cs="Times New Roman"/>
          <w:sz w:val="24"/>
          <w:szCs w:val="24"/>
        </w:rPr>
        <w:t>and has been designed to respond to aggressive pricing programs from competitor exchanges.  The CR Program was introduced on May 16, 2018</w:t>
      </w:r>
      <w:r w:rsidRPr="008A77A0">
        <w:rPr>
          <w:rStyle w:val="FootnoteReference"/>
          <w:rFonts w:ascii="Times New Roman" w:eastAsia="Times New Roman" w:hAnsi="Times New Roman" w:cs="Times New Roman"/>
          <w:sz w:val="24"/>
          <w:szCs w:val="24"/>
        </w:rPr>
        <w:footnoteReference w:id="2"/>
      </w:r>
      <w:r w:rsidRPr="008A77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run for a period of one year, </w:t>
      </w:r>
      <w:r w:rsidRPr="008A77A0">
        <w:rPr>
          <w:rFonts w:ascii="Times New Roman" w:eastAsia="Times New Roman" w:hAnsi="Times New Roman" w:cs="Times New Roman"/>
          <w:sz w:val="24"/>
          <w:szCs w:val="24"/>
        </w:rPr>
        <w:t>and has been amended</w:t>
      </w:r>
      <w:r>
        <w:rPr>
          <w:rFonts w:ascii="Times New Roman" w:eastAsia="Times New Roman" w:hAnsi="Times New Roman" w:cs="Times New Roman"/>
          <w:sz w:val="24"/>
          <w:szCs w:val="24"/>
        </w:rPr>
        <w:t xml:space="preserve"> in subsequent certifications</w:t>
      </w:r>
      <w:r w:rsidRPr="008A77A0">
        <w:rPr>
          <w:rFonts w:ascii="Times New Roman" w:eastAsia="Times New Roman" w:hAnsi="Times New Roman" w:cs="Times New Roman"/>
          <w:sz w:val="24"/>
          <w:szCs w:val="24"/>
        </w:rPr>
        <w:t>.</w:t>
      </w:r>
      <w:r w:rsidRPr="008A77A0">
        <w:rPr>
          <w:rStyle w:val="FootnoteReference"/>
          <w:rFonts w:ascii="Times New Roman" w:eastAsia="Times New Roman" w:hAnsi="Times New Roman" w:cs="Times New Roman"/>
          <w:sz w:val="24"/>
          <w:szCs w:val="24"/>
        </w:rPr>
        <w:footnoteReference w:id="3"/>
      </w:r>
      <w:r w:rsidRPr="008A77A0">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is</w:t>
      </w:r>
      <w:r w:rsidRPr="008A77A0">
        <w:rPr>
          <w:rFonts w:ascii="Times New Roman" w:eastAsia="Times New Roman" w:hAnsi="Times New Roman" w:cs="Times New Roman"/>
          <w:sz w:val="24"/>
          <w:szCs w:val="24"/>
        </w:rPr>
        <w:t xml:space="preserve"> CR Program amendment will become effective </w:t>
      </w:r>
      <w:r w:rsidR="00DF08AC">
        <w:rPr>
          <w:rFonts w:ascii="Times New Roman" w:eastAsia="Times New Roman" w:hAnsi="Times New Roman" w:cs="Times New Roman"/>
          <w:sz w:val="24"/>
          <w:szCs w:val="24"/>
        </w:rPr>
        <w:t>February 11</w:t>
      </w:r>
      <w:r w:rsidRPr="008A77A0">
        <w:rPr>
          <w:rFonts w:ascii="Times New Roman" w:eastAsia="Times New Roman" w:hAnsi="Times New Roman" w:cs="Times New Roman"/>
          <w:sz w:val="24"/>
          <w:szCs w:val="24"/>
        </w:rPr>
        <w:t>, 201</w:t>
      </w:r>
      <w:r w:rsidR="00DF08AC">
        <w:rPr>
          <w:rFonts w:ascii="Times New Roman" w:eastAsia="Times New Roman" w:hAnsi="Times New Roman" w:cs="Times New Roman"/>
          <w:sz w:val="24"/>
          <w:szCs w:val="24"/>
        </w:rPr>
        <w:t>9</w:t>
      </w:r>
      <w:r w:rsidRPr="00631422">
        <w:rPr>
          <w:rFonts w:ascii="Times New Roman" w:eastAsia="Times New Roman" w:hAnsi="Times New Roman" w:cs="Times New Roman"/>
          <w:sz w:val="24"/>
          <w:szCs w:val="24"/>
        </w:rPr>
        <w:t xml:space="preserve">.  A description of the </w:t>
      </w:r>
      <w:r>
        <w:rPr>
          <w:rFonts w:ascii="Times New Roman" w:eastAsia="Times New Roman" w:hAnsi="Times New Roman" w:cs="Times New Roman"/>
          <w:sz w:val="24"/>
          <w:szCs w:val="24"/>
        </w:rPr>
        <w:t xml:space="preserve">amendments to the </w:t>
      </w:r>
      <w:r w:rsidRPr="00631422">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 xml:space="preserve">operation </w:t>
      </w:r>
      <w:r w:rsidRPr="00631422">
        <w:rPr>
          <w:rFonts w:ascii="Times New Roman" w:eastAsia="Times New Roman" w:hAnsi="Times New Roman" w:cs="Times New Roman"/>
          <w:sz w:val="24"/>
          <w:szCs w:val="24"/>
        </w:rPr>
        <w:t xml:space="preserve">is attached as </w:t>
      </w:r>
      <w:r w:rsidRPr="004B0ADE">
        <w:rPr>
          <w:rFonts w:ascii="Times New Roman" w:eastAsia="Times New Roman" w:hAnsi="Times New Roman" w:cs="Times New Roman"/>
          <w:sz w:val="24"/>
          <w:szCs w:val="24"/>
          <w:u w:val="single"/>
        </w:rPr>
        <w:t xml:space="preserve">Confidential </w:t>
      </w:r>
      <w:r w:rsidRPr="00C711C9">
        <w:rPr>
          <w:rFonts w:ascii="Times New Roman" w:eastAsia="Times New Roman" w:hAnsi="Times New Roman" w:cs="Times New Roman"/>
          <w:sz w:val="24"/>
          <w:szCs w:val="24"/>
          <w:u w:val="single"/>
        </w:rPr>
        <w:t>Appendix A</w:t>
      </w:r>
      <w:r>
        <w:rPr>
          <w:rFonts w:ascii="Times New Roman" w:eastAsia="Times New Roman" w:hAnsi="Times New Roman" w:cs="Times New Roman"/>
          <w:sz w:val="24"/>
          <w:szCs w:val="24"/>
        </w:rPr>
        <w:t>.</w:t>
      </w:r>
    </w:p>
    <w:p w:rsidR="001B7206" w:rsidRDefault="001B7206" w:rsidP="001B7206">
      <w:pPr>
        <w:pStyle w:val="NoSpacing"/>
        <w:ind w:firstLine="1310"/>
        <w:rPr>
          <w:rFonts w:ascii="Times New Roman" w:eastAsia="Calibri" w:hAnsi="Times New Roman" w:cs="Times New Roman"/>
          <w:sz w:val="24"/>
          <w:szCs w:val="24"/>
        </w:rPr>
      </w:pPr>
    </w:p>
    <w:p w:rsidR="001B7206"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Under the CR Program t</w:t>
      </w:r>
      <w:r w:rsidRPr="000779A4">
        <w:rPr>
          <w:rFonts w:ascii="Times New Roman" w:eastAsia="Times New Roman" w:hAnsi="Times New Roman" w:cs="Times New Roman"/>
          <w:sz w:val="24"/>
          <w:szCs w:val="24"/>
        </w:rPr>
        <w:t xml:space="preserve">he Exchange </w:t>
      </w:r>
      <w:r>
        <w:rPr>
          <w:rFonts w:ascii="Times New Roman" w:eastAsia="Times New Roman" w:hAnsi="Times New Roman" w:cs="Times New Roman"/>
          <w:sz w:val="24"/>
          <w:szCs w:val="24"/>
        </w:rPr>
        <w:t>aims to</w:t>
      </w:r>
      <w:r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offer even greater price competition in response to pricing initiatives from competitor exchanges, to </w:t>
      </w:r>
      <w:r w:rsidRPr="000779A4">
        <w:rPr>
          <w:rFonts w:ascii="Times New Roman" w:eastAsia="Times New Roman" w:hAnsi="Times New Roman" w:cs="Times New Roman"/>
          <w:sz w:val="24"/>
          <w:szCs w:val="24"/>
        </w:rPr>
        <w:t xml:space="preserve">incent Futures Participants </w:t>
      </w:r>
      <w:r>
        <w:rPr>
          <w:rFonts w:ascii="Times New Roman" w:eastAsia="Times New Roman" w:hAnsi="Times New Roman" w:cs="Times New Roman"/>
          <w:sz w:val="24"/>
          <w:szCs w:val="24"/>
        </w:rPr>
        <w:t xml:space="preserve">and Authorized Customers </w:t>
      </w:r>
      <w:r w:rsidRPr="000779A4">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increase </w:t>
      </w:r>
      <w:r w:rsidRPr="00A23D65">
        <w:rPr>
          <w:rFonts w:ascii="Times New Roman" w:eastAsia="Calibri" w:hAnsi="Times New Roman" w:cs="Times New Roman"/>
          <w:sz w:val="24"/>
          <w:szCs w:val="24"/>
        </w:rPr>
        <w:t xml:space="preserve">their volume in </w:t>
      </w:r>
      <w:r>
        <w:rPr>
          <w:rFonts w:ascii="Times New Roman" w:eastAsia="Calibri" w:hAnsi="Times New Roman" w:cs="Times New Roman"/>
          <w:sz w:val="24"/>
          <w:szCs w:val="24"/>
        </w:rPr>
        <w:t>the trading of Co</w:t>
      </w:r>
      <w:r w:rsidRPr="00A23D65">
        <w:rPr>
          <w:rFonts w:ascii="Times New Roman" w:eastAsia="Calibri" w:hAnsi="Times New Roman" w:cs="Times New Roman"/>
          <w:sz w:val="24"/>
          <w:szCs w:val="24"/>
        </w:rPr>
        <w:t>ntracts</w:t>
      </w:r>
      <w:r>
        <w:rPr>
          <w:rFonts w:ascii="Times New Roman" w:eastAsia="Calibri" w:hAnsi="Times New Roman" w:cs="Times New Roman"/>
          <w:sz w:val="24"/>
          <w:szCs w:val="24"/>
        </w:rPr>
        <w:t xml:space="preserve"> on the Exchange</w:t>
      </w:r>
      <w:r w:rsidRPr="00A23D65">
        <w:rPr>
          <w:rFonts w:ascii="Times New Roman" w:eastAsia="Calibri" w:hAnsi="Times New Roman" w:cs="Times New Roman"/>
          <w:sz w:val="24"/>
          <w:szCs w:val="24"/>
        </w:rPr>
        <w:t>, thereby enhancing market liquidity for these products</w:t>
      </w:r>
      <w:r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amendments proposed hereto seek to add </w:t>
      </w:r>
      <w:r w:rsidR="00DF08AC">
        <w:rPr>
          <w:rFonts w:ascii="Times New Roman" w:eastAsia="Times New Roman" w:hAnsi="Times New Roman" w:cs="Times New Roman"/>
          <w:sz w:val="24"/>
          <w:szCs w:val="24"/>
        </w:rPr>
        <w:t>additional options to be offered by the Exchange</w:t>
      </w:r>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The Exchange believes that t</w:t>
      </w:r>
      <w:r w:rsidRPr="000779A4">
        <w:rPr>
          <w:rFonts w:ascii="Times New Roman" w:eastAsia="Times New Roman" w:hAnsi="Times New Roman" w:cs="Times New Roman"/>
          <w:sz w:val="24"/>
          <w:szCs w:val="24"/>
        </w:rPr>
        <w:t xml:space="preserve">he resulting </w:t>
      </w:r>
      <w:r w:rsidRPr="000779A4">
        <w:rPr>
          <w:rFonts w:ascii="Times New Roman" w:eastAsia="Times New Roman" w:hAnsi="Times New Roman" w:cs="Times New Roman"/>
          <w:sz w:val="24"/>
          <w:szCs w:val="24"/>
        </w:rPr>
        <w:lastRenderedPageBreak/>
        <w:t>increase in liquidity generated by the</w:t>
      </w:r>
      <w:r>
        <w:rPr>
          <w:rFonts w:ascii="Times New Roman" w:eastAsia="Times New Roman" w:hAnsi="Times New Roman" w:cs="Times New Roman"/>
          <w:sz w:val="24"/>
          <w:szCs w:val="24"/>
        </w:rPr>
        <w:t>se amendments to the</w:t>
      </w:r>
      <w:r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 xml:space="preserve">will </w:t>
      </w:r>
      <w:r w:rsidRPr="000779A4">
        <w:rPr>
          <w:rFonts w:ascii="Times New Roman" w:eastAsia="Times New Roman" w:hAnsi="Times New Roman" w:cs="Times New Roman"/>
          <w:sz w:val="24"/>
          <w:szCs w:val="24"/>
        </w:rPr>
        <w:t xml:space="preserve">benefit all participants in the market.  </w:t>
      </w:r>
      <w:r>
        <w:rPr>
          <w:rFonts w:ascii="Times New Roman" w:eastAsia="Times New Roman" w:hAnsi="Times New Roman" w:cs="Times New Roman"/>
          <w:sz w:val="24"/>
          <w:szCs w:val="24"/>
        </w:rPr>
        <w:t>Futures Participants and Authorized Customers who have received pricing incentives from competitor exchanges which are more favorable than that exchange’s published rates may apply to NFX for inclusion into the CR Program.</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 believes that the Program</w:t>
      </w:r>
      <w:r>
        <w:rPr>
          <w:rFonts w:ascii="Times New Roman" w:eastAsia="Times New Roman" w:hAnsi="Times New Roman" w:cs="Times New Roman"/>
          <w:sz w:val="24"/>
          <w:szCs w:val="24"/>
        </w:rPr>
        <w:t>, and the amendments thereto, remains</w:t>
      </w:r>
      <w:r w:rsidRPr="000779A4">
        <w:rPr>
          <w:rFonts w:ascii="Times New Roman" w:eastAsia="Times New Roman" w:hAnsi="Times New Roman" w:cs="Times New Roman"/>
          <w:sz w:val="24"/>
          <w:szCs w:val="24"/>
        </w:rPr>
        <w:t xml:space="preserve"> consistent with Core Principles 2 (Compliance with Rules), 4 (Prevention of Market Disruption), 9 (Execution of Transactions), 12 (Protection of Market Participants), and 19 (Antitrust Considerations) under Section 5 of the Act because the Program does not incentivize manipulative trading or market abuse and will not impact the Exchange’s ability to perform its trade practice and market surveillance obligations under the Act.  </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2, as noted above, the Exchange’s Rule at Chapter III, Section 24, entitled “General Trading Standards and Prohibited Practices” prohibits abusive trading practices.  Also, the Exchange’s Rulebook at Chapter III, Sections 6 through 15 includes Customer Protection Rules that apply when a Futures Participant enters a trade on behalf of a Customer.  The Exchange’s Rules include prohibitions against fraudulent, non-competitive, unfair or abusive practices.  All Futures Participants </w:t>
      </w:r>
      <w:r>
        <w:rPr>
          <w:rFonts w:ascii="Times New Roman" w:eastAsia="Times New Roman" w:hAnsi="Times New Roman" w:cs="Times New Roman"/>
          <w:sz w:val="24"/>
          <w:szCs w:val="24"/>
        </w:rPr>
        <w:t xml:space="preserve">and Authorized Customers </w:t>
      </w:r>
      <w:r w:rsidRPr="000779A4">
        <w:rPr>
          <w:rFonts w:ascii="Times New Roman" w:eastAsia="Times New Roman" w:hAnsi="Times New Roman" w:cs="Times New Roman"/>
          <w:sz w:val="24"/>
          <w:szCs w:val="24"/>
        </w:rPr>
        <w:t xml:space="preserve">that participate in the </w:t>
      </w:r>
      <w:r>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 are subject to NFX Rules. </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4, the Exchange’s market regulation staff monitor trading in the </w:t>
      </w:r>
      <w:r>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Program’s products to prevent manipulative trading and market abuse.  The incentives offered as part of the Program </w:t>
      </w:r>
      <w:r>
        <w:rPr>
          <w:rFonts w:ascii="Times New Roman" w:eastAsia="Times New Roman" w:hAnsi="Times New Roman" w:cs="Times New Roman"/>
          <w:sz w:val="24"/>
          <w:szCs w:val="24"/>
        </w:rPr>
        <w:t>do</w:t>
      </w:r>
      <w:r w:rsidRPr="000779A4">
        <w:rPr>
          <w:rFonts w:ascii="Times New Roman" w:eastAsia="Times New Roman" w:hAnsi="Times New Roman" w:cs="Times New Roman"/>
          <w:sz w:val="24"/>
          <w:szCs w:val="24"/>
        </w:rPr>
        <w:t xml:space="preserve"> not impact the manner in which Orders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executed on NFX.  Pursuant to the Exchange Rules at Chapter VI, the Surveillance and Enforcement groups are authorized to investigate trading activities on the Exchange, and initiate enforcement procedures to ensure compliance with the Rules.  </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The Exchange’s Rules at Chapter III, Section 19, </w:t>
      </w:r>
      <w:proofErr w:type="gramStart"/>
      <w:r w:rsidRPr="000779A4">
        <w:rPr>
          <w:rFonts w:ascii="Times New Roman" w:eastAsia="Times New Roman" w:hAnsi="Times New Roman" w:cs="Times New Roman"/>
          <w:sz w:val="24"/>
          <w:szCs w:val="24"/>
        </w:rPr>
        <w:t>entitled</w:t>
      </w:r>
      <w:proofErr w:type="gramEnd"/>
      <w:r w:rsidRPr="000779A4">
        <w:rPr>
          <w:rFonts w:ascii="Times New Roman" w:eastAsia="Times New Roman" w:hAnsi="Times New Roman" w:cs="Times New Roman"/>
          <w:sz w:val="24"/>
          <w:szCs w:val="24"/>
        </w:rPr>
        <w:t xml:space="preserve"> “Exchange Access to Position Information” provide that the Exchange shall have the authority to obtain from any Futures Participant information with respect to positions of such Futures Participant or any Customer of such Futures Participant.  The Exchange’s Rules at Chapter III, Section 16 require Futures Participants to submit a daily report of all Large Trader Reporting levels as set forth by the Exchange.</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9, the </w:t>
      </w:r>
      <w:r>
        <w:rPr>
          <w:rFonts w:ascii="Times New Roman" w:eastAsia="Times New Roman" w:hAnsi="Times New Roman" w:cs="Times New Roman"/>
          <w:sz w:val="24"/>
          <w:szCs w:val="24"/>
        </w:rPr>
        <w:t>Program is</w:t>
      </w:r>
      <w:r w:rsidRPr="000779A4">
        <w:rPr>
          <w:rFonts w:ascii="Times New Roman" w:eastAsia="Times New Roman" w:hAnsi="Times New Roman" w:cs="Times New Roman"/>
          <w:sz w:val="24"/>
          <w:szCs w:val="24"/>
        </w:rPr>
        <w:t xml:space="preserve"> designed to promote liquidity in the </w:t>
      </w:r>
      <w:r>
        <w:rPr>
          <w:rFonts w:ascii="Times New Roman" w:eastAsia="Times New Roman" w:hAnsi="Times New Roman" w:cs="Times New Roman"/>
          <w:sz w:val="24"/>
          <w:szCs w:val="24"/>
        </w:rPr>
        <w:t>C</w:t>
      </w:r>
      <w:r w:rsidRPr="000779A4">
        <w:rPr>
          <w:rFonts w:ascii="Times New Roman" w:eastAsia="Times New Roman" w:hAnsi="Times New Roman" w:cs="Times New Roman"/>
          <w:sz w:val="24"/>
          <w:szCs w:val="24"/>
        </w:rPr>
        <w:t>ontract</w:t>
      </w:r>
      <w:r>
        <w:rPr>
          <w:rFonts w:ascii="Times New Roman" w:eastAsia="Times New Roman" w:hAnsi="Times New Roman" w:cs="Times New Roman"/>
          <w:sz w:val="24"/>
          <w:szCs w:val="24"/>
        </w:rPr>
        <w:t>s, thus enhance competition.</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12, as noted above, all trading of the energy contracts </w:t>
      </w:r>
      <w:r>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rules, designed to achieve fair and equitable trading of all listed contracts.  Chapter III of the Exchange’s Rulebook contains prohibitions precluding intermediaries from disadvantaging their customers.  Improper conduct and trade practices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investigated and adjudicated as described in Chapter VI of the Exchange’s Rules.  The procedures for executing trades through the Exchange’s Trading System, which are described in the Exchange’s Rules at Chapters IV and V, are designed to promote fair and equitable trading on the Exchange.</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lastRenderedPageBreak/>
        <w:t xml:space="preserve">With respect to compliance with Core Principle 19, the </w:t>
      </w:r>
      <w:r>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is pro-competition, and is designed to be responsive to competitive market forces.  The CR program</w:t>
      </w:r>
      <w:r w:rsidRPr="000779A4">
        <w:rPr>
          <w:rFonts w:ascii="Times New Roman" w:eastAsia="Times New Roman" w:hAnsi="Times New Roman" w:cs="Times New Roman"/>
          <w:sz w:val="24"/>
          <w:szCs w:val="24"/>
        </w:rPr>
        <w:t xml:space="preserve"> does not result in an</w:t>
      </w:r>
      <w:r>
        <w:rPr>
          <w:rFonts w:ascii="Times New Roman" w:eastAsia="Times New Roman" w:hAnsi="Times New Roman" w:cs="Times New Roman"/>
          <w:sz w:val="24"/>
          <w:szCs w:val="24"/>
        </w:rPr>
        <w:t>y</w:t>
      </w:r>
      <w:r w:rsidRPr="000779A4">
        <w:rPr>
          <w:rFonts w:ascii="Times New Roman" w:eastAsia="Times New Roman" w:hAnsi="Times New Roman" w:cs="Times New Roman"/>
          <w:sz w:val="24"/>
          <w:szCs w:val="24"/>
        </w:rPr>
        <w:t xml:space="preserve"> unreasonable restraint of trade, or the imposition of any material anticompetitive burden. </w:t>
      </w:r>
      <w:r>
        <w:rPr>
          <w:rFonts w:ascii="Times New Roman" w:eastAsia="Times New Roman" w:hAnsi="Times New Roman" w:cs="Times New Roman"/>
          <w:sz w:val="24"/>
          <w:szCs w:val="24"/>
        </w:rPr>
        <w:t xml:space="preserve"> T</w:t>
      </w:r>
      <w:r w:rsidRPr="000779A4">
        <w:rPr>
          <w:rFonts w:ascii="Times New Roman" w:eastAsia="Times New Roman" w:hAnsi="Times New Roman" w:cs="Times New Roman"/>
          <w:sz w:val="24"/>
          <w:szCs w:val="24"/>
        </w:rPr>
        <w:t xml:space="preserve">he Program should enhance trade and competition by providing </w:t>
      </w:r>
      <w:r>
        <w:rPr>
          <w:rFonts w:ascii="Times New Roman" w:eastAsia="Times New Roman" w:hAnsi="Times New Roman" w:cs="Times New Roman"/>
          <w:sz w:val="24"/>
          <w:szCs w:val="24"/>
        </w:rPr>
        <w:t xml:space="preserve">liquidity in the Contracts and </w:t>
      </w:r>
      <w:r w:rsidRPr="000779A4">
        <w:rPr>
          <w:rFonts w:ascii="Times New Roman" w:eastAsia="Times New Roman" w:hAnsi="Times New Roman" w:cs="Times New Roman"/>
          <w:sz w:val="24"/>
          <w:szCs w:val="24"/>
        </w:rPr>
        <w:t xml:space="preserve">an alternative </w:t>
      </w:r>
      <w:r>
        <w:rPr>
          <w:rFonts w:ascii="Times New Roman" w:eastAsia="Times New Roman" w:hAnsi="Times New Roman" w:cs="Times New Roman"/>
          <w:sz w:val="24"/>
          <w:szCs w:val="24"/>
        </w:rPr>
        <w:t xml:space="preserve">execution venue </w:t>
      </w:r>
      <w:r w:rsidRPr="000779A4">
        <w:rPr>
          <w:rFonts w:ascii="Times New Roman" w:eastAsia="Times New Roman" w:hAnsi="Times New Roman" w:cs="Times New Roman"/>
          <w:sz w:val="24"/>
          <w:szCs w:val="24"/>
        </w:rPr>
        <w:t xml:space="preserve">to the </w:t>
      </w:r>
      <w:r>
        <w:rPr>
          <w:rFonts w:ascii="Times New Roman" w:eastAsia="Times New Roman" w:hAnsi="Times New Roman" w:cs="Times New Roman"/>
          <w:sz w:val="24"/>
          <w:szCs w:val="24"/>
        </w:rPr>
        <w:t xml:space="preserve">other </w:t>
      </w:r>
      <w:r w:rsidRPr="000779A4">
        <w:rPr>
          <w:rFonts w:ascii="Times New Roman" w:eastAsia="Times New Roman" w:hAnsi="Times New Roman" w:cs="Times New Roman"/>
          <w:sz w:val="24"/>
          <w:szCs w:val="24"/>
        </w:rPr>
        <w:t xml:space="preserve">exchanges.  </w:t>
      </w:r>
    </w:p>
    <w:p w:rsidR="001B7206" w:rsidRDefault="001B7206" w:rsidP="001B7206">
      <w:pPr>
        <w:spacing w:after="0" w:line="240" w:lineRule="auto"/>
        <w:rPr>
          <w:rFonts w:ascii="Times New Roman" w:eastAsia="Times New Roman" w:hAnsi="Times New Roman" w:cs="Times New Roman"/>
          <w:b/>
          <w:bCs/>
          <w:sz w:val="24"/>
          <w:szCs w:val="23"/>
          <w:u w:val="single"/>
        </w:rPr>
      </w:pPr>
    </w:p>
    <w:p w:rsidR="001B7206" w:rsidRPr="0013104F" w:rsidRDefault="001B7206" w:rsidP="001B7206">
      <w:pPr>
        <w:pStyle w:val="Default"/>
        <w:ind w:left="2620" w:firstLine="1310"/>
        <w:rPr>
          <w:b/>
          <w:bCs/>
          <w:color w:val="auto"/>
          <w:szCs w:val="23"/>
          <w:u w:val="single"/>
        </w:rPr>
      </w:pPr>
      <w:r w:rsidRPr="0013104F">
        <w:rPr>
          <w:b/>
          <w:bCs/>
          <w:color w:val="auto"/>
          <w:szCs w:val="23"/>
          <w:u w:val="single"/>
        </w:rPr>
        <w:t xml:space="preserve">Certifications </w:t>
      </w:r>
    </w:p>
    <w:p w:rsidR="001B7206" w:rsidRPr="0013104F" w:rsidRDefault="001B7206" w:rsidP="001B7206">
      <w:pPr>
        <w:pStyle w:val="Default"/>
        <w:ind w:left="2620"/>
        <w:rPr>
          <w:color w:val="auto"/>
        </w:rPr>
      </w:pPr>
    </w:p>
    <w:p w:rsidR="001B7206" w:rsidRPr="0013104F" w:rsidRDefault="001B7206" w:rsidP="001B7206">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w:t>
      </w:r>
      <w:r>
        <w:rPr>
          <w:rFonts w:ascii="Times New Roman" w:hAnsi="Times New Roman"/>
          <w:sz w:val="24"/>
          <w:szCs w:val="23"/>
        </w:rPr>
        <w:t xml:space="preserve"> </w:t>
      </w:r>
      <w:r w:rsidRPr="0013104F">
        <w:rPr>
          <w:rFonts w:ascii="Times New Roman" w:hAnsi="Times New Roman"/>
          <w:sz w:val="24"/>
          <w:szCs w:val="23"/>
        </w:rPr>
        <w:t xml:space="preserve">The Exchange hereby certifies that the </w:t>
      </w:r>
      <w:r>
        <w:rPr>
          <w:rFonts w:ascii="Times New Roman" w:hAnsi="Times New Roman"/>
          <w:sz w:val="24"/>
          <w:szCs w:val="23"/>
        </w:rPr>
        <w:t>CR Program</w:t>
      </w:r>
      <w:r w:rsidRPr="0013104F">
        <w:rPr>
          <w:rFonts w:ascii="Times New Roman" w:hAnsi="Times New Roman"/>
          <w:sz w:val="24"/>
          <w:szCs w:val="23"/>
        </w:rPr>
        <w:t xml:space="preserve"> set forth herein compl</w:t>
      </w:r>
      <w:r>
        <w:rPr>
          <w:rFonts w:ascii="Times New Roman" w:hAnsi="Times New Roman"/>
          <w:sz w:val="24"/>
          <w:szCs w:val="23"/>
        </w:rPr>
        <w:t>ies</w:t>
      </w:r>
      <w:r w:rsidRPr="0013104F">
        <w:rPr>
          <w:rFonts w:ascii="Times New Roman" w:hAnsi="Times New Roman"/>
          <w:sz w:val="24"/>
          <w:szCs w:val="23"/>
        </w:rPr>
        <w:t xml:space="preserve"> with the Act and the Commission’s regulations thereunder. </w:t>
      </w:r>
      <w:r>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1" w:history="1">
        <w:r>
          <w:rPr>
            <w:rStyle w:val="Hyperlink"/>
            <w:rFonts w:ascii="Times New Roman" w:hAnsi="Times New Roman"/>
            <w:sz w:val="24"/>
          </w:rPr>
          <w:t>business.nasdaq.com/futures</w:t>
        </w:r>
      </w:hyperlink>
      <w:r w:rsidRPr="0013104F">
        <w:rPr>
          <w:rFonts w:ascii="Times New Roman" w:hAnsi="Times New Roman"/>
          <w:sz w:val="24"/>
          <w:szCs w:val="23"/>
        </w:rPr>
        <w:t>.</w:t>
      </w:r>
    </w:p>
    <w:p w:rsidR="001B7206" w:rsidRPr="0013104F" w:rsidRDefault="001B7206" w:rsidP="001B7206">
      <w:pPr>
        <w:pStyle w:val="PlainText"/>
        <w:ind w:firstLine="1310"/>
        <w:rPr>
          <w:rFonts w:ascii="Times New Roman" w:hAnsi="Times New Roman"/>
          <w:sz w:val="24"/>
          <w:szCs w:val="24"/>
        </w:rPr>
      </w:pPr>
    </w:p>
    <w:p w:rsidR="002B56C0" w:rsidRPr="0013104F" w:rsidRDefault="001B7206" w:rsidP="001B7206">
      <w:pPr>
        <w:keepNext/>
        <w:spacing w:after="0" w:line="240" w:lineRule="auto"/>
        <w:ind w:firstLine="1310"/>
        <w:rPr>
          <w:rFonts w:ascii="Times New Roman" w:eastAsia="Times New Roman" w:hAnsi="Times New Roman" w:cs="Times New Roman"/>
          <w:sz w:val="24"/>
          <w:szCs w:val="24"/>
        </w:rPr>
      </w:pPr>
      <w:r w:rsidRPr="0013104F">
        <w:rPr>
          <w:rFonts w:ascii="Times New Roman" w:eastAsia="Calibri" w:hAnsi="Times New Roman" w:cs="Times New Roman"/>
          <w:sz w:val="24"/>
          <w:szCs w:val="24"/>
        </w:rPr>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Stephen Matthews</w:t>
      </w:r>
      <w:r>
        <w:rPr>
          <w:rFonts w:ascii="Times New Roman" w:eastAsia="Times New Roman" w:hAnsi="Times New Roman" w:cs="Times New Roman"/>
          <w:sz w:val="24"/>
          <w:szCs w:val="24"/>
        </w:rPr>
        <w:t xml:space="preserve"> </w:t>
      </w:r>
      <w:r w:rsidRPr="00B14D27">
        <w:rPr>
          <w:rFonts w:ascii="Times New Roman" w:eastAsia="Times New Roman" w:hAnsi="Times New Roman" w:cs="Times New Roman"/>
          <w:sz w:val="24"/>
          <w:szCs w:val="24"/>
        </w:rPr>
        <w:t>at (301) 978-84</w:t>
      </w:r>
      <w:r>
        <w:rPr>
          <w:rFonts w:ascii="Times New Roman" w:eastAsia="Times New Roman" w:hAnsi="Times New Roman" w:cs="Times New Roman"/>
          <w:sz w:val="24"/>
          <w:szCs w:val="24"/>
        </w:rPr>
        <w:t>58</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steve.matthews</w:t>
      </w:r>
      <w:r w:rsidRPr="0013104F">
        <w:rPr>
          <w:rFonts w:ascii="Times New Roman" w:hAnsi="Times New Roman" w:cs="Times New Roman"/>
          <w:sz w:val="24"/>
          <w:szCs w:val="24"/>
        </w:rPr>
        <w:t>@nasdaq.com</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2B3578">
        <w:rPr>
          <w:rFonts w:ascii="Times New Roman" w:hAnsi="Times New Roman" w:cs="Times New Roman"/>
          <w:sz w:val="24"/>
          <w:szCs w:val="24"/>
        </w:rPr>
        <w:t>refer to</w:t>
      </w:r>
      <w:r w:rsidRPr="002B3578">
        <w:rPr>
          <w:rFonts w:ascii="Times New Roman" w:hAnsi="Times New Roman" w:cs="Times New Roman"/>
          <w:spacing w:val="-6"/>
          <w:sz w:val="24"/>
          <w:szCs w:val="24"/>
        </w:rPr>
        <w:t xml:space="preserve"> </w:t>
      </w:r>
      <w:r>
        <w:rPr>
          <w:rFonts w:ascii="Times New Roman" w:hAnsi="Times New Roman" w:cs="Times New Roman"/>
          <w:sz w:val="24"/>
          <w:szCs w:val="24"/>
        </w:rPr>
        <w:t>SR-NFX-201</w:t>
      </w:r>
      <w:r>
        <w:rPr>
          <w:rFonts w:ascii="Times New Roman" w:hAnsi="Times New Roman" w:cs="Times New Roman"/>
          <w:sz w:val="24"/>
          <w:szCs w:val="24"/>
        </w:rPr>
        <w:t>9</w:t>
      </w:r>
      <w:r w:rsidRPr="002B3578">
        <w:rPr>
          <w:rFonts w:ascii="Times New Roman" w:hAnsi="Times New Roman" w:cs="Times New Roman"/>
          <w:sz w:val="24"/>
          <w:szCs w:val="24"/>
        </w:rPr>
        <w:t>-</w:t>
      </w:r>
      <w:r>
        <w:rPr>
          <w:rFonts w:ascii="Times New Roman" w:hAnsi="Times New Roman" w:cs="Times New Roman"/>
          <w:sz w:val="24"/>
          <w:szCs w:val="24"/>
        </w:rPr>
        <w:t>02</w:t>
      </w:r>
      <w:r w:rsidRPr="002B3578">
        <w:rPr>
          <w:rFonts w:ascii="Times New Roman" w:hAnsi="Times New Roman" w:cs="Times New Roman"/>
          <w:spacing w:val="-9"/>
          <w:sz w:val="24"/>
          <w:szCs w:val="24"/>
        </w:rPr>
        <w:t xml:space="preserve"> </w:t>
      </w:r>
      <w:r w:rsidRPr="002B3578">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Calibri" w:hAnsi="Times New Roman" w:cs="Times New Roman"/>
          <w:sz w:val="24"/>
          <w:szCs w:val="24"/>
        </w:rPr>
      </w:pPr>
    </w:p>
    <w:p w:rsidR="008E3547" w:rsidRPr="00F2179D" w:rsidRDefault="008E3547" w:rsidP="008E3547">
      <w:pPr>
        <w:pStyle w:val="NoSpacing"/>
        <w:keepNext/>
        <w:ind w:left="2880" w:firstLine="720"/>
        <w:rPr>
          <w:rFonts w:ascii="Times New Roman" w:eastAsia="Calibri" w:hAnsi="Times New Roman" w:cs="Times New Roman"/>
          <w:sz w:val="24"/>
          <w:szCs w:val="24"/>
        </w:rPr>
      </w:pPr>
      <w:r w:rsidRPr="00F2179D">
        <w:rPr>
          <w:rFonts w:ascii="Times New Roman" w:eastAsia="Calibri" w:hAnsi="Times New Roman" w:cs="Times New Roman"/>
          <w:sz w:val="24"/>
          <w:szCs w:val="24"/>
        </w:rPr>
        <w:t>Regards,</w:t>
      </w:r>
    </w:p>
    <w:p w:rsidR="008E3547" w:rsidRPr="00F2179D" w:rsidRDefault="008E3547" w:rsidP="008E3547">
      <w:pPr>
        <w:pStyle w:val="NoSpacing"/>
        <w:keepNext/>
        <w:ind w:left="2880" w:firstLine="720"/>
        <w:rPr>
          <w:rFonts w:ascii="Times New Roman" w:hAnsi="Times New Roman" w:cs="Times New Roman"/>
          <w:sz w:val="24"/>
          <w:szCs w:val="24"/>
        </w:rPr>
      </w:pPr>
      <w:r>
        <w:rPr>
          <w:rFonts w:eastAsia="Times New Roman"/>
          <w:noProof/>
        </w:rPr>
        <w:drawing>
          <wp:inline distT="0" distB="0" distL="0" distR="0" wp14:anchorId="379BD7C2" wp14:editId="70B0EFB6">
            <wp:extent cx="1550670" cy="654050"/>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49000" cy="695524"/>
                    </a:xfrm>
                    <a:prstGeom prst="rect">
                      <a:avLst/>
                    </a:prstGeom>
                    <a:noFill/>
                    <a:ln>
                      <a:noFill/>
                    </a:ln>
                  </pic:spPr>
                </pic:pic>
              </a:graphicData>
            </a:graphic>
          </wp:inline>
        </w:drawing>
      </w:r>
    </w:p>
    <w:p w:rsidR="008E3547" w:rsidRPr="00F2179D" w:rsidRDefault="008E3547" w:rsidP="008E3547">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rsidR="008E3547" w:rsidRPr="00F2179D" w:rsidRDefault="008E3547" w:rsidP="008E3547">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C711C9" w:rsidRPr="00D06205" w:rsidRDefault="00C711C9" w:rsidP="00C711C9">
      <w:pPr>
        <w:pStyle w:val="NoSpacing"/>
        <w:ind w:left="2880" w:firstLine="720"/>
        <w:rPr>
          <w:rFonts w:ascii="Times New Roman" w:eastAsia="Calibri" w:hAnsi="Times New Roman" w:cs="Times New Roman"/>
          <w:sz w:val="24"/>
          <w:szCs w:val="24"/>
        </w:rPr>
      </w:pPr>
    </w:p>
    <w:p w:rsidR="002B56C0" w:rsidRPr="0013104F" w:rsidRDefault="002B56C0" w:rsidP="002B56C0">
      <w:pPr>
        <w:pStyle w:val="NoSpacing"/>
        <w:ind w:left="2880" w:firstLine="720"/>
        <w:rPr>
          <w:rFonts w:ascii="Times New Roman" w:eastAsia="Calibri" w:hAnsi="Times New Roman" w:cs="Times New Roman"/>
          <w:sz w:val="24"/>
          <w:szCs w:val="24"/>
        </w:rPr>
      </w:pPr>
    </w:p>
    <w:p w:rsidR="004F4E47" w:rsidRDefault="00335313"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Attach</w:t>
      </w:r>
      <w:r w:rsidR="00692851">
        <w:rPr>
          <w:rFonts w:ascii="Times New Roman" w:hAnsi="Times New Roman" w:cs="Times New Roman"/>
          <w:sz w:val="24"/>
          <w:szCs w:val="24"/>
        </w:rPr>
        <w:t>ments:</w:t>
      </w:r>
    </w:p>
    <w:p w:rsidR="00692851" w:rsidRDefault="00692851" w:rsidP="002B56C0">
      <w:pPr>
        <w:spacing w:after="0" w:line="240" w:lineRule="auto"/>
        <w:rPr>
          <w:rFonts w:ascii="Times New Roman" w:hAnsi="Times New Roman" w:cs="Times New Roman"/>
          <w:sz w:val="24"/>
          <w:szCs w:val="24"/>
        </w:rPr>
      </w:pPr>
    </w:p>
    <w:p w:rsidR="001B7206" w:rsidRDefault="001B7206" w:rsidP="001B72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Confidential Appendix A </w:t>
      </w:r>
    </w:p>
    <w:p w:rsidR="00692851" w:rsidRDefault="00692851" w:rsidP="00F22043">
      <w:pPr>
        <w:spacing w:after="0" w:line="240" w:lineRule="auto"/>
        <w:ind w:left="1350" w:hanging="1350"/>
        <w:rPr>
          <w:rFonts w:ascii="Times New Roman" w:hAnsi="Times New Roman" w:cs="Times New Roman"/>
          <w:sz w:val="24"/>
          <w:szCs w:val="24"/>
        </w:rPr>
      </w:pPr>
    </w:p>
    <w:sectPr w:rsidR="00692851"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5DD" w:rsidRDefault="001335DD">
      <w:r>
        <w:separator/>
      </w:r>
    </w:p>
  </w:endnote>
  <w:endnote w:type="continuationSeparator" w:id="0">
    <w:p w:rsidR="001335DD" w:rsidRDefault="0013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embedRegular r:id="rId1" w:fontKey="{612EF947-4968-4F81-8F22-13A0697701BB}"/>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5DD" w:rsidRDefault="001335DD">
      <w:r>
        <w:separator/>
      </w:r>
    </w:p>
  </w:footnote>
  <w:footnote w:type="continuationSeparator" w:id="0">
    <w:p w:rsidR="001335DD" w:rsidRDefault="001335DD">
      <w:r>
        <w:continuationSeparator/>
      </w:r>
    </w:p>
  </w:footnote>
  <w:footnote w:id="1">
    <w:p w:rsidR="001B7206" w:rsidRPr="003A5BEF" w:rsidRDefault="001B7206" w:rsidP="001B7206">
      <w:pPr>
        <w:pStyle w:val="Default"/>
        <w:spacing w:after="240"/>
        <w:ind w:left="720" w:hanging="720"/>
        <w:rPr>
          <w:sz w:val="20"/>
          <w:szCs w:val="20"/>
        </w:rPr>
      </w:pPr>
      <w:r w:rsidRPr="003A5BEF">
        <w:rPr>
          <w:rStyle w:val="FootnoteReference"/>
          <w:rFonts w:eastAsiaTheme="minorHAnsi"/>
          <w:color w:val="auto"/>
          <w:sz w:val="20"/>
          <w:szCs w:val="20"/>
        </w:rPr>
        <w:footnoteRef/>
      </w:r>
      <w:r w:rsidRPr="003A5BEF">
        <w:rPr>
          <w:rStyle w:val="FootnoteReference"/>
          <w:rFonts w:eastAsiaTheme="minorHAnsi"/>
          <w:color w:val="auto"/>
          <w:sz w:val="20"/>
          <w:szCs w:val="20"/>
        </w:rPr>
        <w:t xml:space="preserve"> </w:t>
      </w:r>
      <w:r w:rsidRPr="003A5BEF">
        <w:rPr>
          <w:sz w:val="20"/>
          <w:szCs w:val="20"/>
        </w:rPr>
        <w:t xml:space="preserve">See </w:t>
      </w:r>
      <w:hyperlink r:id="rId1" w:history="1">
        <w:r w:rsidRPr="003A5BEF">
          <w:rPr>
            <w:rStyle w:val="Hyperlink"/>
            <w:sz w:val="20"/>
            <w:szCs w:val="20"/>
          </w:rPr>
          <w:t>NFX Rulebook Appendix A – Listed Contracts</w:t>
        </w:r>
      </w:hyperlink>
      <w:r w:rsidRPr="003A5BEF">
        <w:rPr>
          <w:sz w:val="20"/>
          <w:szCs w:val="20"/>
        </w:rPr>
        <w:t xml:space="preserve"> </w:t>
      </w:r>
    </w:p>
  </w:footnote>
  <w:footnote w:id="2">
    <w:p w:rsidR="001B7206" w:rsidRPr="003A5BEF" w:rsidRDefault="001B7206" w:rsidP="001B7206">
      <w:pPr>
        <w:pStyle w:val="FootnoteText"/>
        <w:spacing w:after="240"/>
        <w:ind w:left="720" w:hanging="720"/>
        <w:rPr>
          <w:rFonts w:ascii="Times New Roman" w:hAnsi="Times New Roman" w:cs="Times New Roman"/>
        </w:rPr>
      </w:pPr>
      <w:r w:rsidRPr="003A5BEF">
        <w:rPr>
          <w:rStyle w:val="FootnoteReference"/>
          <w:rFonts w:ascii="Times New Roman" w:hAnsi="Times New Roman" w:cs="Times New Roman"/>
        </w:rPr>
        <w:footnoteRef/>
      </w:r>
      <w:r w:rsidRPr="003A5BEF">
        <w:rPr>
          <w:rFonts w:ascii="Times New Roman" w:hAnsi="Times New Roman" w:cs="Times New Roman"/>
        </w:rPr>
        <w:t xml:space="preserve"> See SR-NFX-2018-24</w:t>
      </w:r>
    </w:p>
  </w:footnote>
  <w:footnote w:id="3">
    <w:p w:rsidR="001B7206" w:rsidRPr="003A5BEF" w:rsidRDefault="001B7206" w:rsidP="001B7206">
      <w:pPr>
        <w:pStyle w:val="FootnoteText"/>
        <w:spacing w:after="240"/>
        <w:ind w:left="720" w:hanging="720"/>
      </w:pPr>
      <w:r w:rsidRPr="003A5BEF">
        <w:rPr>
          <w:rStyle w:val="FootnoteReference"/>
          <w:rFonts w:ascii="Times New Roman" w:hAnsi="Times New Roman" w:cs="Times New Roman"/>
        </w:rPr>
        <w:footnoteRef/>
      </w:r>
      <w:r w:rsidRPr="003A5BEF">
        <w:rPr>
          <w:rFonts w:ascii="Times New Roman" w:hAnsi="Times New Roman" w:cs="Times New Roman"/>
        </w:rPr>
        <w:t xml:space="preserve"> See SR-NFX-2018-34</w:t>
      </w:r>
      <w:r>
        <w:rPr>
          <w:rFonts w:ascii="Times New Roman" w:hAnsi="Times New Roman" w:cs="Times New Roman"/>
        </w:rPr>
        <w:t xml:space="preserve">, </w:t>
      </w:r>
      <w:r w:rsidRPr="003A5BEF">
        <w:rPr>
          <w:rFonts w:ascii="Times New Roman" w:hAnsi="Times New Roman" w:cs="Times New Roman"/>
        </w:rPr>
        <w:t>SR-NFX-2018-3</w:t>
      </w:r>
      <w:r>
        <w:rPr>
          <w:rFonts w:ascii="Times New Roman" w:hAnsi="Times New Roman" w:cs="Times New Roman"/>
        </w:rPr>
        <w:t>8</w:t>
      </w:r>
      <w:r w:rsidR="00DF08AC">
        <w:rPr>
          <w:rFonts w:ascii="Times New Roman" w:hAnsi="Times New Roman" w:cs="Times New Roman"/>
        </w:rPr>
        <w:t>,</w:t>
      </w:r>
      <w:r>
        <w:rPr>
          <w:rFonts w:ascii="Times New Roman" w:hAnsi="Times New Roman" w:cs="Times New Roman"/>
        </w:rPr>
        <w:t xml:space="preserve"> SR-NFX-2018-43</w:t>
      </w:r>
      <w:r w:rsidR="00DF08AC">
        <w:rPr>
          <w:rFonts w:ascii="Times New Roman" w:hAnsi="Times New Roman" w:cs="Times New Roman"/>
        </w:rPr>
        <w:t xml:space="preserve"> and SR-NFX-2018-56.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004CFB"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 28</w:t>
    </w:r>
    <w:r w:rsidR="00D9388D">
      <w:rPr>
        <w:rFonts w:ascii="Times New Roman" w:hAnsi="Times New Roman" w:cs="Times New Roman"/>
        <w:sz w:val="20"/>
        <w:szCs w:val="20"/>
      </w:rPr>
      <w:t>, 201</w:t>
    </w:r>
    <w:r>
      <w:rPr>
        <w:rFonts w:ascii="Times New Roman" w:hAnsi="Times New Roman" w:cs="Times New Roman"/>
        <w:sz w:val="20"/>
        <w:szCs w:val="20"/>
      </w:rPr>
      <w:t>9</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004CFB">
      <w:rPr>
        <w:rFonts w:ascii="Times New Roman" w:hAnsi="Times New Roman" w:cs="Times New Roman"/>
        <w:sz w:val="20"/>
        <w:szCs w:val="20"/>
      </w:rPr>
      <w:t>9</w:t>
    </w:r>
    <w:r w:rsidR="00371610">
      <w:rPr>
        <w:rFonts w:ascii="Times New Roman" w:hAnsi="Times New Roman" w:cs="Times New Roman"/>
        <w:sz w:val="20"/>
        <w:szCs w:val="20"/>
      </w:rPr>
      <w:t>-</w:t>
    </w:r>
    <w:r w:rsidR="001B7206">
      <w:rPr>
        <w:rFonts w:ascii="Times New Roman" w:hAnsi="Times New Roman" w:cs="Times New Roman"/>
        <w:sz w:val="20"/>
        <w:szCs w:val="20"/>
      </w:rPr>
      <w:t>02</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DF08AC">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40735E" w:rsidP="001B6ADA">
    <w:pPr>
      <w:pStyle w:val="LetterheadAddress"/>
      <w:ind w:left="6550"/>
      <w:rPr>
        <w:sz w:val="20"/>
      </w:rPr>
    </w:pPr>
    <w:r>
      <w:rPr>
        <w:sz w:val="20"/>
      </w:rPr>
      <w:t>2929 Walnut Street</w:t>
    </w:r>
  </w:p>
  <w:p w:rsidR="001B6ADA" w:rsidRPr="00CF4B16" w:rsidRDefault="001B6ADA" w:rsidP="001B6ADA">
    <w:pPr>
      <w:pStyle w:val="LetterheadAddress"/>
      <w:ind w:left="6550"/>
      <w:rPr>
        <w:sz w:val="20"/>
      </w:rPr>
    </w:pPr>
    <w:r w:rsidRPr="00CF4B16">
      <w:rPr>
        <w:sz w:val="20"/>
      </w:rPr>
      <w:t>Philadelphia, PA 1910</w:t>
    </w:r>
    <w:r w:rsidR="0040735E">
      <w:rPr>
        <w:sz w:val="20"/>
      </w:rPr>
      <w:t>4</w:t>
    </w:r>
    <w:r w:rsidRPr="00CF4B16">
      <w:rPr>
        <w:sz w:val="20"/>
      </w:rPr>
      <w:t xml:space="preserve">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005A7FD1" w:rsidRPr="00151B94">
      <w:rPr>
        <w:noProof/>
        <w:sz w:val="18"/>
        <w:szCs w:val="18"/>
      </w:rPr>
      <w:drawing>
        <wp:anchor distT="0" distB="0" distL="114300" distR="114300" simplePos="0" relativeHeight="251664384" behindDoc="0" locked="1" layoutInCell="1" allowOverlap="1" wp14:anchorId="57F3EAF1" wp14:editId="438907C7">
          <wp:simplePos x="0" y="0"/>
          <wp:positionH relativeFrom="margin">
            <wp:posOffset>3565837</wp:posOffset>
          </wp:positionH>
          <wp:positionV relativeFrom="page">
            <wp:posOffset>690113</wp:posOffset>
          </wp:positionV>
          <wp:extent cx="1673225" cy="47434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04CFB"/>
    <w:rsid w:val="00010152"/>
    <w:rsid w:val="000141C6"/>
    <w:rsid w:val="000277E6"/>
    <w:rsid w:val="000313E1"/>
    <w:rsid w:val="00035AE7"/>
    <w:rsid w:val="0004373F"/>
    <w:rsid w:val="00043BF8"/>
    <w:rsid w:val="000467B2"/>
    <w:rsid w:val="00051023"/>
    <w:rsid w:val="00053DDB"/>
    <w:rsid w:val="00054E16"/>
    <w:rsid w:val="000718CD"/>
    <w:rsid w:val="000764FA"/>
    <w:rsid w:val="00091E20"/>
    <w:rsid w:val="00095F3F"/>
    <w:rsid w:val="000A0FF7"/>
    <w:rsid w:val="000A3874"/>
    <w:rsid w:val="000A7F25"/>
    <w:rsid w:val="000B0B22"/>
    <w:rsid w:val="000B0F2E"/>
    <w:rsid w:val="000B5E2C"/>
    <w:rsid w:val="000C579C"/>
    <w:rsid w:val="000D02B9"/>
    <w:rsid w:val="000D1939"/>
    <w:rsid w:val="000D4A76"/>
    <w:rsid w:val="000D6BF4"/>
    <w:rsid w:val="000E23FC"/>
    <w:rsid w:val="000F3BC3"/>
    <w:rsid w:val="00124AE5"/>
    <w:rsid w:val="001265C8"/>
    <w:rsid w:val="001335DD"/>
    <w:rsid w:val="00135BE1"/>
    <w:rsid w:val="00153179"/>
    <w:rsid w:val="001615F2"/>
    <w:rsid w:val="001746B9"/>
    <w:rsid w:val="00177BCC"/>
    <w:rsid w:val="0018088D"/>
    <w:rsid w:val="00197F73"/>
    <w:rsid w:val="001B6ADA"/>
    <w:rsid w:val="001B7206"/>
    <w:rsid w:val="001C4306"/>
    <w:rsid w:val="001C47C6"/>
    <w:rsid w:val="001D0916"/>
    <w:rsid w:val="001D4C1F"/>
    <w:rsid w:val="001E53F3"/>
    <w:rsid w:val="001F20FA"/>
    <w:rsid w:val="00210AE7"/>
    <w:rsid w:val="002230A7"/>
    <w:rsid w:val="00232FFF"/>
    <w:rsid w:val="00242C21"/>
    <w:rsid w:val="00243744"/>
    <w:rsid w:val="0024703B"/>
    <w:rsid w:val="00252BCC"/>
    <w:rsid w:val="00261A57"/>
    <w:rsid w:val="0026668C"/>
    <w:rsid w:val="00273392"/>
    <w:rsid w:val="002A147E"/>
    <w:rsid w:val="002A70DC"/>
    <w:rsid w:val="002B0DB3"/>
    <w:rsid w:val="002B3578"/>
    <w:rsid w:val="002B56C0"/>
    <w:rsid w:val="002D1A0E"/>
    <w:rsid w:val="002E0658"/>
    <w:rsid w:val="002F2442"/>
    <w:rsid w:val="00300E44"/>
    <w:rsid w:val="003017B3"/>
    <w:rsid w:val="00304F17"/>
    <w:rsid w:val="00310833"/>
    <w:rsid w:val="00314DE6"/>
    <w:rsid w:val="0032079E"/>
    <w:rsid w:val="00324B55"/>
    <w:rsid w:val="00335313"/>
    <w:rsid w:val="0033684D"/>
    <w:rsid w:val="00337B63"/>
    <w:rsid w:val="00337BAB"/>
    <w:rsid w:val="00352533"/>
    <w:rsid w:val="003579D4"/>
    <w:rsid w:val="00363601"/>
    <w:rsid w:val="003658B4"/>
    <w:rsid w:val="00371610"/>
    <w:rsid w:val="0037192B"/>
    <w:rsid w:val="00372973"/>
    <w:rsid w:val="003742C7"/>
    <w:rsid w:val="00385EB8"/>
    <w:rsid w:val="00390E54"/>
    <w:rsid w:val="00394142"/>
    <w:rsid w:val="003962C7"/>
    <w:rsid w:val="003A1E6B"/>
    <w:rsid w:val="003B3012"/>
    <w:rsid w:val="003D071F"/>
    <w:rsid w:val="003D65F8"/>
    <w:rsid w:val="003D7D45"/>
    <w:rsid w:val="003E42E3"/>
    <w:rsid w:val="003F1332"/>
    <w:rsid w:val="003F5035"/>
    <w:rsid w:val="00400D58"/>
    <w:rsid w:val="0040735E"/>
    <w:rsid w:val="0041155D"/>
    <w:rsid w:val="004166F5"/>
    <w:rsid w:val="00420946"/>
    <w:rsid w:val="00425E24"/>
    <w:rsid w:val="00431D5C"/>
    <w:rsid w:val="0043392E"/>
    <w:rsid w:val="004351A1"/>
    <w:rsid w:val="004416D1"/>
    <w:rsid w:val="004446AE"/>
    <w:rsid w:val="00444B42"/>
    <w:rsid w:val="00446290"/>
    <w:rsid w:val="004468C6"/>
    <w:rsid w:val="00451810"/>
    <w:rsid w:val="004520D0"/>
    <w:rsid w:val="004623F3"/>
    <w:rsid w:val="00470435"/>
    <w:rsid w:val="00471651"/>
    <w:rsid w:val="004A4B7C"/>
    <w:rsid w:val="004A673F"/>
    <w:rsid w:val="004A75CC"/>
    <w:rsid w:val="004B0ADE"/>
    <w:rsid w:val="004B4800"/>
    <w:rsid w:val="004C1038"/>
    <w:rsid w:val="004C595C"/>
    <w:rsid w:val="004E0359"/>
    <w:rsid w:val="004E0D16"/>
    <w:rsid w:val="004F42A5"/>
    <w:rsid w:val="004F4A5F"/>
    <w:rsid w:val="004F4E47"/>
    <w:rsid w:val="004F6A14"/>
    <w:rsid w:val="00500EE5"/>
    <w:rsid w:val="005101CA"/>
    <w:rsid w:val="005112E4"/>
    <w:rsid w:val="00517EAC"/>
    <w:rsid w:val="00521FB4"/>
    <w:rsid w:val="00522259"/>
    <w:rsid w:val="00526D6A"/>
    <w:rsid w:val="00543FF5"/>
    <w:rsid w:val="005444C0"/>
    <w:rsid w:val="00550D5C"/>
    <w:rsid w:val="0055465F"/>
    <w:rsid w:val="0055547F"/>
    <w:rsid w:val="00557005"/>
    <w:rsid w:val="0056301F"/>
    <w:rsid w:val="00566994"/>
    <w:rsid w:val="00566AD7"/>
    <w:rsid w:val="00575375"/>
    <w:rsid w:val="005948D5"/>
    <w:rsid w:val="0059608D"/>
    <w:rsid w:val="005A2793"/>
    <w:rsid w:val="005A7FD1"/>
    <w:rsid w:val="005B121C"/>
    <w:rsid w:val="005B3A86"/>
    <w:rsid w:val="005C2E8D"/>
    <w:rsid w:val="005C4063"/>
    <w:rsid w:val="005C40E6"/>
    <w:rsid w:val="005D6916"/>
    <w:rsid w:val="005E244B"/>
    <w:rsid w:val="005E4060"/>
    <w:rsid w:val="005E518E"/>
    <w:rsid w:val="005F1A38"/>
    <w:rsid w:val="005F6EC0"/>
    <w:rsid w:val="005F7738"/>
    <w:rsid w:val="00613FF8"/>
    <w:rsid w:val="00615BE5"/>
    <w:rsid w:val="0061772D"/>
    <w:rsid w:val="006231E5"/>
    <w:rsid w:val="00623F3F"/>
    <w:rsid w:val="00631422"/>
    <w:rsid w:val="0064234D"/>
    <w:rsid w:val="00642E1A"/>
    <w:rsid w:val="00645538"/>
    <w:rsid w:val="006505E1"/>
    <w:rsid w:val="006532B0"/>
    <w:rsid w:val="0066257B"/>
    <w:rsid w:val="006626EB"/>
    <w:rsid w:val="00662BF1"/>
    <w:rsid w:val="00672BD3"/>
    <w:rsid w:val="00674E96"/>
    <w:rsid w:val="00682E52"/>
    <w:rsid w:val="00687FED"/>
    <w:rsid w:val="00692851"/>
    <w:rsid w:val="006974BA"/>
    <w:rsid w:val="006A23F0"/>
    <w:rsid w:val="006A2E0C"/>
    <w:rsid w:val="006A58E9"/>
    <w:rsid w:val="006A6FB4"/>
    <w:rsid w:val="006B55A4"/>
    <w:rsid w:val="006C2820"/>
    <w:rsid w:val="006C2BD3"/>
    <w:rsid w:val="006C7C6D"/>
    <w:rsid w:val="006D0516"/>
    <w:rsid w:val="006D7316"/>
    <w:rsid w:val="006E620B"/>
    <w:rsid w:val="006F78A0"/>
    <w:rsid w:val="006F7FBF"/>
    <w:rsid w:val="00700B1A"/>
    <w:rsid w:val="00704A07"/>
    <w:rsid w:val="00723F8E"/>
    <w:rsid w:val="00744134"/>
    <w:rsid w:val="00746658"/>
    <w:rsid w:val="00746EFF"/>
    <w:rsid w:val="0075023F"/>
    <w:rsid w:val="007525F5"/>
    <w:rsid w:val="00752A6A"/>
    <w:rsid w:val="00755A05"/>
    <w:rsid w:val="007667BD"/>
    <w:rsid w:val="007824A2"/>
    <w:rsid w:val="00792782"/>
    <w:rsid w:val="0079548F"/>
    <w:rsid w:val="00796FBD"/>
    <w:rsid w:val="007A3EEC"/>
    <w:rsid w:val="007B39B4"/>
    <w:rsid w:val="007C6CA5"/>
    <w:rsid w:val="007D48A6"/>
    <w:rsid w:val="007F6B89"/>
    <w:rsid w:val="00803051"/>
    <w:rsid w:val="008225AC"/>
    <w:rsid w:val="00822AF5"/>
    <w:rsid w:val="00823846"/>
    <w:rsid w:val="0083294B"/>
    <w:rsid w:val="00832D54"/>
    <w:rsid w:val="00834CB0"/>
    <w:rsid w:val="008365F1"/>
    <w:rsid w:val="00840E13"/>
    <w:rsid w:val="00843CD2"/>
    <w:rsid w:val="008443E9"/>
    <w:rsid w:val="00845388"/>
    <w:rsid w:val="00847210"/>
    <w:rsid w:val="008504E3"/>
    <w:rsid w:val="008601E9"/>
    <w:rsid w:val="00862FB8"/>
    <w:rsid w:val="008A5035"/>
    <w:rsid w:val="008A6E96"/>
    <w:rsid w:val="008A6F33"/>
    <w:rsid w:val="008B0D0C"/>
    <w:rsid w:val="008D0EA0"/>
    <w:rsid w:val="008D2006"/>
    <w:rsid w:val="008D3674"/>
    <w:rsid w:val="008D3A95"/>
    <w:rsid w:val="008D575B"/>
    <w:rsid w:val="008E113C"/>
    <w:rsid w:val="008E3547"/>
    <w:rsid w:val="008E5622"/>
    <w:rsid w:val="008F2A00"/>
    <w:rsid w:val="008F34CB"/>
    <w:rsid w:val="008F39CF"/>
    <w:rsid w:val="008F696F"/>
    <w:rsid w:val="00901585"/>
    <w:rsid w:val="00901E0C"/>
    <w:rsid w:val="009159EA"/>
    <w:rsid w:val="009325A9"/>
    <w:rsid w:val="00933EC3"/>
    <w:rsid w:val="00940AE9"/>
    <w:rsid w:val="00944D95"/>
    <w:rsid w:val="00962C60"/>
    <w:rsid w:val="0096505D"/>
    <w:rsid w:val="00977F03"/>
    <w:rsid w:val="00980C72"/>
    <w:rsid w:val="00993F41"/>
    <w:rsid w:val="009A2490"/>
    <w:rsid w:val="009A68A7"/>
    <w:rsid w:val="009D5AA9"/>
    <w:rsid w:val="009D691D"/>
    <w:rsid w:val="009D7164"/>
    <w:rsid w:val="009F4FCF"/>
    <w:rsid w:val="009F7A70"/>
    <w:rsid w:val="00A01B4B"/>
    <w:rsid w:val="00A03815"/>
    <w:rsid w:val="00A06C10"/>
    <w:rsid w:val="00A10885"/>
    <w:rsid w:val="00A137D7"/>
    <w:rsid w:val="00A35B1F"/>
    <w:rsid w:val="00A3713A"/>
    <w:rsid w:val="00A42CAB"/>
    <w:rsid w:val="00A43066"/>
    <w:rsid w:val="00A554C3"/>
    <w:rsid w:val="00A568CC"/>
    <w:rsid w:val="00A62A66"/>
    <w:rsid w:val="00A85786"/>
    <w:rsid w:val="00A863E3"/>
    <w:rsid w:val="00A87D38"/>
    <w:rsid w:val="00AB3F9C"/>
    <w:rsid w:val="00AB4A64"/>
    <w:rsid w:val="00AB5353"/>
    <w:rsid w:val="00AB6119"/>
    <w:rsid w:val="00AB649F"/>
    <w:rsid w:val="00AC119B"/>
    <w:rsid w:val="00AD07B6"/>
    <w:rsid w:val="00AD646A"/>
    <w:rsid w:val="00AD784F"/>
    <w:rsid w:val="00AF47D9"/>
    <w:rsid w:val="00B01B83"/>
    <w:rsid w:val="00B03B90"/>
    <w:rsid w:val="00B03D03"/>
    <w:rsid w:val="00B040FC"/>
    <w:rsid w:val="00B04429"/>
    <w:rsid w:val="00B15314"/>
    <w:rsid w:val="00B16521"/>
    <w:rsid w:val="00B34650"/>
    <w:rsid w:val="00B45B23"/>
    <w:rsid w:val="00B46E8E"/>
    <w:rsid w:val="00B5273F"/>
    <w:rsid w:val="00B5514C"/>
    <w:rsid w:val="00B569C1"/>
    <w:rsid w:val="00B61518"/>
    <w:rsid w:val="00B65CC7"/>
    <w:rsid w:val="00B67098"/>
    <w:rsid w:val="00B679D2"/>
    <w:rsid w:val="00B75523"/>
    <w:rsid w:val="00B817A8"/>
    <w:rsid w:val="00B8408C"/>
    <w:rsid w:val="00B90BF8"/>
    <w:rsid w:val="00BB1623"/>
    <w:rsid w:val="00BB22FB"/>
    <w:rsid w:val="00BC7B09"/>
    <w:rsid w:val="00BD192C"/>
    <w:rsid w:val="00BD5978"/>
    <w:rsid w:val="00BD66AD"/>
    <w:rsid w:val="00BF0157"/>
    <w:rsid w:val="00BF1A81"/>
    <w:rsid w:val="00BF2D2F"/>
    <w:rsid w:val="00BF3818"/>
    <w:rsid w:val="00BF6A76"/>
    <w:rsid w:val="00C03127"/>
    <w:rsid w:val="00C0680F"/>
    <w:rsid w:val="00C17C3F"/>
    <w:rsid w:val="00C2091F"/>
    <w:rsid w:val="00C22DCB"/>
    <w:rsid w:val="00C31E26"/>
    <w:rsid w:val="00C32D24"/>
    <w:rsid w:val="00C36D24"/>
    <w:rsid w:val="00C42A1F"/>
    <w:rsid w:val="00C43D2B"/>
    <w:rsid w:val="00C628A0"/>
    <w:rsid w:val="00C654A6"/>
    <w:rsid w:val="00C711C9"/>
    <w:rsid w:val="00CA65E5"/>
    <w:rsid w:val="00CB1969"/>
    <w:rsid w:val="00CB6A80"/>
    <w:rsid w:val="00CC09A5"/>
    <w:rsid w:val="00CD6D2F"/>
    <w:rsid w:val="00CE3693"/>
    <w:rsid w:val="00CE4500"/>
    <w:rsid w:val="00CF7C6B"/>
    <w:rsid w:val="00D05049"/>
    <w:rsid w:val="00D1196E"/>
    <w:rsid w:val="00D138C3"/>
    <w:rsid w:val="00D31404"/>
    <w:rsid w:val="00D33F34"/>
    <w:rsid w:val="00D44C87"/>
    <w:rsid w:val="00D525A3"/>
    <w:rsid w:val="00D527EA"/>
    <w:rsid w:val="00D55CB9"/>
    <w:rsid w:val="00D61EDD"/>
    <w:rsid w:val="00D63C07"/>
    <w:rsid w:val="00D63C25"/>
    <w:rsid w:val="00D70163"/>
    <w:rsid w:val="00D72946"/>
    <w:rsid w:val="00D86679"/>
    <w:rsid w:val="00D86D6F"/>
    <w:rsid w:val="00D91713"/>
    <w:rsid w:val="00D9388D"/>
    <w:rsid w:val="00D97F5B"/>
    <w:rsid w:val="00DA6428"/>
    <w:rsid w:val="00DB1B21"/>
    <w:rsid w:val="00DC305C"/>
    <w:rsid w:val="00DD389D"/>
    <w:rsid w:val="00DF08AC"/>
    <w:rsid w:val="00E00A30"/>
    <w:rsid w:val="00E0574E"/>
    <w:rsid w:val="00E05D32"/>
    <w:rsid w:val="00E07DDC"/>
    <w:rsid w:val="00E10EC8"/>
    <w:rsid w:val="00E149BA"/>
    <w:rsid w:val="00E20958"/>
    <w:rsid w:val="00E31039"/>
    <w:rsid w:val="00E360CB"/>
    <w:rsid w:val="00E36D1C"/>
    <w:rsid w:val="00E418B5"/>
    <w:rsid w:val="00E453F6"/>
    <w:rsid w:val="00E462DD"/>
    <w:rsid w:val="00E50F10"/>
    <w:rsid w:val="00E67374"/>
    <w:rsid w:val="00E74ECF"/>
    <w:rsid w:val="00E81CD4"/>
    <w:rsid w:val="00E87C9F"/>
    <w:rsid w:val="00E90BCF"/>
    <w:rsid w:val="00EA57C7"/>
    <w:rsid w:val="00EC12B3"/>
    <w:rsid w:val="00EC1F98"/>
    <w:rsid w:val="00EC4E56"/>
    <w:rsid w:val="00EE0EE5"/>
    <w:rsid w:val="00F06CCD"/>
    <w:rsid w:val="00F10F71"/>
    <w:rsid w:val="00F114E3"/>
    <w:rsid w:val="00F12343"/>
    <w:rsid w:val="00F16B3B"/>
    <w:rsid w:val="00F16EA3"/>
    <w:rsid w:val="00F17C44"/>
    <w:rsid w:val="00F22043"/>
    <w:rsid w:val="00F240F8"/>
    <w:rsid w:val="00F255EE"/>
    <w:rsid w:val="00F25FF4"/>
    <w:rsid w:val="00F2689F"/>
    <w:rsid w:val="00F46C4F"/>
    <w:rsid w:val="00F535EB"/>
    <w:rsid w:val="00F609A9"/>
    <w:rsid w:val="00F731C4"/>
    <w:rsid w:val="00F9047B"/>
    <w:rsid w:val="00F978A6"/>
    <w:rsid w:val="00FB5305"/>
    <w:rsid w:val="00FC6574"/>
    <w:rsid w:val="00FC6D30"/>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7AEBF246-D7BE-4DAD-A2AD-13C5F4BB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 w:type="paragraph" w:styleId="Revision">
    <w:name w:val="Revision"/>
    <w:hidden/>
    <w:uiPriority w:val="99"/>
    <w:semiHidden/>
    <w:rsid w:val="00500EE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96871072">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4387714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70371766">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35670013">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818372527">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48A78BF0-F405-40C9-8F94-49DE09D2EBB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4b6b57ee-e90b-4c18-8cd3-a416f2086f44</DocGuid>
    <Published xmlns="4b47aac5-4c46-444f-8595-ce09b406fc61">true</Published>
    <Document_x0020_Type xmlns="4b47aac5-4c46-444f-8595-ce09b406fc61">Submission</Document_x0020_Type>
    <Amendment_x0020_No xmlns="4b47aac5-4c46-444f-8595-ce09b406fc61">0</Amendment_x0020_No>
    <Publication_x0020_Url xmlns="4b47aac5-4c46-444f-8595-ce09b406fc61">
      <Url>http://www.cftc.gov/filings/orgrules/rule012919nqfdcm001.docx</Url>
      <Description>http://www.cftc.gov/filings/orgrules/rule012919nqfdcm001.docx</Description>
    </Publication_x0020_Url>
    <Document_x0020_Date xmlns="4b47aac5-4c46-444f-8595-ce09b406fc61">2019-01-28T22:04:37+00:00</Document_x0020_Date>
    <Document_x0020_No xmlns="4b47aac5-4c46-444f-8595-ce09b406fc61">46179</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77A74-C24B-4EE6-9FAE-30772EDBB1B1}"/>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33BA57C9-5FDE-4B2E-875A-83FA402AE7C1}"/>
</file>

<file path=customXml/itemProps5.xml><?xml version="1.0" encoding="utf-8"?>
<ds:datastoreItem xmlns:ds="http://schemas.openxmlformats.org/officeDocument/2006/customXml" ds:itemID="{AB869490-A1BD-4E82-B534-1874DB6B4600}"/>
</file>

<file path=docProps/app.xml><?xml version="1.0" encoding="utf-8"?>
<Properties xmlns="http://schemas.openxmlformats.org/officeDocument/2006/extended-properties" xmlns:vt="http://schemas.openxmlformats.org/officeDocument/2006/docPropsVTypes">
  <Template>NASDAQ Futures NFX_Philadelphia letterhead</Template>
  <TotalTime>5</TotalTime>
  <Pages>3</Pages>
  <Words>920</Words>
  <Characters>5246</Characters>
  <Application>Microsoft Office Word</Application>
  <DocSecurity>2</DocSecurity>
  <Lines>43</Lines>
  <Paragraphs>12</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3</cp:revision>
  <cp:lastPrinted>2016-04-01T15:42:00Z</cp:lastPrinted>
  <dcterms:created xsi:type="dcterms:W3CDTF">2019-01-28T21:35:00Z</dcterms:created>
  <dcterms:modified xsi:type="dcterms:W3CDTF">2019-01-28T21:40:00Z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6776100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