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ED5054">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0964D7">
        <w:rPr>
          <w:sz w:val="18"/>
          <w:szCs w:val="18"/>
        </w:rPr>
        <w:t>N</w:t>
      </w:r>
      <w:r w:rsidRPr="00151B94">
        <w:rPr>
          <w:sz w:val="18"/>
          <w:szCs w:val="18"/>
        </w:rPr>
        <w:t>asdaq Futures, Inc.</w:t>
      </w:r>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4AD07B79" w14:textId="77777777" w:rsidR="0073590B" w:rsidRDefault="00DF1942" w:rsidP="0073590B">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73590B" w:rsidRPr="002D558A">
        <w:rPr>
          <w:rFonts w:ascii="Times New Roman" w:eastAsia="Calibri" w:hAnsi="Times New Roman" w:cs="Times New Roman"/>
          <w:b/>
          <w:sz w:val="24"/>
          <w:szCs w:val="24"/>
        </w:rPr>
        <w:t xml:space="preserve">Rule Certification for New NFX </w:t>
      </w:r>
      <w:r w:rsidR="0073590B">
        <w:rPr>
          <w:rFonts w:ascii="Times New Roman" w:eastAsia="Calibri" w:hAnsi="Times New Roman" w:cs="Times New Roman"/>
          <w:b/>
          <w:sz w:val="24"/>
          <w:szCs w:val="24"/>
        </w:rPr>
        <w:t>ERCOT Off-Peak Financial Futures Contracts</w:t>
      </w:r>
    </w:p>
    <w:p w14:paraId="6A8AEB7C" w14:textId="37D799AC" w:rsidR="00DF1942" w:rsidRPr="00E1206A" w:rsidRDefault="00DF1942" w:rsidP="0073590B">
      <w:pPr>
        <w:pStyle w:val="NoSpacing"/>
        <w:ind w:left="288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3590B">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73590B">
        <w:rPr>
          <w:rFonts w:ascii="Times New Roman" w:eastAsia="Calibri" w:hAnsi="Times New Roman" w:cs="Times New Roman"/>
          <w:b/>
          <w:sz w:val="24"/>
          <w:szCs w:val="24"/>
          <w:u w:val="single"/>
        </w:rPr>
        <w:t>07</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39679CE4"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w:t>
      </w:r>
      <w:r w:rsidR="0073590B">
        <w:rPr>
          <w:rFonts w:ascii="Times New Roman" w:eastAsia="Calibri" w:hAnsi="Times New Roman" w:cs="Times New Roman"/>
          <w:sz w:val="24"/>
          <w:szCs w:val="24"/>
        </w:rPr>
        <w:t xml:space="preserve">fee schedules for New </w:t>
      </w:r>
      <w:r w:rsidR="0073590B" w:rsidRPr="000011A2">
        <w:rPr>
          <w:rFonts w:ascii="Times New Roman" w:eastAsia="Calibri" w:hAnsi="Times New Roman" w:cs="Times New Roman"/>
          <w:sz w:val="24"/>
          <w:szCs w:val="24"/>
        </w:rPr>
        <w:t xml:space="preserve">NFX </w:t>
      </w:r>
      <w:r w:rsidR="0073590B" w:rsidRPr="00C503C1">
        <w:rPr>
          <w:rFonts w:ascii="Times New Roman" w:eastAsia="Calibri" w:hAnsi="Times New Roman" w:cs="Times New Roman"/>
          <w:sz w:val="24"/>
          <w:szCs w:val="24"/>
        </w:rPr>
        <w:t>E</w:t>
      </w:r>
      <w:r w:rsidR="0073590B">
        <w:rPr>
          <w:rFonts w:ascii="Times New Roman" w:eastAsia="Calibri" w:hAnsi="Times New Roman" w:cs="Times New Roman"/>
          <w:sz w:val="24"/>
          <w:szCs w:val="24"/>
        </w:rPr>
        <w:t xml:space="preserve">lectricity </w:t>
      </w:r>
      <w:r w:rsidR="0073590B" w:rsidRPr="00C503C1">
        <w:rPr>
          <w:rFonts w:ascii="Times New Roman" w:eastAsia="Calibri" w:hAnsi="Times New Roman" w:cs="Times New Roman"/>
          <w:sz w:val="24"/>
          <w:szCs w:val="24"/>
        </w:rPr>
        <w:t>R</w:t>
      </w:r>
      <w:r w:rsidR="0073590B">
        <w:rPr>
          <w:rFonts w:ascii="Times New Roman" w:eastAsia="Calibri" w:hAnsi="Times New Roman" w:cs="Times New Roman"/>
          <w:sz w:val="24"/>
          <w:szCs w:val="24"/>
        </w:rPr>
        <w:t xml:space="preserve">eliability </w:t>
      </w:r>
      <w:r w:rsidR="0073590B" w:rsidRPr="00C503C1">
        <w:rPr>
          <w:rFonts w:ascii="Times New Roman" w:eastAsia="Calibri" w:hAnsi="Times New Roman" w:cs="Times New Roman"/>
          <w:sz w:val="24"/>
          <w:szCs w:val="24"/>
        </w:rPr>
        <w:t>C</w:t>
      </w:r>
      <w:r w:rsidR="0073590B">
        <w:rPr>
          <w:rFonts w:ascii="Times New Roman" w:eastAsia="Calibri" w:hAnsi="Times New Roman" w:cs="Times New Roman"/>
          <w:sz w:val="24"/>
          <w:szCs w:val="24"/>
        </w:rPr>
        <w:t xml:space="preserve">ouncil </w:t>
      </w:r>
      <w:r w:rsidR="0073590B" w:rsidRPr="00C503C1">
        <w:rPr>
          <w:rFonts w:ascii="Times New Roman" w:eastAsia="Calibri" w:hAnsi="Times New Roman" w:cs="Times New Roman"/>
          <w:sz w:val="24"/>
          <w:szCs w:val="24"/>
        </w:rPr>
        <w:t>O</w:t>
      </w:r>
      <w:r w:rsidR="0073590B">
        <w:rPr>
          <w:rFonts w:ascii="Times New Roman" w:eastAsia="Calibri" w:hAnsi="Times New Roman" w:cs="Times New Roman"/>
          <w:sz w:val="24"/>
          <w:szCs w:val="24"/>
        </w:rPr>
        <w:t xml:space="preserve">f </w:t>
      </w:r>
      <w:r w:rsidR="0073590B" w:rsidRPr="00C503C1">
        <w:rPr>
          <w:rFonts w:ascii="Times New Roman" w:eastAsia="Calibri" w:hAnsi="Times New Roman" w:cs="Times New Roman"/>
          <w:sz w:val="24"/>
          <w:szCs w:val="24"/>
        </w:rPr>
        <w:t>T</w:t>
      </w:r>
      <w:r w:rsidR="0073590B">
        <w:rPr>
          <w:rFonts w:ascii="Times New Roman" w:eastAsia="Calibri" w:hAnsi="Times New Roman" w:cs="Times New Roman"/>
          <w:sz w:val="24"/>
          <w:szCs w:val="24"/>
        </w:rPr>
        <w:t>exas (ERCOT)</w:t>
      </w:r>
      <w:r w:rsidR="0073590B" w:rsidRPr="00C503C1">
        <w:rPr>
          <w:rFonts w:ascii="Times New Roman" w:eastAsia="Calibri" w:hAnsi="Times New Roman" w:cs="Times New Roman"/>
          <w:sz w:val="24"/>
          <w:szCs w:val="24"/>
        </w:rPr>
        <w:t xml:space="preserve"> Off-Peak Financial Futures</w:t>
      </w:r>
      <w:r w:rsidR="0073590B" w:rsidRPr="000011A2">
        <w:rPr>
          <w:rFonts w:ascii="Times New Roman" w:eastAsia="Calibri" w:hAnsi="Times New Roman" w:cs="Times New Roman"/>
          <w:sz w:val="24"/>
          <w:szCs w:val="24"/>
        </w:rPr>
        <w:t xml:space="preserve"> (</w:t>
      </w:r>
      <w:r w:rsidR="0073590B">
        <w:rPr>
          <w:rFonts w:ascii="Times New Roman" w:eastAsia="Calibri" w:hAnsi="Times New Roman" w:cs="Times New Roman"/>
          <w:sz w:val="24"/>
          <w:szCs w:val="24"/>
        </w:rPr>
        <w:t>“ERCOT Contracts”)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73590B">
        <w:rPr>
          <w:rFonts w:ascii="Times New Roman" w:eastAsia="Calibri" w:hAnsi="Times New Roman" w:cs="Times New Roman"/>
          <w:sz w:val="24"/>
          <w:szCs w:val="24"/>
        </w:rPr>
        <w:t>ERCOT Contracts</w:t>
      </w:r>
      <w:r w:rsidR="0073590B"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73590B">
        <w:rPr>
          <w:rFonts w:ascii="Times New Roman" w:eastAsia="Calibri" w:hAnsi="Times New Roman" w:cs="Times New Roman"/>
          <w:sz w:val="24"/>
          <w:szCs w:val="24"/>
        </w:rPr>
        <w:t>February</w:t>
      </w:r>
      <w:r w:rsidR="00ED5054">
        <w:rPr>
          <w:rFonts w:ascii="Times New Roman" w:eastAsia="Calibri" w:hAnsi="Times New Roman" w:cs="Times New Roman"/>
          <w:sz w:val="24"/>
          <w:szCs w:val="24"/>
        </w:rPr>
        <w:t xml:space="preserve"> </w:t>
      </w:r>
      <w:r w:rsidR="009A3607">
        <w:rPr>
          <w:rFonts w:ascii="Times New Roman" w:eastAsia="Calibri" w:hAnsi="Times New Roman" w:cs="Times New Roman"/>
          <w:sz w:val="24"/>
          <w:szCs w:val="24"/>
        </w:rPr>
        <w:t>22</w:t>
      </w:r>
      <w:r w:rsidR="0073590B">
        <w:rPr>
          <w:rFonts w:ascii="Times New Roman" w:eastAsia="Calibri" w:hAnsi="Times New Roman" w:cs="Times New Roman"/>
          <w:sz w:val="24"/>
          <w:szCs w:val="24"/>
        </w:rPr>
        <w:t>, 2018</w:t>
      </w:r>
      <w:r w:rsidR="00154FD5" w:rsidRPr="00E1206A">
        <w:rPr>
          <w:rFonts w:ascii="Times New Roman" w:eastAsia="Calibri" w:hAnsi="Times New Roman" w:cs="Times New Roman"/>
          <w:sz w:val="24"/>
          <w:szCs w:val="24"/>
        </w:rPr>
        <w:t xml:space="preserve">, for trade date </w:t>
      </w:r>
      <w:r w:rsidR="0073590B">
        <w:rPr>
          <w:rFonts w:ascii="Times New Roman" w:eastAsia="Calibri" w:hAnsi="Times New Roman" w:cs="Times New Roman"/>
          <w:sz w:val="24"/>
          <w:szCs w:val="24"/>
        </w:rPr>
        <w:t>February</w:t>
      </w:r>
      <w:r w:rsidR="00ED5054">
        <w:rPr>
          <w:rFonts w:ascii="Times New Roman" w:eastAsia="Calibri" w:hAnsi="Times New Roman" w:cs="Times New Roman"/>
          <w:sz w:val="24"/>
          <w:szCs w:val="24"/>
        </w:rPr>
        <w:t xml:space="preserve"> </w:t>
      </w:r>
      <w:r w:rsidR="009A3607">
        <w:rPr>
          <w:rFonts w:ascii="Times New Roman" w:eastAsia="Calibri" w:hAnsi="Times New Roman" w:cs="Times New Roman"/>
          <w:sz w:val="24"/>
          <w:szCs w:val="24"/>
        </w:rPr>
        <w:t>23</w:t>
      </w:r>
      <w:r w:rsidR="0073590B">
        <w:rPr>
          <w:rFonts w:ascii="Times New Roman" w:eastAsia="Calibri" w:hAnsi="Times New Roman" w:cs="Times New Roman"/>
          <w:sz w:val="24"/>
          <w:szCs w:val="24"/>
        </w:rPr>
        <w:t>, 2018</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39" w14:textId="68D5B82E" w:rsidR="00154FD5" w:rsidRPr="00E1206A"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w:t>
      </w:r>
      <w:r w:rsidR="0073590B">
        <w:rPr>
          <w:rFonts w:ascii="Times New Roman" w:eastAsia="Calibri" w:hAnsi="Times New Roman" w:cs="Times New Roman"/>
          <w:sz w:val="24"/>
          <w:szCs w:val="24"/>
        </w:rPr>
        <w:t>ERCOT Contracts</w:t>
      </w:r>
      <w:r w:rsidR="0073590B" w:rsidRPr="00E1206A">
        <w:rPr>
          <w:rFonts w:ascii="Times New Roman" w:eastAsia="Calibri" w:hAnsi="Times New Roman" w:cs="Times New Roman"/>
          <w:sz w:val="24"/>
          <w:szCs w:val="24"/>
        </w:rPr>
        <w:t xml:space="preserve"> </w:t>
      </w:r>
      <w:r w:rsidRPr="00E1206A">
        <w:rPr>
          <w:rFonts w:ascii="Times New Roman" w:eastAsia="Calibri" w:hAnsi="Times New Roman" w:cs="Times New Roman"/>
          <w:sz w:val="24"/>
          <w:szCs w:val="24"/>
        </w:rPr>
        <w:t xml:space="preserve">is listed below, followed by its symbol in parentheses:  </w:t>
      </w:r>
    </w:p>
    <w:p w14:paraId="68BC899F" w14:textId="77777777" w:rsidR="0073590B" w:rsidRPr="00B62FED" w:rsidRDefault="0073590B" w:rsidP="0073590B">
      <w:pPr>
        <w:pStyle w:val="NoSpacing"/>
        <w:numPr>
          <w:ilvl w:val="0"/>
          <w:numId w:val="1"/>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14:paraId="23F87813"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bookmarkStart w:id="0" w:name="_GoBack"/>
      <w:bookmarkEnd w:id="0"/>
    </w:p>
    <w:p w14:paraId="0E23262E"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14:paraId="757C6BCE"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14:paraId="4140A769"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14:paraId="68633E6F"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14:paraId="425F199E"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14:paraId="55668E73"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14:paraId="5A73B9A0"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14:paraId="24A525E3"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14:paraId="6EAB4B7B"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14:paraId="3C7B9B9B"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14:paraId="6D0D4EC4"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14:paraId="32939DA8"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14:paraId="6413F199"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14:paraId="6C2863EE"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14:paraId="648E8A22"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14:paraId="4B56311D"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14:paraId="44A6FB8E"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14:paraId="550D3E24"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14:paraId="7815D6D2"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14:paraId="78DF3E22"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14:paraId="275F8455" w14:textId="77777777" w:rsidR="0073590B" w:rsidRPr="00164C87"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14:paraId="347B095E" w14:textId="25A6FA82" w:rsidR="00154FD5" w:rsidRPr="0073590B" w:rsidRDefault="0073590B" w:rsidP="0073590B">
      <w:pPr>
        <w:pStyle w:val="NoSpacing"/>
        <w:numPr>
          <w:ilvl w:val="0"/>
          <w:numId w:val="1"/>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14:paraId="11E5074D" w14:textId="77777777" w:rsidR="0073590B" w:rsidRPr="00E1206A" w:rsidRDefault="0073590B" w:rsidP="0073590B">
      <w:pPr>
        <w:pStyle w:val="NoSpacing"/>
        <w:ind w:left="720"/>
        <w:rPr>
          <w:rFonts w:ascii="Times New Roman" w:eastAsia="Calibri" w:hAnsi="Times New Roman" w:cs="Times New Roman"/>
          <w:sz w:val="24"/>
          <w:szCs w:val="24"/>
        </w:rPr>
      </w:pPr>
    </w:p>
    <w:p w14:paraId="347B095F" w14:textId="3431EEF4"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A, Listed Contracts</w:t>
      </w:r>
      <w:r w:rsidR="00DC00B4">
        <w:rPr>
          <w:rFonts w:ascii="Times New Roman" w:hAnsi="Times New Roman" w:cs="Times New Roman"/>
          <w:sz w:val="24"/>
          <w:szCs w:val="24"/>
        </w:rPr>
        <w:t xml:space="preserve"> and the Fee Schedule</w:t>
      </w:r>
      <w:r w:rsidRPr="00E1206A">
        <w:rPr>
          <w:rFonts w:ascii="Times New Roman" w:hAnsi="Times New Roman" w:cs="Times New Roman"/>
          <w:sz w:val="24"/>
          <w:szCs w:val="24"/>
        </w:rPr>
        <w:t>.</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6" w14:textId="34EB2A23"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73590B">
        <w:rPr>
          <w:rFonts w:ascii="Times New Roman" w:eastAsia="Times New Roman" w:hAnsi="Times New Roman" w:cs="Times New Roman"/>
          <w:bCs/>
          <w:sz w:val="24"/>
          <w:szCs w:val="24"/>
        </w:rPr>
        <w:t xml:space="preserve">ERCOT Contracts </w:t>
      </w:r>
      <w:r w:rsidRPr="00E1206A">
        <w:rPr>
          <w:rFonts w:ascii="Times New Roman" w:hAnsi="Times New Roman" w:cs="Times New Roman"/>
          <w:sz w:val="24"/>
          <w:szCs w:val="24"/>
        </w:rPr>
        <w:t xml:space="preserve">are eligible for block trades.  The block trade </w:t>
      </w:r>
      <w:r w:rsidRPr="00E1206A">
        <w:rPr>
          <w:rFonts w:ascii="Times New Roman" w:hAnsi="Times New Roman" w:cs="Times New Roman"/>
          <w:sz w:val="24"/>
          <w:szCs w:val="24"/>
        </w:rPr>
        <w:lastRenderedPageBreak/>
        <w:t xml:space="preserve">minimum quantity threshold is set at </w:t>
      </w:r>
      <w:r w:rsidR="0073590B" w:rsidRPr="0073590B">
        <w:rPr>
          <w:rFonts w:ascii="Times New Roman" w:hAnsi="Times New Roman" w:cs="Times New Roman"/>
          <w:sz w:val="24"/>
          <w:szCs w:val="24"/>
        </w:rPr>
        <w:t>10</w:t>
      </w:r>
      <w:r w:rsidRPr="00E1206A">
        <w:rPr>
          <w:rFonts w:ascii="Times New Roman" w:hAnsi="Times New Roman" w:cs="Times New Roman"/>
          <w:sz w:val="24"/>
          <w:szCs w:val="24"/>
        </w:rPr>
        <w:t xml:space="preserve"> contracts and the Reporting Window is set at </w:t>
      </w:r>
      <w:r w:rsidRPr="0073590B">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position limits for the </w:t>
      </w:r>
      <w:r w:rsidR="0073590B">
        <w:rPr>
          <w:rFonts w:ascii="Times New Roman" w:eastAsia="Times New Roman" w:hAnsi="Times New Roman" w:cs="Times New Roman"/>
          <w:bCs/>
          <w:sz w:val="24"/>
          <w:szCs w:val="24"/>
        </w:rPr>
        <w:t xml:space="preserve">ERCOT Contracts </w:t>
      </w:r>
      <w:r w:rsidR="00E1206A" w:rsidRPr="00E1206A">
        <w:rPr>
          <w:rFonts w:ascii="Times New Roman" w:eastAsia="Times New Roman" w:hAnsi="Times New Roman" w:cs="Times New Roman"/>
          <w:sz w:val="24"/>
          <w:szCs w:val="24"/>
        </w:rPr>
        <w:t xml:space="preserve">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are consistent with those for comparable contracts listed by </w:t>
      </w:r>
      <w:r w:rsidR="00E1206A" w:rsidRPr="0073590B">
        <w:rPr>
          <w:rFonts w:ascii="Times New Roman" w:eastAsia="Times New Roman" w:hAnsi="Times New Roman" w:cs="Times New Roman"/>
          <w:sz w:val="24"/>
          <w:szCs w:val="24"/>
        </w:rPr>
        <w:t>ICE Futures US</w:t>
      </w:r>
      <w:r w:rsidRPr="0073590B">
        <w:rPr>
          <w:rFonts w:ascii="Times New Roman" w:hAnsi="Times New Roman" w:cs="Times New Roman"/>
          <w:sz w:val="24"/>
          <w:szCs w:val="24"/>
        </w:rPr>
        <w:t>.</w:t>
      </w:r>
      <w:r w:rsidRPr="0073590B">
        <w:rPr>
          <w:rStyle w:val="FootnoteReference"/>
          <w:rFonts w:ascii="Times New Roman" w:hAnsi="Times New Roman" w:cs="Times New Roman"/>
          <w:sz w:val="24"/>
          <w:szCs w:val="24"/>
        </w:rPr>
        <w:footnoteReference w:id="3"/>
      </w:r>
      <w:r w:rsidRPr="00E1206A">
        <w:rPr>
          <w:rFonts w:ascii="Times New Roman" w:hAnsi="Times New Roman" w:cs="Times New Roman"/>
          <w:sz w:val="24"/>
          <w:szCs w:val="24"/>
        </w:rPr>
        <w:t xml:space="preserve"> </w:t>
      </w:r>
    </w:p>
    <w:p w14:paraId="1E299BA9" w14:textId="77777777" w:rsidR="003B1044" w:rsidRDefault="003B1044" w:rsidP="00E1206A">
      <w:pPr>
        <w:autoSpaceDE w:val="0"/>
        <w:autoSpaceDN w:val="0"/>
        <w:adjustRightInd w:val="0"/>
        <w:spacing w:after="0" w:line="240" w:lineRule="auto"/>
        <w:ind w:firstLine="1310"/>
        <w:rPr>
          <w:rFonts w:ascii="Times New Roman" w:hAnsi="Times New Roman" w:cs="Times New Roman"/>
          <w:sz w:val="24"/>
          <w:szCs w:val="24"/>
        </w:rPr>
      </w:pPr>
    </w:p>
    <w:p w14:paraId="2794A257" w14:textId="77777777" w:rsidR="003B1044" w:rsidRPr="00DC00B4" w:rsidRDefault="003B1044" w:rsidP="003B1044">
      <w:pPr>
        <w:pStyle w:val="NoSpacing"/>
        <w:ind w:firstLine="1310"/>
        <w:rPr>
          <w:rFonts w:ascii="Times New Roman" w:eastAsia="Calibri" w:hAnsi="Times New Roman" w:cs="Times New Roman"/>
          <w:b/>
          <w:sz w:val="24"/>
          <w:szCs w:val="24"/>
          <w:u w:val="single"/>
        </w:rPr>
      </w:pPr>
      <w:r w:rsidRPr="00DC00B4">
        <w:rPr>
          <w:rFonts w:ascii="Times New Roman" w:eastAsia="Calibri" w:hAnsi="Times New Roman" w:cs="Times New Roman"/>
          <w:b/>
          <w:sz w:val="24"/>
          <w:szCs w:val="24"/>
        </w:rPr>
        <w:t xml:space="preserve">           </w:t>
      </w:r>
      <w:r w:rsidRPr="00DC00B4">
        <w:rPr>
          <w:rFonts w:ascii="Times New Roman" w:eastAsia="Calibri" w:hAnsi="Times New Roman" w:cs="Times New Roman"/>
          <w:b/>
          <w:sz w:val="24"/>
          <w:szCs w:val="24"/>
          <w:u w:val="single"/>
        </w:rPr>
        <w:t>Base Transaction Fees and Block Trade/EFRP Surcharges</w:t>
      </w:r>
    </w:p>
    <w:p w14:paraId="0C24B7E7" w14:textId="77777777" w:rsidR="003B1044" w:rsidRPr="00C21CC4" w:rsidRDefault="003B1044" w:rsidP="003B1044">
      <w:pPr>
        <w:pStyle w:val="NoSpacing"/>
        <w:ind w:firstLine="1310"/>
        <w:rPr>
          <w:rFonts w:ascii="Times New Roman" w:eastAsia="Calibri" w:hAnsi="Times New Roman" w:cs="Times New Roman"/>
          <w:sz w:val="24"/>
          <w:szCs w:val="24"/>
        </w:rPr>
      </w:pPr>
    </w:p>
    <w:p w14:paraId="77AFD9A7" w14:textId="6B4389AF" w:rsidR="003B1044" w:rsidRPr="00C21CC4" w:rsidRDefault="003B1044" w:rsidP="007E6FEC">
      <w:pPr>
        <w:pStyle w:val="NoSpacing"/>
        <w:ind w:firstLine="720"/>
        <w:rPr>
          <w:rFonts w:ascii="Times New Roman" w:eastAsia="Calibri" w:hAnsi="Times New Roman" w:cs="Times New Roman"/>
          <w:sz w:val="24"/>
          <w:szCs w:val="24"/>
        </w:rPr>
      </w:pPr>
      <w:r w:rsidRPr="00C21CC4">
        <w:rPr>
          <w:rFonts w:ascii="Times New Roman" w:eastAsia="Calibri" w:hAnsi="Times New Roman" w:cs="Times New Roman"/>
          <w:sz w:val="24"/>
          <w:szCs w:val="24"/>
        </w:rPr>
        <w:t>The Base Transaction Fee is a charge for Exchange execution fees.  The Options Clearing Corporation (“</w:t>
      </w:r>
      <w:r w:rsidRPr="00C21CC4">
        <w:rPr>
          <w:rFonts w:ascii="Times New Roman" w:eastAsia="Calibri" w:hAnsi="Times New Roman" w:cs="Times New Roman"/>
          <w:sz w:val="24"/>
          <w:szCs w:val="24"/>
          <w:u w:val="single"/>
        </w:rPr>
        <w:t>OCC</w:t>
      </w:r>
      <w:r w:rsidRPr="00C21CC4">
        <w:rPr>
          <w:rFonts w:ascii="Times New Roman" w:eastAsia="Calibri" w:hAnsi="Times New Roman" w:cs="Times New Roman"/>
          <w:sz w:val="24"/>
          <w:szCs w:val="24"/>
        </w:rPr>
        <w:t>”) will separately assess a clearing fee for all transactions submitted for clearing.</w:t>
      </w:r>
      <w:r w:rsidRPr="00C21CC4">
        <w:rPr>
          <w:rStyle w:val="FootnoteReference"/>
          <w:rFonts w:ascii="Times New Roman" w:eastAsia="Calibri" w:hAnsi="Times New Roman" w:cs="Times New Roman"/>
          <w:sz w:val="24"/>
          <w:szCs w:val="24"/>
        </w:rPr>
        <w:footnoteReference w:id="4"/>
      </w:r>
      <w:r w:rsidRPr="00C21CC4">
        <w:rPr>
          <w:rFonts w:ascii="Times New Roman" w:eastAsia="Calibri" w:hAnsi="Times New Roman" w:cs="Times New Roman"/>
          <w:sz w:val="24"/>
          <w:szCs w:val="24"/>
        </w:rPr>
        <w:t xml:space="preserve">  The Exchange will assess Base Transaction Fees of $</w:t>
      </w:r>
      <w:r>
        <w:rPr>
          <w:rFonts w:ascii="Times New Roman" w:eastAsia="Calibri" w:hAnsi="Times New Roman" w:cs="Times New Roman"/>
          <w:sz w:val="24"/>
          <w:szCs w:val="24"/>
        </w:rPr>
        <w:t>3</w:t>
      </w:r>
      <w:r w:rsidRPr="00C21CC4">
        <w:rPr>
          <w:rFonts w:ascii="Times New Roman" w:eastAsia="Calibri" w:hAnsi="Times New Roman" w:cs="Times New Roman"/>
          <w:sz w:val="24"/>
          <w:szCs w:val="24"/>
        </w:rPr>
        <w:t>.</w:t>
      </w:r>
      <w:r>
        <w:rPr>
          <w:rFonts w:ascii="Times New Roman" w:eastAsia="Calibri" w:hAnsi="Times New Roman" w:cs="Times New Roman"/>
          <w:sz w:val="24"/>
          <w:szCs w:val="24"/>
        </w:rPr>
        <w:t>00, $0.25 and $0.15 for the 800</w:t>
      </w:r>
      <w:r w:rsidR="007E6FEC">
        <w:rPr>
          <w:rFonts w:ascii="Times New Roman" w:eastAsia="Calibri" w:hAnsi="Times New Roman" w:cs="Times New Roman"/>
          <w:sz w:val="24"/>
          <w:szCs w:val="24"/>
        </w:rPr>
        <w:t xml:space="preserve"> MWh</w:t>
      </w:r>
      <w:r>
        <w:rPr>
          <w:rFonts w:ascii="Times New Roman" w:eastAsia="Calibri" w:hAnsi="Times New Roman" w:cs="Times New Roman"/>
          <w:sz w:val="24"/>
          <w:szCs w:val="24"/>
        </w:rPr>
        <w:t xml:space="preserve">, </w:t>
      </w:r>
      <w:r w:rsidR="007E6FEC">
        <w:rPr>
          <w:rFonts w:ascii="Times New Roman" w:eastAsia="Calibri" w:hAnsi="Times New Roman" w:cs="Times New Roman"/>
          <w:sz w:val="24"/>
          <w:szCs w:val="24"/>
        </w:rPr>
        <w:t>80</w:t>
      </w:r>
      <w:r>
        <w:rPr>
          <w:rFonts w:ascii="Times New Roman" w:eastAsia="Calibri" w:hAnsi="Times New Roman" w:cs="Times New Roman"/>
          <w:sz w:val="24"/>
          <w:szCs w:val="24"/>
        </w:rPr>
        <w:t xml:space="preserve"> </w:t>
      </w:r>
      <w:r w:rsidR="007E6FEC">
        <w:rPr>
          <w:rFonts w:ascii="Times New Roman" w:eastAsia="Calibri" w:hAnsi="Times New Roman" w:cs="Times New Roman"/>
          <w:sz w:val="24"/>
          <w:szCs w:val="24"/>
        </w:rPr>
        <w:t xml:space="preserve">MWH </w:t>
      </w:r>
      <w:r>
        <w:rPr>
          <w:rFonts w:ascii="Times New Roman" w:eastAsia="Calibri" w:hAnsi="Times New Roman" w:cs="Times New Roman"/>
          <w:sz w:val="24"/>
          <w:szCs w:val="24"/>
        </w:rPr>
        <w:t xml:space="preserve">and </w:t>
      </w:r>
      <w:r w:rsidR="007F1DC3">
        <w:rPr>
          <w:rFonts w:ascii="Times New Roman" w:eastAsia="Calibri" w:hAnsi="Times New Roman" w:cs="Times New Roman"/>
          <w:sz w:val="24"/>
          <w:szCs w:val="24"/>
        </w:rPr>
        <w:t>50</w:t>
      </w:r>
      <w:r>
        <w:rPr>
          <w:rFonts w:ascii="Times New Roman" w:eastAsia="Calibri" w:hAnsi="Times New Roman" w:cs="Times New Roman"/>
          <w:sz w:val="24"/>
          <w:szCs w:val="24"/>
        </w:rPr>
        <w:t xml:space="preserve"> MWh contracts.  The remaining contracts will have no </w:t>
      </w:r>
      <w:r w:rsidR="007E6FEC">
        <w:rPr>
          <w:rFonts w:ascii="Times New Roman" w:eastAsia="Calibri" w:hAnsi="Times New Roman" w:cs="Times New Roman"/>
          <w:sz w:val="24"/>
          <w:szCs w:val="24"/>
        </w:rPr>
        <w:t xml:space="preserve">execution </w:t>
      </w:r>
      <w:r>
        <w:rPr>
          <w:rFonts w:ascii="Times New Roman" w:eastAsia="Calibri" w:hAnsi="Times New Roman" w:cs="Times New Roman"/>
          <w:sz w:val="24"/>
          <w:szCs w:val="24"/>
        </w:rPr>
        <w:t>fee.  The Exchange will assess a Block Trade/EFRP Surcharges of $0.10 for the 800</w:t>
      </w:r>
      <w:r w:rsidR="007E6FEC">
        <w:rPr>
          <w:rFonts w:ascii="Times New Roman" w:eastAsia="Calibri" w:hAnsi="Times New Roman" w:cs="Times New Roman"/>
          <w:sz w:val="24"/>
          <w:szCs w:val="24"/>
        </w:rPr>
        <w:t xml:space="preserve"> MWh</w:t>
      </w:r>
      <w:r>
        <w:rPr>
          <w:rFonts w:ascii="Times New Roman" w:eastAsia="Calibri" w:hAnsi="Times New Roman" w:cs="Times New Roman"/>
          <w:sz w:val="24"/>
          <w:szCs w:val="24"/>
        </w:rPr>
        <w:t xml:space="preserve">, 80 </w:t>
      </w:r>
      <w:r w:rsidR="007E6FEC">
        <w:rPr>
          <w:rFonts w:ascii="Times New Roman" w:eastAsia="Calibri" w:hAnsi="Times New Roman" w:cs="Times New Roman"/>
          <w:sz w:val="24"/>
          <w:szCs w:val="24"/>
        </w:rPr>
        <w:t xml:space="preserve">MWh </w:t>
      </w:r>
      <w:r>
        <w:rPr>
          <w:rFonts w:ascii="Times New Roman" w:eastAsia="Calibri" w:hAnsi="Times New Roman" w:cs="Times New Roman"/>
          <w:sz w:val="24"/>
          <w:szCs w:val="24"/>
        </w:rPr>
        <w:t>and 50 MWh contracts, with the 16</w:t>
      </w:r>
      <w:r w:rsidR="007E6FEC">
        <w:rPr>
          <w:rFonts w:ascii="Times New Roman" w:eastAsia="Calibri" w:hAnsi="Times New Roman" w:cs="Times New Roman"/>
          <w:sz w:val="24"/>
          <w:szCs w:val="24"/>
        </w:rPr>
        <w:t xml:space="preserve"> MWh</w:t>
      </w:r>
      <w:r>
        <w:rPr>
          <w:rFonts w:ascii="Times New Roman" w:eastAsia="Calibri" w:hAnsi="Times New Roman" w:cs="Times New Roman"/>
          <w:sz w:val="24"/>
          <w:szCs w:val="24"/>
        </w:rPr>
        <w:t xml:space="preserve">, 5 </w:t>
      </w:r>
      <w:r w:rsidR="007E6FEC">
        <w:rPr>
          <w:rFonts w:ascii="Times New Roman" w:eastAsia="Calibri" w:hAnsi="Times New Roman" w:cs="Times New Roman"/>
          <w:sz w:val="24"/>
          <w:szCs w:val="24"/>
        </w:rPr>
        <w:t xml:space="preserve">MWh </w:t>
      </w:r>
      <w:r>
        <w:rPr>
          <w:rFonts w:ascii="Times New Roman" w:eastAsia="Calibri" w:hAnsi="Times New Roman" w:cs="Times New Roman"/>
          <w:sz w:val="24"/>
          <w:szCs w:val="24"/>
        </w:rPr>
        <w:t xml:space="preserve">and 1 MWh contracts being assessed $0.06, $0.03 and $0.0075 </w:t>
      </w:r>
      <w:r w:rsidR="00DC00B4">
        <w:rPr>
          <w:rFonts w:ascii="Times New Roman" w:eastAsia="Calibri" w:hAnsi="Times New Roman" w:cs="Times New Roman"/>
          <w:sz w:val="24"/>
          <w:szCs w:val="24"/>
        </w:rPr>
        <w:t>surcharges</w:t>
      </w:r>
      <w:r w:rsidR="00D8748D">
        <w:rPr>
          <w:rFonts w:ascii="Times New Roman" w:eastAsia="Calibri" w:hAnsi="Times New Roman" w:cs="Times New Roman"/>
          <w:sz w:val="24"/>
          <w:szCs w:val="24"/>
        </w:rPr>
        <w:t>,</w:t>
      </w:r>
      <w:r w:rsidR="007E6F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respectively.  </w:t>
      </w:r>
    </w:p>
    <w:p w14:paraId="347B096B" w14:textId="77777777" w:rsidR="0008423C" w:rsidRPr="00E1206A" w:rsidRDefault="0008423C" w:rsidP="0008423C">
      <w:pPr>
        <w:pStyle w:val="Default"/>
        <w:ind w:firstLine="1310"/>
        <w:rPr>
          <w:rFonts w:eastAsia="Calibri"/>
        </w:rPr>
      </w:pPr>
      <w:r w:rsidRPr="00E1206A">
        <w:rPr>
          <w:color w:val="auto"/>
        </w:rPr>
        <w:t xml:space="preserve"> </w:t>
      </w: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EB6C8F2"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r w:rsidR="00DA7F36">
        <w:rPr>
          <w:color w:val="auto"/>
        </w:rPr>
        <w:t xml:space="preserve">  </w:t>
      </w:r>
    </w:p>
    <w:p w14:paraId="347B096F" w14:textId="77777777" w:rsidR="0008423C" w:rsidRPr="00E1206A" w:rsidRDefault="0008423C" w:rsidP="0008423C">
      <w:pPr>
        <w:pStyle w:val="Default"/>
        <w:ind w:firstLine="1310"/>
        <w:rPr>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36D348A1"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r w:rsidRPr="00410D21">
        <w:rPr>
          <w:rFonts w:ascii="Times New Roman" w:hAnsi="Times New Roman" w:cs="Times New Roman"/>
          <w:spacing w:val="-6"/>
          <w:sz w:val="24"/>
          <w:szCs w:val="24"/>
        </w:rPr>
        <w:t xml:space="preserve">Aravind Menon at (301) 978-8416 </w:t>
      </w:r>
      <w:r w:rsidRPr="00410D21">
        <w:rPr>
          <w:rFonts w:ascii="Times New Roman" w:hAnsi="Times New Roman" w:cs="Times New Roman"/>
          <w:sz w:val="24"/>
          <w:szCs w:val="24"/>
        </w:rPr>
        <w:t>or</w:t>
      </w:r>
      <w:r w:rsidRPr="00410D21">
        <w:rPr>
          <w:rFonts w:ascii="Times New Roman" w:hAnsi="Times New Roman" w:cs="Times New Roman"/>
          <w:spacing w:val="-6"/>
          <w:sz w:val="24"/>
          <w:szCs w:val="24"/>
        </w:rPr>
        <w:t xml:space="preserve"> </w:t>
      </w:r>
      <w:r w:rsidRPr="00410D21">
        <w:rPr>
          <w:rFonts w:ascii="Times New Roman" w:hAnsi="Times New Roman" w:cs="Times New Roman"/>
          <w:sz w:val="24"/>
          <w:szCs w:val="24"/>
        </w:rPr>
        <w:t>aravind.menon@nasdaq.com</w:t>
      </w:r>
      <w:r w:rsidRPr="00410D21">
        <w:rPr>
          <w:rFonts w:ascii="Times New Roman" w:hAnsi="Times New Roman" w:cs="Times New Roman"/>
          <w:spacing w:val="-6"/>
          <w:sz w:val="24"/>
          <w:szCs w:val="24"/>
        </w:rPr>
        <w:t xml:space="preserve">.  </w:t>
      </w:r>
      <w:r w:rsidRPr="00410D21">
        <w:rPr>
          <w:rFonts w:ascii="Times New Roman" w:hAnsi="Times New Roman" w:cs="Times New Roman"/>
          <w:sz w:val="24"/>
          <w:szCs w:val="24"/>
        </w:rPr>
        <w:t>Please</w:t>
      </w:r>
      <w:r w:rsidRPr="00410D21">
        <w:rPr>
          <w:rFonts w:ascii="Times New Roman" w:hAnsi="Times New Roman" w:cs="Times New Roman"/>
          <w:spacing w:val="-6"/>
          <w:sz w:val="24"/>
          <w:szCs w:val="24"/>
        </w:rPr>
        <w:t xml:space="preserve"> </w:t>
      </w:r>
      <w:r w:rsidRPr="00410D21">
        <w:rPr>
          <w:rFonts w:ascii="Times New Roman" w:hAnsi="Times New Roman" w:cs="Times New Roman"/>
          <w:sz w:val="24"/>
          <w:szCs w:val="24"/>
        </w:rPr>
        <w:t>refer to</w:t>
      </w:r>
      <w:r w:rsidRPr="00410D21">
        <w:rPr>
          <w:rFonts w:ascii="Times New Roman" w:hAnsi="Times New Roman" w:cs="Times New Roman"/>
          <w:spacing w:val="-6"/>
          <w:sz w:val="24"/>
          <w:szCs w:val="24"/>
        </w:rPr>
        <w:t xml:space="preserve"> </w:t>
      </w:r>
      <w:r w:rsidR="00410D21" w:rsidRPr="00410D21">
        <w:rPr>
          <w:rFonts w:ascii="Times New Roman" w:hAnsi="Times New Roman" w:cs="Times New Roman"/>
          <w:sz w:val="24"/>
          <w:szCs w:val="24"/>
        </w:rPr>
        <w:t>SR-NFX-2018</w:t>
      </w:r>
      <w:r w:rsidRPr="00410D21">
        <w:rPr>
          <w:rFonts w:ascii="Times New Roman" w:hAnsi="Times New Roman" w:cs="Times New Roman"/>
          <w:sz w:val="24"/>
          <w:szCs w:val="24"/>
        </w:rPr>
        <w:t>-</w:t>
      </w:r>
      <w:r w:rsidR="00410D21" w:rsidRPr="00410D21">
        <w:rPr>
          <w:rFonts w:ascii="Times New Roman" w:hAnsi="Times New Roman" w:cs="Times New Roman"/>
          <w:sz w:val="24"/>
          <w:szCs w:val="24"/>
        </w:rPr>
        <w:t>07</w:t>
      </w:r>
      <w:r w:rsidR="00410D21">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Daniel R. Carrigan</w:t>
      </w:r>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9E708F9"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r w:rsidR="00DA7F36">
        <w:rPr>
          <w:rFonts w:ascii="Times New Roman" w:hAnsi="Times New Roman" w:cs="Times New Roman"/>
          <w:sz w:val="24"/>
          <w:szCs w:val="24"/>
        </w:rPr>
        <w:t xml:space="preserve"> &amp; Fee Schedule</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A237" w14:textId="77777777" w:rsidR="00421A2A" w:rsidRDefault="00421A2A" w:rsidP="0008423C">
      <w:pPr>
        <w:spacing w:after="0" w:line="240" w:lineRule="auto"/>
      </w:pPr>
      <w:r>
        <w:separator/>
      </w:r>
    </w:p>
  </w:endnote>
  <w:endnote w:type="continuationSeparator" w:id="0">
    <w:p w14:paraId="3C80D705" w14:textId="77777777" w:rsidR="00421A2A" w:rsidRDefault="00421A2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18CC5" w14:textId="77777777" w:rsidR="00421A2A" w:rsidRDefault="00421A2A" w:rsidP="0008423C">
      <w:pPr>
        <w:spacing w:after="0" w:line="240" w:lineRule="auto"/>
      </w:pPr>
      <w:r>
        <w:separator/>
      </w:r>
    </w:p>
  </w:footnote>
  <w:footnote w:type="continuationSeparator" w:id="0">
    <w:p w14:paraId="0F6E6DCB" w14:textId="77777777" w:rsidR="00421A2A" w:rsidRDefault="00421A2A" w:rsidP="0008423C">
      <w:pPr>
        <w:spacing w:after="0" w:line="240" w:lineRule="auto"/>
      </w:pPr>
      <w:r>
        <w:continuationSeparator/>
      </w:r>
    </w:p>
  </w:footnote>
  <w:footnote w:id="1">
    <w:p w14:paraId="347B099D" w14:textId="3B261274" w:rsidR="0008423C" w:rsidRPr="00B01B0B" w:rsidRDefault="0008423C" w:rsidP="0008423C">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t xml:space="preserve">The Exchange is </w:t>
      </w:r>
      <w:r w:rsidRPr="00B01B0B">
        <w:rPr>
          <w:rFonts w:ascii="Times New Roman" w:hAnsi="Times New Roman" w:cs="Times New Roman"/>
          <w:u w:val="single"/>
        </w:rPr>
        <w:t>separately</w:t>
      </w:r>
      <w:r w:rsidRPr="00B01B0B">
        <w:rPr>
          <w:rFonts w:ascii="Times New Roman" w:hAnsi="Times New Roman" w:cs="Times New Roman"/>
        </w:rPr>
        <w:t xml:space="preserve"> filing the </w:t>
      </w:r>
      <w:r w:rsidR="00DC00B4" w:rsidRPr="00B01B0B">
        <w:rPr>
          <w:rFonts w:ascii="Times New Roman" w:hAnsi="Times New Roman" w:cs="Times New Roman"/>
        </w:rPr>
        <w:t xml:space="preserve">ERCOT Contracts </w:t>
      </w:r>
      <w:r w:rsidRPr="00B01B0B">
        <w:rPr>
          <w:rFonts w:ascii="Times New Roman" w:hAnsi="Times New Roman" w:cs="Times New Roman"/>
        </w:rPr>
        <w:t>terms and conditions in SR-NFX-201</w:t>
      </w:r>
      <w:r w:rsidR="003B1044" w:rsidRPr="00B01B0B">
        <w:rPr>
          <w:rFonts w:ascii="Times New Roman" w:hAnsi="Times New Roman" w:cs="Times New Roman"/>
        </w:rPr>
        <w:t>8</w:t>
      </w:r>
      <w:r w:rsidRPr="00B01B0B">
        <w:rPr>
          <w:rFonts w:ascii="Times New Roman" w:hAnsi="Times New Roman" w:cs="Times New Roman"/>
        </w:rPr>
        <w:t>-</w:t>
      </w:r>
      <w:r w:rsidR="003B1044" w:rsidRPr="00B01B0B">
        <w:rPr>
          <w:rFonts w:ascii="Times New Roman" w:hAnsi="Times New Roman" w:cs="Times New Roman"/>
        </w:rPr>
        <w:t xml:space="preserve">06 </w:t>
      </w:r>
      <w:r w:rsidRPr="00B01B0B">
        <w:rPr>
          <w:rFonts w:ascii="Times New Roman" w:hAnsi="Times New Roman" w:cs="Times New Roman"/>
        </w:rPr>
        <w:t xml:space="preserve">pursuant to Commission Rule 40.2.  </w:t>
      </w:r>
      <w:r w:rsidR="00317C2C" w:rsidRPr="00B01B0B">
        <w:rPr>
          <w:rFonts w:ascii="Times New Roman" w:hAnsi="Times New Roman" w:cs="Times New Roman"/>
        </w:rPr>
        <w:t>C</w:t>
      </w:r>
      <w:r w:rsidRPr="00B01B0B">
        <w:rPr>
          <w:rFonts w:ascii="Times New Roman" w:hAnsi="Times New Roman" w:cs="Times New Roman"/>
        </w:rPr>
        <w:t>ertain additional language sep</w:t>
      </w:r>
      <w:r w:rsidR="003B1044" w:rsidRPr="00B01B0B">
        <w:rPr>
          <w:rFonts w:ascii="Times New Roman" w:hAnsi="Times New Roman" w:cs="Times New Roman"/>
        </w:rPr>
        <w:t>arately certified in SR-NFX-2018</w:t>
      </w:r>
      <w:r w:rsidRPr="00B01B0B">
        <w:rPr>
          <w:rFonts w:ascii="Times New Roman" w:hAnsi="Times New Roman" w:cs="Times New Roman"/>
        </w:rPr>
        <w:t>-</w:t>
      </w:r>
      <w:r w:rsidR="003B1044" w:rsidRPr="00B01B0B">
        <w:rPr>
          <w:rFonts w:ascii="Times New Roman" w:hAnsi="Times New Roman" w:cs="Times New Roman"/>
        </w:rPr>
        <w:t xml:space="preserve">06 </w:t>
      </w:r>
      <w:r w:rsidRPr="00B01B0B">
        <w:rPr>
          <w:rFonts w:ascii="Times New Roman" w:hAnsi="Times New Roman" w:cs="Times New Roman"/>
        </w:rPr>
        <w:t xml:space="preserve">is not duplicated in </w:t>
      </w:r>
      <w:r w:rsidR="00317C2C" w:rsidRPr="00B01B0B">
        <w:rPr>
          <w:rFonts w:ascii="Times New Roman" w:hAnsi="Times New Roman" w:cs="Times New Roman"/>
          <w:u w:val="single"/>
        </w:rPr>
        <w:t>Exhibit A</w:t>
      </w:r>
      <w:r w:rsidRPr="00B01B0B">
        <w:rPr>
          <w:rFonts w:ascii="Times New Roman" w:hAnsi="Times New Roman" w:cs="Times New Roman"/>
        </w:rPr>
        <w:t xml:space="preserve"> hereto but is instead, for purposes of brevity, represented by asterisks.</w:t>
      </w:r>
    </w:p>
    <w:p w14:paraId="347B099E" w14:textId="77777777" w:rsidR="0008423C" w:rsidRPr="00B01B0B" w:rsidRDefault="0008423C" w:rsidP="0008423C">
      <w:pPr>
        <w:pStyle w:val="FootnoteText"/>
        <w:rPr>
          <w:rFonts w:ascii="Times New Roman" w:hAnsi="Times New Roman" w:cs="Times New Roman"/>
        </w:rPr>
      </w:pPr>
    </w:p>
  </w:footnote>
  <w:footnote w:id="2">
    <w:p w14:paraId="347B09A0" w14:textId="77777777" w:rsidR="0008423C" w:rsidRPr="00B01B0B" w:rsidRDefault="0008423C" w:rsidP="0008423C">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B01B0B" w:rsidRDefault="0008423C" w:rsidP="0008423C">
      <w:pPr>
        <w:pStyle w:val="FootnoteText"/>
        <w:rPr>
          <w:rFonts w:ascii="Times New Roman" w:hAnsi="Times New Roman" w:cs="Times New Roman"/>
        </w:rPr>
      </w:pPr>
    </w:p>
  </w:footnote>
  <w:footnote w:id="3">
    <w:p w14:paraId="347B09A2" w14:textId="5E2B61A2" w:rsidR="0008423C" w:rsidRPr="00B01B0B" w:rsidRDefault="0008423C" w:rsidP="00E1206A">
      <w:pPr>
        <w:pStyle w:val="NoSpacing"/>
        <w:rPr>
          <w:rFonts w:ascii="Times New Roman" w:hAnsi="Times New Roman" w:cs="Times New Roman"/>
          <w:sz w:val="20"/>
          <w:szCs w:val="20"/>
        </w:rPr>
      </w:pPr>
      <w:r w:rsidRPr="00B01B0B">
        <w:rPr>
          <w:rStyle w:val="FootnoteReference"/>
          <w:rFonts w:ascii="Times New Roman" w:hAnsi="Times New Roman" w:cs="Times New Roman"/>
          <w:sz w:val="20"/>
          <w:szCs w:val="20"/>
        </w:rPr>
        <w:footnoteRef/>
      </w:r>
      <w:r w:rsidRPr="00B01B0B">
        <w:rPr>
          <w:rFonts w:ascii="Times New Roman" w:hAnsi="Times New Roman" w:cs="Times New Roman"/>
          <w:sz w:val="20"/>
          <w:szCs w:val="20"/>
        </w:rPr>
        <w:t xml:space="preserve"> </w:t>
      </w:r>
      <w:r w:rsidRPr="00B01B0B">
        <w:rPr>
          <w:rFonts w:ascii="Times New Roman" w:hAnsi="Times New Roman" w:cs="Times New Roman"/>
          <w:sz w:val="20"/>
          <w:szCs w:val="20"/>
        </w:rPr>
        <w:tab/>
      </w:r>
      <w:r w:rsidR="00E1206A" w:rsidRPr="00B01B0B">
        <w:rPr>
          <w:rFonts w:ascii="Times New Roman" w:hAnsi="Times New Roman" w:cs="Times New Roman"/>
          <w:sz w:val="20"/>
          <w:szCs w:val="20"/>
          <w:u w:val="single"/>
        </w:rPr>
        <w:t>See</w:t>
      </w:r>
      <w:r w:rsidR="00F86B2E" w:rsidRPr="00B01B0B">
        <w:rPr>
          <w:rFonts w:ascii="Times New Roman" w:hAnsi="Times New Roman" w:cs="Times New Roman"/>
          <w:sz w:val="20"/>
          <w:szCs w:val="20"/>
        </w:rPr>
        <w:t xml:space="preserve"> R</w:t>
      </w:r>
      <w:r w:rsidR="00E1206A" w:rsidRPr="00B01B0B">
        <w:rPr>
          <w:rFonts w:ascii="Times New Roman" w:hAnsi="Times New Roman" w:cs="Times New Roman"/>
          <w:sz w:val="20"/>
          <w:szCs w:val="20"/>
        </w:rPr>
        <w:t xml:space="preserve">ule </w:t>
      </w:r>
      <w:r w:rsidR="00F86B2E" w:rsidRPr="00B01B0B">
        <w:rPr>
          <w:rFonts w:ascii="Times New Roman" w:hAnsi="Times New Roman" w:cs="Times New Roman"/>
          <w:sz w:val="20"/>
          <w:szCs w:val="20"/>
        </w:rPr>
        <w:t xml:space="preserve">X.08, </w:t>
      </w:r>
      <w:r w:rsidR="00E1206A" w:rsidRPr="00B01B0B">
        <w:rPr>
          <w:rFonts w:ascii="Times New Roman" w:hAnsi="Times New Roman" w:cs="Times New Roman"/>
          <w:sz w:val="20"/>
          <w:szCs w:val="20"/>
        </w:rPr>
        <w:t xml:space="preserve">Block Trade Minimum Quantity Threshold and Reporting Window for each of the new </w:t>
      </w:r>
      <w:r w:rsidR="009A3607">
        <w:rPr>
          <w:rFonts w:ascii="Times New Roman" w:hAnsi="Times New Roman" w:cs="Times New Roman"/>
          <w:sz w:val="20"/>
          <w:szCs w:val="20"/>
        </w:rPr>
        <w:t xml:space="preserve"> ERCOT </w:t>
      </w:r>
      <w:r w:rsidR="00E1206A" w:rsidRPr="00B01B0B">
        <w:rPr>
          <w:rFonts w:ascii="Times New Roman" w:hAnsi="Times New Roman" w:cs="Times New Roman"/>
          <w:sz w:val="20"/>
          <w:szCs w:val="20"/>
        </w:rPr>
        <w:t>Futures attached as Exhibit A</w:t>
      </w:r>
      <w:r w:rsidRPr="00B01B0B">
        <w:rPr>
          <w:rFonts w:ascii="Times New Roman" w:eastAsia="Times New Roman" w:hAnsi="Times New Roman" w:cs="Times New Roman"/>
          <w:bCs/>
          <w:sz w:val="20"/>
          <w:szCs w:val="20"/>
        </w:rPr>
        <w:t>.</w:t>
      </w:r>
    </w:p>
    <w:p w14:paraId="347B09A3" w14:textId="77777777" w:rsidR="0008423C" w:rsidRPr="00B01B0B" w:rsidRDefault="0008423C" w:rsidP="0008423C">
      <w:pPr>
        <w:pStyle w:val="FootnoteText"/>
      </w:pPr>
    </w:p>
  </w:footnote>
  <w:footnote w:id="4">
    <w:p w14:paraId="303DD979" w14:textId="77777777" w:rsidR="003B1044" w:rsidRPr="00B01B0B" w:rsidRDefault="003B1044" w:rsidP="003B1044">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t>OCC options exercise fees and any other OCC fees remain the responsibility of Clearing Futures Participants.</w:t>
      </w:r>
    </w:p>
    <w:p w14:paraId="4FCCCFE5" w14:textId="77777777" w:rsidR="003B1044" w:rsidRPr="00B01B0B" w:rsidRDefault="003B1044" w:rsidP="003B1044">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5054">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14:paraId="347B098F" w14:textId="66848891" w:rsidR="0082421C" w:rsidRDefault="00820A3A"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Pr>
        <w:rFonts w:ascii="Times New Roman" w:hAnsi="Times New Roman" w:cs="Times New Roman"/>
        <w:sz w:val="20"/>
        <w:szCs w:val="20"/>
      </w:rPr>
      <w:t>07</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505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C5DFE"/>
    <w:rsid w:val="000E26AE"/>
    <w:rsid w:val="000E415C"/>
    <w:rsid w:val="0012529D"/>
    <w:rsid w:val="00154FD5"/>
    <w:rsid w:val="00204EC5"/>
    <w:rsid w:val="00253701"/>
    <w:rsid w:val="002549B0"/>
    <w:rsid w:val="002C0A34"/>
    <w:rsid w:val="00317C2C"/>
    <w:rsid w:val="003B1044"/>
    <w:rsid w:val="003D40B8"/>
    <w:rsid w:val="00410D21"/>
    <w:rsid w:val="00421A2A"/>
    <w:rsid w:val="004965FA"/>
    <w:rsid w:val="004A53F9"/>
    <w:rsid w:val="004B0524"/>
    <w:rsid w:val="004D7E5D"/>
    <w:rsid w:val="005013E3"/>
    <w:rsid w:val="00543CA2"/>
    <w:rsid w:val="005A08AE"/>
    <w:rsid w:val="005E3020"/>
    <w:rsid w:val="005F3337"/>
    <w:rsid w:val="00606FE7"/>
    <w:rsid w:val="006511DF"/>
    <w:rsid w:val="00676CE3"/>
    <w:rsid w:val="00682A97"/>
    <w:rsid w:val="006B3A2F"/>
    <w:rsid w:val="007076E9"/>
    <w:rsid w:val="0073590B"/>
    <w:rsid w:val="007958C5"/>
    <w:rsid w:val="007C7601"/>
    <w:rsid w:val="007E6FEC"/>
    <w:rsid w:val="007F1DC3"/>
    <w:rsid w:val="00820A3A"/>
    <w:rsid w:val="00821537"/>
    <w:rsid w:val="0082421C"/>
    <w:rsid w:val="008321A8"/>
    <w:rsid w:val="0083533B"/>
    <w:rsid w:val="00837A22"/>
    <w:rsid w:val="00893E15"/>
    <w:rsid w:val="008B041F"/>
    <w:rsid w:val="008C3F5C"/>
    <w:rsid w:val="0096726E"/>
    <w:rsid w:val="009A3607"/>
    <w:rsid w:val="009D0582"/>
    <w:rsid w:val="00AA23F1"/>
    <w:rsid w:val="00AD7CB9"/>
    <w:rsid w:val="00B01B0B"/>
    <w:rsid w:val="00B53FAF"/>
    <w:rsid w:val="00B6532A"/>
    <w:rsid w:val="00BF3AF0"/>
    <w:rsid w:val="00C4068B"/>
    <w:rsid w:val="00CA52C3"/>
    <w:rsid w:val="00CA6E45"/>
    <w:rsid w:val="00CB53DA"/>
    <w:rsid w:val="00CE43B6"/>
    <w:rsid w:val="00D0050D"/>
    <w:rsid w:val="00D327C6"/>
    <w:rsid w:val="00D60246"/>
    <w:rsid w:val="00D70718"/>
    <w:rsid w:val="00D8748D"/>
    <w:rsid w:val="00DA7F36"/>
    <w:rsid w:val="00DC00B4"/>
    <w:rsid w:val="00DF1942"/>
    <w:rsid w:val="00E1206A"/>
    <w:rsid w:val="00E12802"/>
    <w:rsid w:val="00E34482"/>
    <w:rsid w:val="00E74C83"/>
    <w:rsid w:val="00EC432B"/>
    <w:rsid w:val="00ED5054"/>
    <w:rsid w:val="00F02F13"/>
    <w:rsid w:val="00F20122"/>
    <w:rsid w:val="00F266A3"/>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Revision">
    <w:name w:val="Revision"/>
    <w:hidden/>
    <w:uiPriority w:val="99"/>
    <w:semiHidden/>
    <w:rsid w:val="009A3607"/>
    <w:pPr>
      <w:spacing w:after="0" w:line="240" w:lineRule="auto"/>
    </w:pPr>
  </w:style>
  <w:style w:type="character" w:styleId="CommentReference">
    <w:name w:val="annotation reference"/>
    <w:basedOn w:val="DefaultParagraphFont"/>
    <w:uiPriority w:val="99"/>
    <w:semiHidden/>
    <w:unhideWhenUsed/>
    <w:rsid w:val="009A3607"/>
    <w:rPr>
      <w:sz w:val="16"/>
      <w:szCs w:val="16"/>
    </w:rPr>
  </w:style>
  <w:style w:type="paragraph" w:styleId="CommentText">
    <w:name w:val="annotation text"/>
    <w:basedOn w:val="Normal"/>
    <w:link w:val="CommentTextChar"/>
    <w:uiPriority w:val="99"/>
    <w:semiHidden/>
    <w:unhideWhenUsed/>
    <w:rsid w:val="009A3607"/>
    <w:pPr>
      <w:spacing w:line="240" w:lineRule="auto"/>
    </w:pPr>
    <w:rPr>
      <w:sz w:val="20"/>
      <w:szCs w:val="20"/>
    </w:rPr>
  </w:style>
  <w:style w:type="character" w:customStyle="1" w:styleId="CommentTextChar">
    <w:name w:val="Comment Text Char"/>
    <w:basedOn w:val="DefaultParagraphFont"/>
    <w:link w:val="CommentText"/>
    <w:uiPriority w:val="99"/>
    <w:semiHidden/>
    <w:rsid w:val="009A3607"/>
    <w:rPr>
      <w:sz w:val="20"/>
      <w:szCs w:val="20"/>
    </w:rPr>
  </w:style>
  <w:style w:type="paragraph" w:styleId="CommentSubject">
    <w:name w:val="annotation subject"/>
    <w:basedOn w:val="CommentText"/>
    <w:next w:val="CommentText"/>
    <w:link w:val="CommentSubjectChar"/>
    <w:uiPriority w:val="99"/>
    <w:semiHidden/>
    <w:unhideWhenUsed/>
    <w:rsid w:val="009A3607"/>
    <w:rPr>
      <w:b/>
      <w:bCs/>
    </w:rPr>
  </w:style>
  <w:style w:type="character" w:customStyle="1" w:styleId="CommentSubjectChar">
    <w:name w:val="Comment Subject Char"/>
    <w:basedOn w:val="CommentTextChar"/>
    <w:link w:val="CommentSubject"/>
    <w:uiPriority w:val="99"/>
    <w:semiHidden/>
    <w:rsid w:val="009A3607"/>
    <w:rPr>
      <w:b/>
      <w:bCs/>
      <w:sz w:val="20"/>
      <w:szCs w:val="20"/>
    </w:rPr>
  </w:style>
  <w:style w:type="paragraph" w:styleId="BalloonText">
    <w:name w:val="Balloon Text"/>
    <w:basedOn w:val="Normal"/>
    <w:link w:val="BalloonTextChar"/>
    <w:uiPriority w:val="99"/>
    <w:semiHidden/>
    <w:unhideWhenUsed/>
    <w:rsid w:val="009A3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57ccb7dc-ae9a-4092-8bb6-46dc1034b378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2018-02-07T22:59:11+00:00</Document_x0020_Date>
    <Document_x0020_No xmlns="4b47aac5-4c46-444f-8595-ce09b406fc61">37973</Document_x0020_No>
  </documentManagement>
</p:properties>
</file>

<file path=customXml/itemProps1.xml><?xml version="1.0" encoding="utf-8"?>
<ds:datastoreItem xmlns:ds="http://schemas.openxmlformats.org/officeDocument/2006/customXml" ds:itemID="{C7625588-B9F0-461A-804B-912965566D7C}"/>
</file>

<file path=customXml/itemProps2.xml><?xml version="1.0" encoding="utf-8"?>
<ds:datastoreItem xmlns:ds="http://schemas.openxmlformats.org/officeDocument/2006/customXml" ds:itemID="{92FB4C50-68B6-433B-9868-FE5AB2C39DFA}"/>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B9E86F0F-66B6-4F78-8E17-03D0B6B47745}"/>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2</cp:revision>
  <dcterms:created xsi:type="dcterms:W3CDTF">2018-02-07T19:47:00Z</dcterms:created>
  <dcterms:modified xsi:type="dcterms:W3CDTF">2018-02-07T19:47:00Z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5159300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