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C0" w:rsidRPr="00151B94" w:rsidRDefault="004008C0" w:rsidP="004008C0">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AD692F">
        <w:rPr>
          <w:rFonts w:ascii="Times New Roman" w:eastAsia="Calibri" w:hAnsi="Times New Roman" w:cs="Times New Roman"/>
          <w:noProof/>
          <w:sz w:val="24"/>
          <w:szCs w:val="24"/>
        </w:rPr>
        <w:t>February 14,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4008C0" w:rsidRPr="00E1206A" w:rsidRDefault="004008C0" w:rsidP="004008C0">
      <w:pPr>
        <w:pStyle w:val="NoSpacing"/>
        <w:rPr>
          <w:rFonts w:ascii="Times New Roman" w:eastAsia="Times New Roman" w:hAnsi="Times New Roman" w:cs="Times New Roman"/>
          <w:sz w:val="24"/>
          <w:szCs w:val="24"/>
        </w:rPr>
      </w:pPr>
    </w:p>
    <w:p w:rsidR="00041823" w:rsidRDefault="004008C0" w:rsidP="003775E4">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w:t>
      </w:r>
      <w:r w:rsidR="002C4B2D">
        <w:rPr>
          <w:rFonts w:ascii="Times New Roman" w:eastAsia="Calibri" w:hAnsi="Times New Roman" w:cs="Times New Roman"/>
          <w:b/>
          <w:sz w:val="24"/>
          <w:szCs w:val="24"/>
        </w:rPr>
        <w:t>to</w:t>
      </w:r>
    </w:p>
    <w:p w:rsidR="00813160" w:rsidRDefault="00813160" w:rsidP="004008C0">
      <w:pPr>
        <w:pStyle w:val="NoSpacing"/>
        <w:ind w:left="216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Extend the </w:t>
      </w:r>
      <w:r w:rsidRPr="005B01DF">
        <w:rPr>
          <w:rFonts w:ascii="Times New Roman" w:eastAsia="Times New Roman" w:hAnsi="Times New Roman" w:cs="Times New Roman"/>
          <w:b/>
          <w:bCs/>
          <w:sz w:val="24"/>
          <w:szCs w:val="24"/>
        </w:rPr>
        <w:t>Quote Liquidity Provisioning Program</w:t>
      </w:r>
    </w:p>
    <w:p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Pr="007B139D">
        <w:rPr>
          <w:rFonts w:ascii="Times New Roman" w:eastAsia="Calibri" w:hAnsi="Times New Roman" w:cs="Times New Roman"/>
          <w:b/>
          <w:sz w:val="24"/>
          <w:szCs w:val="24"/>
          <w:u w:val="single"/>
        </w:rPr>
        <w:t>SR-NFX-201</w:t>
      </w:r>
      <w:r w:rsidR="00041823">
        <w:rPr>
          <w:rFonts w:ascii="Times New Roman" w:eastAsia="Calibri" w:hAnsi="Times New Roman" w:cs="Times New Roman"/>
          <w:b/>
          <w:sz w:val="24"/>
          <w:szCs w:val="24"/>
          <w:u w:val="single"/>
        </w:rPr>
        <w:t>8</w:t>
      </w:r>
      <w:r w:rsidRPr="007B139D">
        <w:rPr>
          <w:rFonts w:ascii="Times New Roman" w:eastAsia="Calibri" w:hAnsi="Times New Roman" w:cs="Times New Roman"/>
          <w:b/>
          <w:sz w:val="24"/>
          <w:szCs w:val="24"/>
          <w:u w:val="single"/>
        </w:rPr>
        <w:t>-</w:t>
      </w:r>
      <w:r w:rsidR="00041823">
        <w:rPr>
          <w:rFonts w:ascii="Times New Roman" w:eastAsia="Calibri" w:hAnsi="Times New Roman" w:cs="Times New Roman"/>
          <w:b/>
          <w:sz w:val="24"/>
          <w:szCs w:val="24"/>
          <w:u w:val="single"/>
        </w:rPr>
        <w:t>1</w:t>
      </w:r>
      <w:r w:rsidR="00813160">
        <w:rPr>
          <w:rFonts w:ascii="Times New Roman" w:eastAsia="Calibri" w:hAnsi="Times New Roman" w:cs="Times New Roman"/>
          <w:b/>
          <w:sz w:val="24"/>
          <w:szCs w:val="24"/>
          <w:u w:val="single"/>
        </w:rPr>
        <w:t>1</w:t>
      </w:r>
    </w:p>
    <w:p w:rsidR="0008423C" w:rsidRPr="00E1206A" w:rsidRDefault="0008423C" w:rsidP="0008423C">
      <w:pPr>
        <w:pStyle w:val="NoSpacing"/>
        <w:ind w:left="720" w:hanging="720"/>
        <w:rPr>
          <w:rFonts w:ascii="Times New Roman" w:hAnsi="Times New Roman" w:cs="Times New Roman"/>
          <w:b/>
          <w:sz w:val="24"/>
          <w:szCs w:val="24"/>
          <w:u w:val="single"/>
        </w:rPr>
      </w:pPr>
    </w:p>
    <w:p w:rsidR="00813160" w:rsidRPr="009F2AFB" w:rsidRDefault="00813160" w:rsidP="00813160">
      <w:pPr>
        <w:pStyle w:val="NoSpacing"/>
        <w:rPr>
          <w:rFonts w:ascii="Times New Roman" w:eastAsia="Calibri" w:hAnsi="Times New Roman" w:cs="Times New Roman"/>
          <w:sz w:val="24"/>
          <w:szCs w:val="24"/>
        </w:rPr>
      </w:pPr>
      <w:r w:rsidRPr="009F2AFB">
        <w:rPr>
          <w:rFonts w:ascii="Times New Roman" w:eastAsia="Calibri" w:hAnsi="Times New Roman" w:cs="Times New Roman"/>
          <w:sz w:val="24"/>
          <w:szCs w:val="24"/>
        </w:rPr>
        <w:t>Dear Mr. Kirkpatrick:</w:t>
      </w:r>
    </w:p>
    <w:p w:rsidR="00813160" w:rsidRPr="009F2AFB" w:rsidRDefault="00813160" w:rsidP="00813160">
      <w:pPr>
        <w:pStyle w:val="NoSpacing"/>
        <w:rPr>
          <w:rFonts w:ascii="Times New Roman" w:eastAsia="Calibri" w:hAnsi="Times New Roman" w:cs="Times New Roman"/>
          <w:sz w:val="24"/>
          <w:szCs w:val="24"/>
        </w:rPr>
      </w:pPr>
    </w:p>
    <w:p w:rsidR="000F7F4B" w:rsidRDefault="00F93853" w:rsidP="000F7F4B">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  </w:t>
      </w:r>
      <w:r w:rsidR="000F7F4B" w:rsidRPr="009F2AFB">
        <w:rPr>
          <w:rFonts w:ascii="Times New Roman" w:eastAsia="Calibri" w:hAnsi="Times New Roman" w:cs="Times New Roman"/>
          <w:sz w:val="24"/>
          <w:szCs w:val="24"/>
        </w:rPr>
        <w:t>Pursuant to Section 5c(c</w:t>
      </w:r>
      <w:proofErr w:type="gramStart"/>
      <w:r w:rsidR="000F7F4B" w:rsidRPr="009F2AFB">
        <w:rPr>
          <w:rFonts w:ascii="Times New Roman" w:eastAsia="Calibri" w:hAnsi="Times New Roman" w:cs="Times New Roman"/>
          <w:sz w:val="24"/>
          <w:szCs w:val="24"/>
        </w:rPr>
        <w:t>)(</w:t>
      </w:r>
      <w:proofErr w:type="gramEnd"/>
      <w:r w:rsidR="000F7F4B" w:rsidRPr="009F2AFB">
        <w:rPr>
          <w:rFonts w:ascii="Times New Roman" w:eastAsia="Calibri" w:hAnsi="Times New Roman" w:cs="Times New Roman"/>
          <w:sz w:val="24"/>
          <w:szCs w:val="24"/>
        </w:rPr>
        <w:t>1) of the Commodity Exchange Act, as amended (“</w:t>
      </w:r>
      <w:r w:rsidR="000F7F4B" w:rsidRPr="009F2AFB">
        <w:rPr>
          <w:rFonts w:ascii="Times New Roman" w:eastAsia="Calibri" w:hAnsi="Times New Roman" w:cs="Times New Roman"/>
          <w:sz w:val="24"/>
          <w:szCs w:val="24"/>
          <w:u w:val="single"/>
        </w:rPr>
        <w:t>Act</w:t>
      </w:r>
      <w:r w:rsidR="000F7F4B" w:rsidRPr="009F2AFB">
        <w:rPr>
          <w:rFonts w:ascii="Times New Roman" w:eastAsia="Calibri" w:hAnsi="Times New Roman" w:cs="Times New Roman"/>
          <w:sz w:val="24"/>
          <w:szCs w:val="24"/>
        </w:rPr>
        <w:t xml:space="preserve">”), and Section </w:t>
      </w:r>
      <w:r w:rsidR="000F7F4B" w:rsidRPr="009F2AFB">
        <w:rPr>
          <w:rFonts w:ascii="Times New Roman" w:hAnsi="Times New Roman" w:cs="Times New Roman"/>
          <w:sz w:val="24"/>
          <w:szCs w:val="24"/>
        </w:rPr>
        <w:t xml:space="preserve">40.6 </w:t>
      </w:r>
      <w:r w:rsidR="000F7F4B" w:rsidRPr="009F2AFB">
        <w:rPr>
          <w:rFonts w:ascii="Times New Roman" w:eastAsia="Calibri" w:hAnsi="Times New Roman" w:cs="Times New Roman"/>
          <w:sz w:val="24"/>
          <w:szCs w:val="24"/>
        </w:rPr>
        <w:t>of the Commission’s regulations thereunder, NASDAQ Futures, Inc. (“</w:t>
      </w:r>
      <w:r w:rsidR="000F7F4B" w:rsidRPr="009F2AFB">
        <w:rPr>
          <w:rFonts w:ascii="Times New Roman" w:eastAsia="Calibri" w:hAnsi="Times New Roman" w:cs="Times New Roman"/>
          <w:sz w:val="24"/>
          <w:szCs w:val="24"/>
          <w:u w:val="single"/>
        </w:rPr>
        <w:t>NFX</w:t>
      </w:r>
      <w:r w:rsidR="000F7F4B" w:rsidRPr="009F2AFB">
        <w:rPr>
          <w:rFonts w:ascii="Times New Roman" w:eastAsia="Calibri" w:hAnsi="Times New Roman" w:cs="Times New Roman"/>
          <w:sz w:val="24"/>
          <w:szCs w:val="24"/>
        </w:rPr>
        <w:t>” or “</w:t>
      </w:r>
      <w:r w:rsidR="000F7F4B" w:rsidRPr="009F2AFB">
        <w:rPr>
          <w:rFonts w:ascii="Times New Roman" w:eastAsia="Calibri" w:hAnsi="Times New Roman" w:cs="Times New Roman"/>
          <w:sz w:val="24"/>
          <w:szCs w:val="24"/>
          <w:u w:val="single"/>
        </w:rPr>
        <w:t>Exchange</w:t>
      </w:r>
      <w:r w:rsidR="000F7F4B" w:rsidRPr="009F2AFB">
        <w:rPr>
          <w:rFonts w:ascii="Times New Roman" w:eastAsia="Calibri" w:hAnsi="Times New Roman" w:cs="Times New Roman"/>
          <w:sz w:val="24"/>
          <w:szCs w:val="24"/>
        </w:rPr>
        <w:t xml:space="preserve">”) </w:t>
      </w:r>
      <w:r w:rsidR="000F7F4B" w:rsidRPr="009F2AFB">
        <w:rPr>
          <w:rFonts w:ascii="Times New Roman" w:eastAsia="Times New Roman" w:hAnsi="Times New Roman" w:cs="Times New Roman"/>
          <w:sz w:val="24"/>
          <w:szCs w:val="24"/>
        </w:rPr>
        <w:t xml:space="preserve">submits this self-certification to </w:t>
      </w:r>
      <w:r w:rsidR="000F7F4B">
        <w:rPr>
          <w:rFonts w:ascii="Times New Roman" w:eastAsia="Times New Roman" w:hAnsi="Times New Roman" w:cs="Times New Roman"/>
          <w:sz w:val="24"/>
          <w:szCs w:val="24"/>
        </w:rPr>
        <w:t>extend the</w:t>
      </w:r>
      <w:r w:rsidR="000F7F4B" w:rsidRPr="009F2AFB">
        <w:rPr>
          <w:rFonts w:ascii="Times New Roman" w:eastAsia="Calibri" w:hAnsi="Times New Roman" w:cs="Times New Roman"/>
          <w:sz w:val="24"/>
          <w:szCs w:val="24"/>
        </w:rPr>
        <w:t xml:space="preserve"> quote liquidity provisioning program (the “</w:t>
      </w:r>
      <w:r w:rsidR="000F7F4B" w:rsidRPr="009F2AFB">
        <w:rPr>
          <w:rFonts w:ascii="Times New Roman" w:eastAsia="Calibri" w:hAnsi="Times New Roman" w:cs="Times New Roman"/>
          <w:sz w:val="24"/>
          <w:szCs w:val="24"/>
          <w:u w:val="single"/>
        </w:rPr>
        <w:t>QLP Program</w:t>
      </w:r>
      <w:r w:rsidR="000F7F4B" w:rsidRPr="009F2AFB">
        <w:rPr>
          <w:rFonts w:ascii="Times New Roman" w:eastAsia="Calibri" w:hAnsi="Times New Roman" w:cs="Times New Roman"/>
          <w:sz w:val="24"/>
          <w:szCs w:val="24"/>
        </w:rPr>
        <w:t>”) for energy contracts that the Exchange has listed pursuant to Appendix A of the Exchange Rulebook (the “</w:t>
      </w:r>
      <w:r w:rsidR="000F7F4B" w:rsidRPr="009F2AFB">
        <w:rPr>
          <w:rFonts w:ascii="Times New Roman" w:eastAsia="Calibri" w:hAnsi="Times New Roman" w:cs="Times New Roman"/>
          <w:sz w:val="24"/>
          <w:szCs w:val="24"/>
          <w:u w:val="single"/>
        </w:rPr>
        <w:t>Energy Contracts</w:t>
      </w:r>
      <w:r w:rsidR="000F7F4B" w:rsidRPr="009F2AFB">
        <w:rPr>
          <w:rFonts w:ascii="Times New Roman" w:eastAsia="Calibri" w:hAnsi="Times New Roman" w:cs="Times New Roman"/>
          <w:sz w:val="24"/>
          <w:szCs w:val="24"/>
        </w:rPr>
        <w:t>”), as may be amended from time to time.</w:t>
      </w:r>
      <w:r w:rsidR="000F7F4B" w:rsidRPr="009F2AFB">
        <w:rPr>
          <w:rStyle w:val="FootnoteReference"/>
          <w:rFonts w:ascii="Times New Roman" w:eastAsia="Calibri" w:hAnsi="Times New Roman" w:cs="Times New Roman"/>
          <w:sz w:val="24"/>
          <w:szCs w:val="24"/>
        </w:rPr>
        <w:footnoteReference w:id="1"/>
      </w:r>
      <w:r w:rsidR="000F7F4B" w:rsidRPr="009F2AFB">
        <w:rPr>
          <w:rFonts w:ascii="Times New Roman" w:eastAsia="Calibri" w:hAnsi="Times New Roman" w:cs="Times New Roman"/>
          <w:sz w:val="24"/>
          <w:szCs w:val="24"/>
        </w:rPr>
        <w:t xml:space="preserve">  </w:t>
      </w:r>
      <w:r w:rsidR="000F7F4B">
        <w:rPr>
          <w:rFonts w:ascii="Times New Roman" w:eastAsia="Calibri" w:hAnsi="Times New Roman" w:cs="Times New Roman"/>
          <w:sz w:val="24"/>
          <w:szCs w:val="24"/>
        </w:rPr>
        <w:t>The QLP Program is a further extension of the p</w:t>
      </w:r>
      <w:r w:rsidR="000F7F4B" w:rsidRPr="009F2AFB">
        <w:rPr>
          <w:rFonts w:ascii="Times New Roman" w:eastAsia="Calibri" w:hAnsi="Times New Roman" w:cs="Times New Roman"/>
          <w:sz w:val="24"/>
          <w:szCs w:val="24"/>
        </w:rPr>
        <w:t xml:space="preserve">rogram </w:t>
      </w:r>
      <w:r w:rsidR="000F7F4B">
        <w:rPr>
          <w:rFonts w:ascii="Times New Roman" w:eastAsia="Calibri" w:hAnsi="Times New Roman" w:cs="Times New Roman"/>
          <w:sz w:val="24"/>
          <w:szCs w:val="24"/>
        </w:rPr>
        <w:t>that was filed under SR-NFX-2017-30, as extended by SR-NFX-2018-02.  The program will now expire on June 30, 2018</w:t>
      </w:r>
      <w:r w:rsidR="000F7F4B" w:rsidRPr="009F2AFB">
        <w:rPr>
          <w:rFonts w:ascii="Times New Roman" w:eastAsia="Calibri" w:hAnsi="Times New Roman" w:cs="Times New Roman"/>
          <w:sz w:val="24"/>
          <w:szCs w:val="24"/>
        </w:rPr>
        <w:t>.</w:t>
      </w:r>
      <w:r w:rsidR="000F7F4B">
        <w:rPr>
          <w:rFonts w:ascii="Times New Roman" w:eastAsia="Calibri" w:hAnsi="Times New Roman" w:cs="Times New Roman"/>
          <w:sz w:val="24"/>
          <w:szCs w:val="24"/>
        </w:rPr>
        <w:t xml:space="preserve">  There are no changes being proposed to the QLP Program.</w:t>
      </w:r>
    </w:p>
    <w:p w:rsidR="000F7F4B" w:rsidRPr="009F2AFB" w:rsidRDefault="000F7F4B" w:rsidP="000F7F4B">
      <w:pPr>
        <w:pStyle w:val="NoSpacing"/>
        <w:ind w:firstLine="1310"/>
        <w:rPr>
          <w:rFonts w:ascii="Times New Roman" w:eastAsia="Calibri" w:hAnsi="Times New Roman" w:cs="Times New Roman"/>
          <w:sz w:val="24"/>
          <w:szCs w:val="24"/>
        </w:rPr>
      </w:pPr>
    </w:p>
    <w:p w:rsidR="000F7F4B" w:rsidRDefault="000F7F4B" w:rsidP="000F7F4B">
      <w:pPr>
        <w:pStyle w:val="NoSpacing"/>
        <w:ind w:firstLine="1310"/>
        <w:rPr>
          <w:rFonts w:ascii="Times New Roman" w:eastAsia="Calibri" w:hAnsi="Times New Roman" w:cs="Times New Roman"/>
          <w:sz w:val="24"/>
          <w:szCs w:val="24"/>
        </w:rPr>
      </w:pPr>
      <w:r w:rsidRPr="009F2AFB">
        <w:rPr>
          <w:rFonts w:ascii="Times New Roman" w:eastAsia="Calibri" w:hAnsi="Times New Roman" w:cs="Times New Roman"/>
          <w:sz w:val="24"/>
          <w:szCs w:val="24"/>
        </w:rPr>
        <w:t xml:space="preserve">Participants in the QLP Program </w:t>
      </w:r>
      <w:r>
        <w:rPr>
          <w:rFonts w:ascii="Times New Roman" w:eastAsia="Calibri" w:hAnsi="Times New Roman" w:cs="Times New Roman"/>
          <w:sz w:val="24"/>
          <w:szCs w:val="24"/>
        </w:rPr>
        <w:t>are</w:t>
      </w:r>
      <w:r w:rsidRPr="009F2AF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recognized </w:t>
      </w:r>
      <w:r w:rsidRPr="009F2AFB">
        <w:rPr>
          <w:rFonts w:ascii="Times New Roman" w:eastAsia="Calibri" w:hAnsi="Times New Roman" w:cs="Times New Roman"/>
          <w:sz w:val="24"/>
          <w:szCs w:val="24"/>
        </w:rPr>
        <w:t xml:space="preserve">using the process described in </w:t>
      </w:r>
      <w:r>
        <w:rPr>
          <w:rFonts w:ascii="Times New Roman" w:eastAsia="Calibri" w:hAnsi="Times New Roman" w:cs="Times New Roman"/>
          <w:sz w:val="24"/>
          <w:szCs w:val="24"/>
        </w:rPr>
        <w:t>SR-NFX-2017-30</w:t>
      </w:r>
      <w:r w:rsidRPr="009F2AFB">
        <w:rPr>
          <w:rFonts w:ascii="Times New Roman" w:eastAsia="Calibri" w:hAnsi="Times New Roman" w:cs="Times New Roman"/>
          <w:sz w:val="24"/>
          <w:szCs w:val="24"/>
        </w:rPr>
        <w:t>.</w:t>
      </w:r>
      <w:r>
        <w:rPr>
          <w:rFonts w:ascii="Times New Roman" w:eastAsia="Calibri" w:hAnsi="Times New Roman" w:cs="Times New Roman"/>
          <w:sz w:val="24"/>
          <w:szCs w:val="24"/>
        </w:rPr>
        <w:t xml:space="preserve">  NFX anticipates having up to 30 Recognized Quote Liquidity Providers (“</w:t>
      </w:r>
      <w:r w:rsidRPr="008610F7">
        <w:rPr>
          <w:rFonts w:ascii="Times New Roman" w:eastAsia="Calibri" w:hAnsi="Times New Roman" w:cs="Times New Roman"/>
          <w:sz w:val="24"/>
          <w:szCs w:val="24"/>
          <w:u w:val="single"/>
        </w:rPr>
        <w:t>RQLPs</w:t>
      </w:r>
      <w:r>
        <w:rPr>
          <w:rFonts w:ascii="Times New Roman" w:eastAsia="Calibri" w:hAnsi="Times New Roman" w:cs="Times New Roman"/>
          <w:sz w:val="24"/>
          <w:szCs w:val="24"/>
        </w:rPr>
        <w:t xml:space="preserve">”) participating at any particular time, but the program is open to all </w:t>
      </w:r>
      <w:r w:rsidRPr="008610F7">
        <w:rPr>
          <w:rFonts w:ascii="Times New Roman" w:eastAsia="Calibri" w:hAnsi="Times New Roman" w:cs="Times New Roman"/>
          <w:sz w:val="24"/>
          <w:szCs w:val="24"/>
        </w:rPr>
        <w:t>NFX Futures Participants</w:t>
      </w:r>
      <w:r>
        <w:rPr>
          <w:rFonts w:ascii="Times New Roman" w:eastAsia="Calibri" w:hAnsi="Times New Roman" w:cs="Times New Roman"/>
          <w:sz w:val="24"/>
          <w:szCs w:val="24"/>
        </w:rPr>
        <w:t xml:space="preserve"> or</w:t>
      </w:r>
      <w:r w:rsidRPr="008610F7">
        <w:rPr>
          <w:rFonts w:ascii="Times New Roman" w:eastAsia="Calibri" w:hAnsi="Times New Roman" w:cs="Times New Roman"/>
          <w:sz w:val="24"/>
          <w:szCs w:val="24"/>
        </w:rPr>
        <w:t xml:space="preserve"> NFX Futures Participant’s Authorized Customer</w:t>
      </w:r>
      <w:r>
        <w:rPr>
          <w:rFonts w:ascii="Times New Roman" w:eastAsia="Calibri" w:hAnsi="Times New Roman" w:cs="Times New Roman"/>
          <w:sz w:val="24"/>
          <w:szCs w:val="24"/>
        </w:rPr>
        <w:t>s, and there is no cap on the numbers participating.</w:t>
      </w:r>
    </w:p>
    <w:p w:rsidR="000F7F4B" w:rsidRDefault="000F7F4B" w:rsidP="000F7F4B">
      <w:pPr>
        <w:pStyle w:val="NoSpacing"/>
        <w:ind w:firstLine="1310"/>
        <w:rPr>
          <w:rFonts w:ascii="Times New Roman" w:eastAsia="Calibri" w:hAnsi="Times New Roman" w:cs="Times New Roman"/>
          <w:sz w:val="24"/>
          <w:szCs w:val="24"/>
        </w:rPr>
      </w:pPr>
    </w:p>
    <w:p w:rsidR="000F7F4B" w:rsidRDefault="000F7F4B" w:rsidP="000F7F4B">
      <w:pPr>
        <w:pStyle w:val="NoSpacing"/>
        <w:ind w:firstLine="1310"/>
        <w:rPr>
          <w:rFonts w:ascii="Times New Roman" w:eastAsia="Calibri" w:hAnsi="Times New Roman" w:cs="Times New Roman"/>
          <w:sz w:val="24"/>
          <w:szCs w:val="24"/>
        </w:rPr>
      </w:pPr>
      <w:r w:rsidRPr="00B6204C">
        <w:rPr>
          <w:rFonts w:ascii="Times New Roman" w:eastAsia="Calibri" w:hAnsi="Times New Roman" w:cs="Times New Roman"/>
          <w:sz w:val="24"/>
          <w:szCs w:val="24"/>
        </w:rPr>
        <w:t xml:space="preserve">The QLP Program is intended to be a complement to the Exchange’s Energy DMM Program, but differs in its sourcing of liquidity provisioning.  </w:t>
      </w:r>
      <w:r>
        <w:rPr>
          <w:rFonts w:ascii="Times New Roman" w:eastAsia="Calibri" w:hAnsi="Times New Roman" w:cs="Times New Roman"/>
          <w:sz w:val="24"/>
          <w:szCs w:val="24"/>
        </w:rPr>
        <w:t>T</w:t>
      </w:r>
      <w:r w:rsidRPr="00B6204C">
        <w:rPr>
          <w:rFonts w:ascii="Times New Roman" w:eastAsia="Calibri" w:hAnsi="Times New Roman" w:cs="Times New Roman"/>
          <w:sz w:val="24"/>
          <w:szCs w:val="24"/>
        </w:rPr>
        <w:t xml:space="preserve">he purpose of the QLP Program is to support liquidity in the Energy Contracts by recruiting </w:t>
      </w:r>
      <w:r>
        <w:rPr>
          <w:rFonts w:ascii="Times New Roman" w:eastAsia="Calibri" w:hAnsi="Times New Roman" w:cs="Times New Roman"/>
          <w:sz w:val="24"/>
          <w:szCs w:val="24"/>
        </w:rPr>
        <w:t>R</w:t>
      </w:r>
      <w:r w:rsidRPr="00B6204C">
        <w:rPr>
          <w:rFonts w:ascii="Times New Roman" w:eastAsia="Calibri" w:hAnsi="Times New Roman" w:cs="Times New Roman"/>
          <w:sz w:val="24"/>
          <w:szCs w:val="24"/>
        </w:rPr>
        <w:t>QLPs to respond to Request for Quotes (“</w:t>
      </w:r>
      <w:r w:rsidRPr="00B6204C">
        <w:rPr>
          <w:rFonts w:ascii="Times New Roman" w:eastAsia="Calibri" w:hAnsi="Times New Roman" w:cs="Times New Roman"/>
          <w:sz w:val="24"/>
          <w:szCs w:val="24"/>
          <w:u w:val="single"/>
        </w:rPr>
        <w:t>RFQ</w:t>
      </w:r>
      <w:r w:rsidRPr="00B6204C">
        <w:rPr>
          <w:rFonts w:ascii="Times New Roman" w:eastAsia="Calibri" w:hAnsi="Times New Roman" w:cs="Times New Roman"/>
          <w:sz w:val="24"/>
          <w:szCs w:val="24"/>
        </w:rPr>
        <w:t xml:space="preserve">”) either in the Exchange’s Order Book or via off-Exchange brokered markets.  A RFQ means an indication of intent to buy or sell a specified quantity of an Energy Contract.  A RFQ in the Order Book must specify whether it is a buy or sell and the quantity interest in the Energy Contract.  A RFQ is not an Order.  A RFQ in the off-Exchange market (Block Trade) does not have the requirement to specify whether it is a buy or sell and the quantity interest in the Energy Contract.  </w:t>
      </w:r>
      <w:r>
        <w:rPr>
          <w:rFonts w:ascii="Times New Roman" w:eastAsia="Calibri" w:hAnsi="Times New Roman" w:cs="Times New Roman"/>
          <w:sz w:val="24"/>
          <w:szCs w:val="24"/>
        </w:rPr>
        <w:t>R</w:t>
      </w:r>
      <w:r w:rsidRPr="00B6204C">
        <w:rPr>
          <w:rFonts w:ascii="Times New Roman" w:eastAsia="Calibri" w:hAnsi="Times New Roman" w:cs="Times New Roman"/>
          <w:sz w:val="24"/>
          <w:szCs w:val="24"/>
        </w:rPr>
        <w:t>QLPs may respond at will to RFQs.</w:t>
      </w:r>
      <w:r>
        <w:rPr>
          <w:rFonts w:ascii="Times New Roman" w:eastAsia="Calibri" w:hAnsi="Times New Roman" w:cs="Times New Roman"/>
          <w:sz w:val="24"/>
          <w:szCs w:val="24"/>
        </w:rPr>
        <w:t xml:space="preserve">  </w:t>
      </w:r>
    </w:p>
    <w:p w:rsidR="000F7F4B" w:rsidRDefault="000F7F4B" w:rsidP="000F7F4B">
      <w:pPr>
        <w:pStyle w:val="NoSpacing"/>
        <w:ind w:firstLine="1310"/>
        <w:rPr>
          <w:rFonts w:ascii="Times New Roman" w:eastAsia="Calibri" w:hAnsi="Times New Roman" w:cs="Times New Roman"/>
          <w:sz w:val="24"/>
          <w:szCs w:val="24"/>
        </w:rPr>
      </w:pPr>
    </w:p>
    <w:p w:rsidR="000F7F4B" w:rsidRPr="006974BA" w:rsidRDefault="000F7F4B" w:rsidP="000F7F4B">
      <w:pPr>
        <w:spacing w:line="240" w:lineRule="auto"/>
        <w:ind w:firstLine="1310"/>
        <w:rPr>
          <w:rFonts w:ascii="Times New Roman" w:hAnsi="Times New Roman" w:cs="Times New Roman"/>
          <w:sz w:val="24"/>
          <w:szCs w:val="24"/>
        </w:rPr>
      </w:pPr>
      <w:r>
        <w:rPr>
          <w:rFonts w:ascii="Times New Roman" w:eastAsia="Calibri" w:hAnsi="Times New Roman" w:cs="Times New Roman"/>
          <w:sz w:val="24"/>
          <w:szCs w:val="24"/>
        </w:rPr>
        <w:t>The Exchange believes that the Program complies with Core Principle 4 (Monitoring of Trading), Core Principle 9 (Execution of Transactions) and Core Principle 12 (Protection of Market Participants).  The QLP Program will not impact order execution priority or otherwise give participants any execution preference or advantage.  The QLP Program will not impact</w:t>
      </w:r>
      <w:r>
        <w:rPr>
          <w:rFonts w:eastAsia="Calibri"/>
        </w:rPr>
        <w:t xml:space="preserve"> </w:t>
      </w:r>
      <w:r>
        <w:rPr>
          <w:rFonts w:ascii="Times New Roman" w:eastAsia="Calibri" w:hAnsi="Times New Roman" w:cs="Times New Roman"/>
          <w:sz w:val="24"/>
          <w:szCs w:val="24"/>
        </w:rPr>
        <w:t>the Exchange’s ability to perform its trade practice and market surveillance obligations under the Act and Exchange staff will monitor trading in the Program’s products to prevent manipulative trading and market abuse.  Additionally, the Exchange has systems to monitor RQLPs performance.  Finally, NFX rules include prohibitions against fraudulent, non-competitive</w:t>
      </w:r>
      <w:r w:rsidRPr="000B5E2C">
        <w:rPr>
          <w:rFonts w:ascii="Times New Roman" w:eastAsia="Calibri" w:hAnsi="Times New Roman" w:cs="Times New Roman"/>
          <w:sz w:val="24"/>
          <w:szCs w:val="24"/>
        </w:rPr>
        <w:t>, unfair or abusive practices</w:t>
      </w:r>
      <w:r>
        <w:rPr>
          <w:rFonts w:ascii="Times New Roman" w:eastAsia="Calibri" w:hAnsi="Times New Roman" w:cs="Times New Roman"/>
          <w:sz w:val="24"/>
          <w:szCs w:val="24"/>
        </w:rPr>
        <w:t>.</w:t>
      </w:r>
    </w:p>
    <w:p w:rsidR="000F7F4B" w:rsidRPr="0013104F" w:rsidRDefault="000F7F4B" w:rsidP="000F7F4B">
      <w:pPr>
        <w:pStyle w:val="Default"/>
        <w:ind w:firstLine="1310"/>
        <w:rPr>
          <w:color w:val="auto"/>
          <w:szCs w:val="23"/>
        </w:rPr>
      </w:pPr>
      <w:r w:rsidRPr="0013104F">
        <w:rPr>
          <w:color w:val="auto"/>
          <w:szCs w:val="23"/>
        </w:rPr>
        <w:t xml:space="preserve">The Exchange has reviewed the designated contract market core principles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Pr>
            <w:rStyle w:val="Hyperlink"/>
          </w:rPr>
          <w:t>business.nasdaq.com/futures</w:t>
        </w:r>
      </w:hyperlink>
      <w:r w:rsidRPr="0013104F">
        <w:rPr>
          <w:color w:val="auto"/>
          <w:szCs w:val="23"/>
        </w:rPr>
        <w:t>.</w:t>
      </w:r>
    </w:p>
    <w:p w:rsidR="000F7F4B" w:rsidRDefault="000F7F4B" w:rsidP="000F7F4B">
      <w:pPr>
        <w:pStyle w:val="Default"/>
        <w:ind w:firstLine="1310"/>
        <w:rPr>
          <w:color w:val="auto"/>
          <w:szCs w:val="23"/>
        </w:rPr>
      </w:pPr>
    </w:p>
    <w:p w:rsidR="000F7F4B" w:rsidRPr="005B01DF" w:rsidRDefault="000F7F4B" w:rsidP="000F7F4B">
      <w:pPr>
        <w:pStyle w:val="Default"/>
        <w:ind w:left="2620"/>
        <w:rPr>
          <w:b/>
          <w:bCs/>
          <w:color w:val="auto"/>
          <w:szCs w:val="23"/>
          <w:u w:val="single"/>
        </w:rPr>
      </w:pPr>
      <w:r>
        <w:rPr>
          <w:b/>
          <w:bCs/>
          <w:color w:val="auto"/>
          <w:szCs w:val="23"/>
        </w:rPr>
        <w:t xml:space="preserve">           </w:t>
      </w:r>
      <w:r w:rsidRPr="005B01DF">
        <w:rPr>
          <w:b/>
          <w:bCs/>
          <w:color w:val="auto"/>
          <w:szCs w:val="23"/>
          <w:u w:val="single"/>
        </w:rPr>
        <w:t xml:space="preserve">Certifications </w:t>
      </w:r>
    </w:p>
    <w:p w:rsidR="000F7F4B" w:rsidRPr="005B01DF" w:rsidRDefault="000F7F4B" w:rsidP="000F7F4B">
      <w:pPr>
        <w:pStyle w:val="Default"/>
        <w:ind w:left="2620"/>
        <w:rPr>
          <w:color w:val="auto"/>
        </w:rPr>
      </w:pPr>
    </w:p>
    <w:p w:rsidR="000F7F4B" w:rsidRPr="005B01DF" w:rsidRDefault="000F7F4B" w:rsidP="000F7F4B">
      <w:pPr>
        <w:pStyle w:val="PlainText"/>
        <w:ind w:firstLine="1310"/>
        <w:rPr>
          <w:rFonts w:ascii="Times New Roman" w:eastAsia="Calibri" w:hAnsi="Times New Roman"/>
          <w:sz w:val="24"/>
          <w:szCs w:val="24"/>
        </w:rPr>
      </w:pPr>
      <w:r w:rsidRPr="005B01DF">
        <w:rPr>
          <w:rFonts w:ascii="Times New Roman" w:hAnsi="Times New Roman"/>
          <w:sz w:val="24"/>
          <w:szCs w:val="23"/>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5B01DF">
          <w:rPr>
            <w:rStyle w:val="Hyperlink"/>
            <w:rFonts w:ascii="Times New Roman" w:hAnsi="Times New Roman"/>
            <w:sz w:val="24"/>
          </w:rPr>
          <w:t>business.nasdaq.com/futures</w:t>
        </w:r>
      </w:hyperlink>
      <w:r w:rsidRPr="005B01DF">
        <w:rPr>
          <w:rFonts w:ascii="Times New Roman" w:hAnsi="Times New Roman"/>
          <w:sz w:val="24"/>
          <w:szCs w:val="23"/>
        </w:rPr>
        <w:t>.</w:t>
      </w:r>
    </w:p>
    <w:p w:rsidR="000F7F4B" w:rsidRPr="005B01DF" w:rsidRDefault="000F7F4B" w:rsidP="000F7F4B">
      <w:pPr>
        <w:pStyle w:val="PlainText"/>
        <w:ind w:firstLine="1310"/>
        <w:rPr>
          <w:rFonts w:ascii="Times New Roman" w:hAnsi="Times New Roman"/>
          <w:sz w:val="24"/>
          <w:szCs w:val="24"/>
        </w:rPr>
      </w:pPr>
    </w:p>
    <w:p w:rsidR="000F7F4B" w:rsidRPr="005B01DF" w:rsidRDefault="000F7F4B" w:rsidP="000F7F4B">
      <w:pPr>
        <w:keepNext/>
        <w:spacing w:after="0" w:line="240" w:lineRule="auto"/>
        <w:ind w:firstLine="1310"/>
        <w:rPr>
          <w:rFonts w:ascii="Times New Roman" w:hAnsi="Times New Roman" w:cs="Times New Roman"/>
          <w:spacing w:val="-6"/>
          <w:sz w:val="24"/>
          <w:szCs w:val="24"/>
        </w:rPr>
      </w:pPr>
      <w:r w:rsidRPr="005B01DF">
        <w:rPr>
          <w:rFonts w:ascii="Times New Roman" w:eastAsia="Calibri" w:hAnsi="Times New Roman" w:cs="Times New Roman"/>
          <w:sz w:val="24"/>
          <w:szCs w:val="24"/>
        </w:rPr>
        <w:t xml:space="preserve">If you require any additional information regarding this submission, please </w:t>
      </w:r>
      <w:r w:rsidRPr="005B01DF">
        <w:rPr>
          <w:rFonts w:ascii="Times New Roman" w:hAnsi="Times New Roman" w:cs="Times New Roman"/>
          <w:sz w:val="24"/>
          <w:szCs w:val="24"/>
        </w:rPr>
        <w:t>contact</w:t>
      </w:r>
      <w:r w:rsidRPr="005B01DF">
        <w:rPr>
          <w:rFonts w:ascii="Times New Roman" w:hAnsi="Times New Roman" w:cs="Times New Roman"/>
          <w:spacing w:val="-6"/>
          <w:sz w:val="24"/>
          <w:szCs w:val="24"/>
        </w:rPr>
        <w:t xml:space="preserve"> </w:t>
      </w:r>
    </w:p>
    <w:p w:rsidR="000F7F4B" w:rsidRPr="005B01DF" w:rsidRDefault="000F7F4B" w:rsidP="000F7F4B">
      <w:pPr>
        <w:keepNext/>
        <w:spacing w:after="0" w:line="240" w:lineRule="auto"/>
        <w:rPr>
          <w:rFonts w:ascii="Times New Roman" w:hAnsi="Times New Roman" w:cs="Times New Roman"/>
          <w:spacing w:val="-6"/>
          <w:sz w:val="24"/>
          <w:szCs w:val="24"/>
        </w:rPr>
      </w:pPr>
      <w:r w:rsidRPr="005B01DF">
        <w:rPr>
          <w:rFonts w:ascii="Times New Roman" w:hAnsi="Times New Roman" w:cs="Times New Roman"/>
          <w:spacing w:val="-6"/>
          <w:sz w:val="24"/>
          <w:szCs w:val="24"/>
        </w:rPr>
        <w:t>Stephen Matthews at (301) 978-8458</w:t>
      </w:r>
      <w:r>
        <w:rPr>
          <w:rFonts w:ascii="Times New Roman" w:hAnsi="Times New Roman" w:cs="Times New Roman"/>
          <w:spacing w:val="-6"/>
          <w:sz w:val="24"/>
          <w:szCs w:val="24"/>
        </w:rPr>
        <w:t xml:space="preserve"> or steve.matthews@nasdaq.com</w:t>
      </w:r>
      <w:r w:rsidRPr="005B01DF">
        <w:rPr>
          <w:rFonts w:ascii="Times New Roman" w:hAnsi="Times New Roman" w:cs="Times New Roman"/>
          <w:spacing w:val="-6"/>
          <w:sz w:val="24"/>
          <w:szCs w:val="24"/>
        </w:rPr>
        <w:t xml:space="preserve">.  </w:t>
      </w:r>
      <w:r w:rsidRPr="005B01DF">
        <w:rPr>
          <w:rFonts w:ascii="Times New Roman" w:hAnsi="Times New Roman" w:cs="Times New Roman"/>
          <w:sz w:val="24"/>
          <w:szCs w:val="24"/>
        </w:rPr>
        <w:t>Please</w:t>
      </w:r>
      <w:r w:rsidRPr="005B01DF">
        <w:rPr>
          <w:rFonts w:ascii="Times New Roman" w:hAnsi="Times New Roman" w:cs="Times New Roman"/>
          <w:spacing w:val="-6"/>
          <w:sz w:val="24"/>
          <w:szCs w:val="24"/>
        </w:rPr>
        <w:t xml:space="preserve"> </w:t>
      </w:r>
      <w:r w:rsidRPr="009F2AFB">
        <w:rPr>
          <w:rFonts w:ascii="Times New Roman" w:hAnsi="Times New Roman" w:cs="Times New Roman"/>
          <w:sz w:val="24"/>
          <w:szCs w:val="24"/>
        </w:rPr>
        <w:t>refer to</w:t>
      </w:r>
      <w:r w:rsidRPr="009F2AFB">
        <w:rPr>
          <w:rFonts w:ascii="Times New Roman" w:hAnsi="Times New Roman" w:cs="Times New Roman"/>
          <w:spacing w:val="-6"/>
          <w:sz w:val="24"/>
          <w:szCs w:val="24"/>
        </w:rPr>
        <w:t xml:space="preserve"> </w:t>
      </w:r>
      <w:r w:rsidRPr="009F2AFB">
        <w:rPr>
          <w:rFonts w:ascii="Times New Roman" w:hAnsi="Times New Roman" w:cs="Times New Roman"/>
          <w:sz w:val="24"/>
          <w:szCs w:val="24"/>
        </w:rPr>
        <w:t>SR-NFX-201</w:t>
      </w:r>
      <w:r>
        <w:rPr>
          <w:rFonts w:ascii="Times New Roman" w:hAnsi="Times New Roman" w:cs="Times New Roman"/>
          <w:sz w:val="24"/>
          <w:szCs w:val="24"/>
        </w:rPr>
        <w:t>8</w:t>
      </w:r>
      <w:r w:rsidRPr="009F2AFB">
        <w:rPr>
          <w:rFonts w:ascii="Times New Roman" w:hAnsi="Times New Roman" w:cs="Times New Roman"/>
          <w:sz w:val="24"/>
          <w:szCs w:val="24"/>
        </w:rPr>
        <w:t>-</w:t>
      </w:r>
      <w:r>
        <w:rPr>
          <w:rFonts w:ascii="Times New Roman" w:hAnsi="Times New Roman" w:cs="Times New Roman"/>
          <w:sz w:val="24"/>
          <w:szCs w:val="24"/>
        </w:rPr>
        <w:t>11</w:t>
      </w:r>
      <w:r w:rsidRPr="005B01DF">
        <w:rPr>
          <w:rFonts w:ascii="Times New Roman" w:hAnsi="Times New Roman" w:cs="Times New Roman"/>
          <w:spacing w:val="-9"/>
          <w:sz w:val="24"/>
          <w:szCs w:val="24"/>
        </w:rPr>
        <w:t xml:space="preserve"> </w:t>
      </w:r>
      <w:r w:rsidRPr="005B01DF">
        <w:rPr>
          <w:rFonts w:ascii="Times New Roman" w:eastAsia="Calibri" w:hAnsi="Times New Roman" w:cs="Times New Roman"/>
          <w:sz w:val="24"/>
          <w:szCs w:val="24"/>
        </w:rPr>
        <w:t>in any related correspondence.</w:t>
      </w:r>
    </w:p>
    <w:p w:rsidR="0008423C" w:rsidRPr="00E1206A" w:rsidRDefault="0008423C" w:rsidP="0008423C">
      <w:pPr>
        <w:keepNext/>
        <w:spacing w:after="0" w:line="240" w:lineRule="auto"/>
        <w:ind w:firstLine="1310"/>
        <w:rPr>
          <w:rFonts w:ascii="Times New Roman" w:hAnsi="Times New Roman" w:cs="Times New Roman"/>
          <w:spacing w:val="-6"/>
          <w:sz w:val="24"/>
          <w:szCs w:val="24"/>
        </w:rPr>
      </w:pPr>
    </w:p>
    <w:p w:rsidR="0008423C" w:rsidRPr="00E1206A" w:rsidRDefault="0008423C" w:rsidP="0008423C">
      <w:pPr>
        <w:pStyle w:val="NoSpacing"/>
        <w:keepNext/>
        <w:rPr>
          <w:rFonts w:ascii="Times New Roman" w:eastAsia="Times New Roman" w:hAnsi="Times New Roman" w:cs="Times New Roman"/>
          <w:sz w:val="24"/>
          <w:szCs w:val="24"/>
        </w:rPr>
      </w:pPr>
    </w:p>
    <w:p w:rsidR="0008423C" w:rsidRPr="00E1206A" w:rsidRDefault="0008423C" w:rsidP="0008423C">
      <w:pPr>
        <w:pStyle w:val="NoSpacing"/>
        <w:keepNext/>
        <w:rPr>
          <w:rFonts w:ascii="Times New Roman" w:eastAsia="Calibri" w:hAnsi="Times New Roman" w:cs="Times New Roman"/>
          <w:sz w:val="24"/>
          <w:szCs w:val="24"/>
        </w:rPr>
      </w:pPr>
      <w:r w:rsidRPr="00E1206A">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47B0987" wp14:editId="347B0988">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Regards,</w:t>
      </w:r>
    </w:p>
    <w:p w:rsidR="0008423C" w:rsidRPr="00E1206A" w:rsidRDefault="0008423C" w:rsidP="0008423C">
      <w:pPr>
        <w:pStyle w:val="NoSpacing"/>
        <w:keepNext/>
        <w:ind w:left="2880" w:firstLine="720"/>
        <w:rPr>
          <w:rFonts w:ascii="Times New Roman" w:hAnsi="Times New Roman" w:cs="Times New Roman"/>
          <w:sz w:val="24"/>
          <w:szCs w:val="24"/>
        </w:rPr>
      </w:pPr>
    </w:p>
    <w:p w:rsidR="0008423C" w:rsidRPr="00E1206A" w:rsidRDefault="0008423C" w:rsidP="0008423C">
      <w:pPr>
        <w:pStyle w:val="NoSpacing"/>
        <w:keepNext/>
        <w:ind w:left="2880" w:firstLine="720"/>
        <w:rPr>
          <w:rFonts w:ascii="Times New Roman" w:eastAsia="Calibri" w:hAnsi="Times New Roman" w:cs="Times New Roman"/>
          <w:sz w:val="24"/>
          <w:szCs w:val="24"/>
        </w:rPr>
      </w:pPr>
    </w:p>
    <w:p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Daniel R. Carrigan</w:t>
      </w:r>
    </w:p>
    <w:p w:rsidR="0008423C" w:rsidRPr="00E1206A" w:rsidRDefault="0008423C" w:rsidP="0008423C">
      <w:pPr>
        <w:pStyle w:val="NoSpacing"/>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President</w:t>
      </w:r>
    </w:p>
    <w:p w:rsidR="0008423C" w:rsidRPr="00E1206A" w:rsidRDefault="0008423C" w:rsidP="0008423C">
      <w:pPr>
        <w:pStyle w:val="NoSpacing"/>
        <w:rPr>
          <w:rFonts w:ascii="Times New Roman" w:eastAsia="Calibri" w:hAnsi="Times New Roman" w:cs="Times New Roman"/>
          <w:sz w:val="24"/>
          <w:szCs w:val="24"/>
        </w:rPr>
      </w:pPr>
    </w:p>
    <w:sectPr w:rsidR="0008423C" w:rsidRPr="00E1206A" w:rsidSect="00E12802">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5BA" w:rsidRDefault="000815BA" w:rsidP="0008423C">
      <w:pPr>
        <w:spacing w:after="0" w:line="240" w:lineRule="auto"/>
      </w:pPr>
      <w:r>
        <w:separator/>
      </w:r>
    </w:p>
  </w:endnote>
  <w:endnote w:type="continuationSeparator" w:id="0">
    <w:p w:rsidR="000815BA" w:rsidRDefault="000815BA"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5BA" w:rsidRDefault="000815BA" w:rsidP="0008423C">
      <w:pPr>
        <w:spacing w:after="0" w:line="240" w:lineRule="auto"/>
      </w:pPr>
      <w:r>
        <w:separator/>
      </w:r>
    </w:p>
  </w:footnote>
  <w:footnote w:type="continuationSeparator" w:id="0">
    <w:p w:rsidR="000815BA" w:rsidRDefault="000815BA" w:rsidP="0008423C">
      <w:pPr>
        <w:spacing w:after="0" w:line="240" w:lineRule="auto"/>
      </w:pPr>
      <w:r>
        <w:continuationSeparator/>
      </w:r>
    </w:p>
  </w:footnote>
  <w:footnote w:id="1">
    <w:p w:rsidR="000F7F4B" w:rsidRPr="009C04FC" w:rsidRDefault="000F7F4B" w:rsidP="000F7F4B">
      <w:pPr>
        <w:pStyle w:val="FootnoteText"/>
        <w:rPr>
          <w:rFonts w:ascii="Times New Roman" w:hAnsi="Times New Roman" w:cs="Times New Roman"/>
          <w:sz w:val="24"/>
          <w:szCs w:val="24"/>
        </w:rPr>
      </w:pPr>
      <w:r w:rsidRPr="009C04FC">
        <w:rPr>
          <w:rStyle w:val="FootnoteReference"/>
          <w:rFonts w:ascii="Times New Roman" w:hAnsi="Times New Roman" w:cs="Times New Roman"/>
          <w:sz w:val="24"/>
          <w:szCs w:val="24"/>
        </w:rPr>
        <w:footnoteRef/>
      </w:r>
      <w:r w:rsidRPr="009C04FC">
        <w:rPr>
          <w:rFonts w:ascii="Times New Roman" w:hAnsi="Times New Roman" w:cs="Times New Roman"/>
          <w:sz w:val="24"/>
          <w:szCs w:val="24"/>
        </w:rPr>
        <w:t xml:space="preserve"> </w:t>
      </w:r>
      <w:hyperlink r:id="rId1" w:history="1">
        <w:r w:rsidRPr="009B149E">
          <w:rPr>
            <w:rStyle w:val="Hyperlink"/>
            <w:rFonts w:ascii="Times New Roman" w:hAnsi="Times New Roman" w:cs="Times New Roman"/>
            <w:sz w:val="24"/>
            <w:szCs w:val="24"/>
          </w:rPr>
          <w:t>See</w:t>
        </w:r>
      </w:hyperlink>
      <w:r w:rsidRPr="002B3578">
        <w:rPr>
          <w:rFonts w:ascii="Times New Roman" w:hAnsi="Times New Roman" w:cs="Times New Roman"/>
          <w:sz w:val="24"/>
          <w:szCs w:val="24"/>
        </w:rPr>
        <w:t xml:space="preserve"> </w:t>
      </w:r>
      <w:hyperlink r:id="rId2" w:history="1">
        <w:r w:rsidRPr="002B3578">
          <w:rPr>
            <w:rFonts w:ascii="Times New Roman" w:hAnsi="Times New Roman" w:cs="Times New Roman"/>
            <w:sz w:val="24"/>
            <w:szCs w:val="24"/>
          </w:rPr>
          <w:t>NFX Rulebook Appendix A – Listed Contracts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AD692F">
      <w:rPr>
        <w:rFonts w:ascii="Times New Roman" w:hAnsi="Times New Roman" w:cs="Times New Roman"/>
        <w:noProof/>
        <w:sz w:val="20"/>
        <w:szCs w:val="20"/>
      </w:rPr>
      <w:t>February 14, 2018</w:t>
    </w:r>
    <w:r>
      <w:rPr>
        <w:rFonts w:ascii="Times New Roman" w:hAnsi="Times New Roman" w:cs="Times New Roman"/>
        <w:sz w:val="20"/>
        <w:szCs w:val="20"/>
      </w:rPr>
      <w:fldChar w:fldCharType="end"/>
    </w:r>
  </w:p>
  <w:p w:rsidR="0082421C"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041823">
      <w:rPr>
        <w:rFonts w:ascii="Times New Roman" w:hAnsi="Times New Roman" w:cs="Times New Roman"/>
        <w:sz w:val="20"/>
        <w:szCs w:val="20"/>
      </w:rPr>
      <w:t>8</w:t>
    </w:r>
    <w:r w:rsidRPr="00C54BB6">
      <w:rPr>
        <w:rFonts w:ascii="Times New Roman" w:hAnsi="Times New Roman" w:cs="Times New Roman"/>
        <w:sz w:val="20"/>
        <w:szCs w:val="20"/>
      </w:rPr>
      <w:t>-</w:t>
    </w:r>
    <w:r w:rsidR="00041823">
      <w:rPr>
        <w:rFonts w:ascii="Times New Roman" w:hAnsi="Times New Roman" w:cs="Times New Roman"/>
        <w:sz w:val="20"/>
        <w:szCs w:val="20"/>
      </w:rPr>
      <w:t>1</w:t>
    </w:r>
    <w:r w:rsidR="000F7F4B">
      <w:rPr>
        <w:rFonts w:ascii="Times New Roman" w:hAnsi="Times New Roman" w:cs="Times New Roman"/>
        <w:sz w:val="20"/>
        <w:szCs w:val="20"/>
      </w:rPr>
      <w:t>1</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D692F">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Default="00E12802" w:rsidP="00E12802">
    <w:pPr>
      <w:pStyle w:val="Header"/>
      <w:ind w:firstLine="6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41823"/>
    <w:rsid w:val="000438BD"/>
    <w:rsid w:val="000815BA"/>
    <w:rsid w:val="0008423C"/>
    <w:rsid w:val="000B6A78"/>
    <w:rsid w:val="000E26AE"/>
    <w:rsid w:val="000E415C"/>
    <w:rsid w:val="000F7F4B"/>
    <w:rsid w:val="0012529D"/>
    <w:rsid w:val="00154FD5"/>
    <w:rsid w:val="00204EC5"/>
    <w:rsid w:val="002303EE"/>
    <w:rsid w:val="0024121C"/>
    <w:rsid w:val="00253701"/>
    <w:rsid w:val="002C0A34"/>
    <w:rsid w:val="002C4B2D"/>
    <w:rsid w:val="00317C2C"/>
    <w:rsid w:val="00360B0D"/>
    <w:rsid w:val="003775E4"/>
    <w:rsid w:val="003D40B8"/>
    <w:rsid w:val="004008C0"/>
    <w:rsid w:val="004834C5"/>
    <w:rsid w:val="004965FA"/>
    <w:rsid w:val="004A53F9"/>
    <w:rsid w:val="004B0524"/>
    <w:rsid w:val="004B2FBF"/>
    <w:rsid w:val="004D7E5D"/>
    <w:rsid w:val="004F5571"/>
    <w:rsid w:val="00543CA2"/>
    <w:rsid w:val="00594AFF"/>
    <w:rsid w:val="005A08AE"/>
    <w:rsid w:val="005E3020"/>
    <w:rsid w:val="005F3337"/>
    <w:rsid w:val="00682A97"/>
    <w:rsid w:val="006B3A2F"/>
    <w:rsid w:val="006E7A2A"/>
    <w:rsid w:val="007076E9"/>
    <w:rsid w:val="00793CA3"/>
    <w:rsid w:val="007958C5"/>
    <w:rsid w:val="007C7601"/>
    <w:rsid w:val="00813160"/>
    <w:rsid w:val="00821537"/>
    <w:rsid w:val="0082421C"/>
    <w:rsid w:val="008321A8"/>
    <w:rsid w:val="0083533B"/>
    <w:rsid w:val="00846BAF"/>
    <w:rsid w:val="00882CAA"/>
    <w:rsid w:val="00893E15"/>
    <w:rsid w:val="008B041F"/>
    <w:rsid w:val="008C3F5C"/>
    <w:rsid w:val="0096726E"/>
    <w:rsid w:val="009C4CF7"/>
    <w:rsid w:val="009D0582"/>
    <w:rsid w:val="00A5669E"/>
    <w:rsid w:val="00AA4BCF"/>
    <w:rsid w:val="00AD692F"/>
    <w:rsid w:val="00AD7CB9"/>
    <w:rsid w:val="00AE3859"/>
    <w:rsid w:val="00B054DD"/>
    <w:rsid w:val="00B53FAF"/>
    <w:rsid w:val="00B6532A"/>
    <w:rsid w:val="00BF3AF0"/>
    <w:rsid w:val="00C21CE4"/>
    <w:rsid w:val="00C35B5B"/>
    <w:rsid w:val="00C4068B"/>
    <w:rsid w:val="00CA52C3"/>
    <w:rsid w:val="00CA6E45"/>
    <w:rsid w:val="00CB53DA"/>
    <w:rsid w:val="00D0050D"/>
    <w:rsid w:val="00D00E6D"/>
    <w:rsid w:val="00D02178"/>
    <w:rsid w:val="00D327C6"/>
    <w:rsid w:val="00D60246"/>
    <w:rsid w:val="00D6561E"/>
    <w:rsid w:val="00D70718"/>
    <w:rsid w:val="00D82177"/>
    <w:rsid w:val="00D84895"/>
    <w:rsid w:val="00E1206A"/>
    <w:rsid w:val="00E12802"/>
    <w:rsid w:val="00E34482"/>
    <w:rsid w:val="00E74C83"/>
    <w:rsid w:val="00EC432B"/>
    <w:rsid w:val="00F02F13"/>
    <w:rsid w:val="00F20122"/>
    <w:rsid w:val="00F452FD"/>
    <w:rsid w:val="00F86B2E"/>
    <w:rsid w:val="00F93853"/>
    <w:rsid w:val="00F95CE2"/>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nasdaqomxphlx.cchwallstreet.com/NASDAQOMXPHLX/NFX/" TargetMode="External"/><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166f6a82-50a4-42c0-9400-0a7a4fbbb397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2018-02-14T20:47:36+00:00</Document_x0020_Date>
    <Document_x0020_No xmlns="4b47aac5-4c46-444f-8595-ce09b406fc61">38057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FE7B0-3D46-4D10-B46E-BBC962A0AF8A}"/>
</file>

<file path=customXml/itemProps2.xml><?xml version="1.0" encoding="utf-8"?>
<ds:datastoreItem xmlns:ds="http://schemas.openxmlformats.org/officeDocument/2006/customXml" ds:itemID="{742AE1E5-549E-435C-A1FE-DEDA0A41805C}"/>
</file>

<file path=customXml/itemProps3.xml><?xml version="1.0" encoding="utf-8"?>
<ds:datastoreItem xmlns:ds="http://schemas.openxmlformats.org/officeDocument/2006/customXml" ds:itemID="{1ECBB18B-C3D8-488D-8064-5B7F71B957B8}"/>
</file>

<file path=customXml/itemProps4.xml><?xml version="1.0" encoding="utf-8"?>
<ds:datastoreItem xmlns:ds="http://schemas.openxmlformats.org/officeDocument/2006/customXml" ds:itemID="{CCB2A8A7-6261-4B3E-B534-954DAFEF531F}"/>
</file>

<file path=customXml/itemProps5.xml><?xml version="1.0" encoding="utf-8"?>
<ds:datastoreItem xmlns:ds="http://schemas.openxmlformats.org/officeDocument/2006/customXml" ds:itemID="{92EC6062-844B-4C6A-958B-43B1691AC752}"/>
</file>

<file path=docProps/app.xml><?xml version="1.0" encoding="utf-8"?>
<Properties xmlns="http://schemas.openxmlformats.org/officeDocument/2006/extended-properties" xmlns:vt="http://schemas.openxmlformats.org/officeDocument/2006/docPropsVTypes">
  <Template>Normal</Template>
  <TotalTime>5</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Steve Matthews</cp:lastModifiedBy>
  <cp:revision>5</cp:revision>
  <cp:lastPrinted>2017-11-14T19:26:00Z</cp:lastPrinted>
  <dcterms:created xsi:type="dcterms:W3CDTF">2018-02-13T15:16:00Z</dcterms:created>
  <dcterms:modified xsi:type="dcterms:W3CDTF">2018-02-14T19:45:00Z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5175300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