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0925" w14:textId="77777777" w:rsidR="0008423C" w:rsidRPr="00E1206A" w:rsidRDefault="0008423C" w:rsidP="0008423C">
      <w:pPr>
        <w:pStyle w:val="NoSpacing"/>
        <w:ind w:left="2620" w:firstLine="1310"/>
        <w:rPr>
          <w:rFonts w:ascii="Times New Roman" w:eastAsia="Calibri" w:hAnsi="Times New Roman" w:cs="Times New Roman"/>
          <w:b/>
          <w:bCs/>
          <w:sz w:val="24"/>
          <w:szCs w:val="24"/>
        </w:rPr>
      </w:pPr>
      <w:r w:rsidRPr="00E1206A">
        <w:rPr>
          <w:rFonts w:ascii="Times New Roman" w:eastAsia="Calibri" w:hAnsi="Times New Roman" w:cs="Times New Roman"/>
          <w:b/>
          <w:bCs/>
          <w:color w:val="333333"/>
          <w:sz w:val="24"/>
          <w:szCs w:val="24"/>
        </w:rPr>
        <w:t>Rule Self-Certification</w:t>
      </w:r>
    </w:p>
    <w:p w14:paraId="347B0926" w14:textId="77777777" w:rsidR="0008423C" w:rsidRPr="00E1206A" w:rsidRDefault="0008423C" w:rsidP="0008423C">
      <w:pPr>
        <w:pStyle w:val="NoSpacing"/>
        <w:rPr>
          <w:rFonts w:ascii="Times New Roman" w:eastAsia="Calibri" w:hAnsi="Times New Roman" w:cs="Times New Roman"/>
          <w:sz w:val="24"/>
          <w:szCs w:val="24"/>
          <w:u w:val="single"/>
        </w:rPr>
      </w:pPr>
    </w:p>
    <w:p w14:paraId="347B0927" w14:textId="77777777" w:rsidR="0008423C" w:rsidRPr="00E1206A" w:rsidRDefault="0008423C" w:rsidP="0008423C">
      <w:pPr>
        <w:pStyle w:val="NoSpacing"/>
        <w:rPr>
          <w:rFonts w:ascii="Times New Roman" w:hAnsi="Times New Roman" w:cs="Times New Roman"/>
          <w:sz w:val="24"/>
          <w:szCs w:val="24"/>
        </w:rPr>
      </w:pPr>
    </w:p>
    <w:p w14:paraId="347B0928" w14:textId="213A1FFD" w:rsidR="0008423C" w:rsidRPr="00E1206A" w:rsidRDefault="00B53FAF" w:rsidP="0008423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9464C">
        <w:rPr>
          <w:rFonts w:ascii="Times New Roman" w:eastAsia="Calibri" w:hAnsi="Times New Roman" w:cs="Times New Roman"/>
          <w:noProof/>
          <w:sz w:val="24"/>
          <w:szCs w:val="24"/>
        </w:rPr>
        <w:t>February 16, 2017</w:t>
      </w:r>
      <w:r>
        <w:rPr>
          <w:rFonts w:ascii="Times New Roman" w:eastAsia="Calibri" w:hAnsi="Times New Roman" w:cs="Times New Roman"/>
          <w:sz w:val="24"/>
          <w:szCs w:val="24"/>
        </w:rPr>
        <w:fldChar w:fldCharType="end"/>
      </w:r>
    </w:p>
    <w:p w14:paraId="347B0929" w14:textId="77777777" w:rsidR="0008423C" w:rsidRPr="00E1206A" w:rsidRDefault="0008423C" w:rsidP="0008423C">
      <w:pPr>
        <w:pStyle w:val="NoSpacing"/>
        <w:rPr>
          <w:rFonts w:ascii="Times New Roman" w:eastAsia="Calibri" w:hAnsi="Times New Roman" w:cs="Times New Roman"/>
          <w:sz w:val="24"/>
          <w:szCs w:val="24"/>
        </w:rPr>
      </w:pPr>
    </w:p>
    <w:p w14:paraId="347B092A"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p>
    <w:p w14:paraId="347B092B"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p>
    <w:p w14:paraId="347B092C"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p>
    <w:p w14:paraId="347B092D"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p>
    <w:p w14:paraId="347B092E"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w:t>
      </w:r>
      <w:bookmarkStart w:id="0" w:name="_GoBack"/>
      <w:r w:rsidRPr="00E1206A">
        <w:rPr>
          <w:rFonts w:ascii="Times New Roman" w:eastAsia="Calibri" w:hAnsi="Times New Roman" w:cs="Times New Roman"/>
          <w:sz w:val="24"/>
          <w:szCs w:val="24"/>
        </w:rPr>
        <w:t>1</w:t>
      </w:r>
      <w:r w:rsidRPr="00E1206A">
        <w:rPr>
          <w:rFonts w:ascii="Times New Roman" w:eastAsia="Calibri" w:hAnsi="Times New Roman" w:cs="Times New Roman"/>
          <w:sz w:val="24"/>
          <w:szCs w:val="24"/>
          <w:vertAlign w:val="superscript"/>
        </w:rPr>
        <w:t>st</w:t>
      </w:r>
      <w:bookmarkEnd w:id="0"/>
      <w:r w:rsidRPr="00E1206A">
        <w:rPr>
          <w:rFonts w:ascii="Times New Roman" w:eastAsia="Calibri" w:hAnsi="Times New Roman" w:cs="Times New Roman"/>
          <w:sz w:val="24"/>
          <w:szCs w:val="24"/>
        </w:rPr>
        <w:t xml:space="preserve"> Street, NW</w:t>
      </w:r>
    </w:p>
    <w:p w14:paraId="347B092F"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347B0930" w14:textId="77777777" w:rsidR="0008423C" w:rsidRPr="00E1206A" w:rsidRDefault="0008423C" w:rsidP="0008423C">
      <w:pPr>
        <w:pStyle w:val="NoSpacing"/>
        <w:rPr>
          <w:rFonts w:ascii="Times New Roman" w:eastAsia="Times New Roman" w:hAnsi="Times New Roman" w:cs="Times New Roman"/>
          <w:sz w:val="24"/>
          <w:szCs w:val="24"/>
        </w:rPr>
      </w:pPr>
    </w:p>
    <w:p w14:paraId="347B0931" w14:textId="77777777" w:rsidR="0008423C" w:rsidRPr="00E1206A" w:rsidRDefault="0008423C" w:rsidP="0008423C">
      <w:pPr>
        <w:pStyle w:val="NoSpacing"/>
        <w:ind w:left="720"/>
        <w:rPr>
          <w:rFonts w:ascii="Times New Roman" w:eastAsia="Calibri" w:hAnsi="Times New Roman" w:cs="Times New Roman"/>
          <w:b/>
          <w:sz w:val="24"/>
          <w:szCs w:val="24"/>
        </w:rPr>
      </w:pPr>
      <w:r w:rsidRPr="00E1206A">
        <w:rPr>
          <w:rFonts w:ascii="Times New Roman" w:eastAsia="Calibri" w:hAnsi="Times New Roman" w:cs="Times New Roman"/>
          <w:sz w:val="24"/>
          <w:szCs w:val="24"/>
        </w:rPr>
        <w:t xml:space="preserve">Re:  </w:t>
      </w:r>
      <w:r w:rsidRPr="00E1206A">
        <w:rPr>
          <w:rFonts w:ascii="Times New Roman" w:eastAsia="Calibri" w:hAnsi="Times New Roman" w:cs="Times New Roman"/>
          <w:b/>
          <w:sz w:val="24"/>
          <w:szCs w:val="24"/>
        </w:rPr>
        <w:t xml:space="preserve">Various Rules Associated With </w:t>
      </w:r>
    </w:p>
    <w:p w14:paraId="347B0932" w14:textId="23309CE6" w:rsidR="0008423C" w:rsidRPr="00E1206A" w:rsidRDefault="0008423C" w:rsidP="0008423C">
      <w:pPr>
        <w:tabs>
          <w:tab w:val="left" w:pos="1170"/>
        </w:tabs>
        <w:spacing w:after="0" w:line="240" w:lineRule="auto"/>
        <w:ind w:left="1170" w:hanging="630"/>
        <w:rPr>
          <w:rFonts w:ascii="Times New Roman" w:eastAsia="Calibri" w:hAnsi="Times New Roman" w:cs="Times New Roman"/>
          <w:b/>
          <w:sz w:val="24"/>
          <w:szCs w:val="24"/>
        </w:rPr>
      </w:pPr>
      <w:r w:rsidRPr="00E1206A">
        <w:rPr>
          <w:rFonts w:ascii="Times New Roman" w:eastAsia="Times New Roman" w:hAnsi="Times New Roman" w:cs="Times New Roman"/>
          <w:b/>
          <w:bCs/>
          <w:sz w:val="24"/>
          <w:szCs w:val="24"/>
        </w:rPr>
        <w:tab/>
        <w:t xml:space="preserve">NFX </w:t>
      </w:r>
      <w:r w:rsidR="004F638E">
        <w:rPr>
          <w:rFonts w:ascii="Times New Roman" w:eastAsia="Times New Roman" w:hAnsi="Times New Roman" w:cs="Times New Roman"/>
          <w:b/>
          <w:bCs/>
          <w:sz w:val="24"/>
          <w:szCs w:val="24"/>
        </w:rPr>
        <w:t>Options on Heating Oil and RBOB Gasoline Futures</w:t>
      </w:r>
    </w:p>
    <w:p w14:paraId="347B0933" w14:textId="0D7C6EF8" w:rsidR="0008423C" w:rsidRPr="00E1206A" w:rsidRDefault="0008423C" w:rsidP="0008423C">
      <w:pPr>
        <w:pStyle w:val="NoSpacing"/>
        <w:ind w:left="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rPr>
        <w:t xml:space="preserve">       </w:t>
      </w:r>
      <w:r w:rsidRPr="00E1206A">
        <w:rPr>
          <w:rFonts w:ascii="Times New Roman" w:eastAsia="Calibri" w:hAnsi="Times New Roman" w:cs="Times New Roman"/>
          <w:b/>
          <w:sz w:val="24"/>
          <w:szCs w:val="24"/>
          <w:u w:val="single"/>
        </w:rPr>
        <w:t xml:space="preserve">Reference File: </w:t>
      </w:r>
      <w:r w:rsidRPr="004F638E">
        <w:rPr>
          <w:rFonts w:ascii="Times New Roman" w:eastAsia="Calibri" w:hAnsi="Times New Roman" w:cs="Times New Roman"/>
          <w:b/>
          <w:sz w:val="24"/>
          <w:szCs w:val="24"/>
          <w:u w:val="single"/>
        </w:rPr>
        <w:t>SR-NFX-201</w:t>
      </w:r>
      <w:r w:rsidR="004F638E" w:rsidRPr="004F638E">
        <w:rPr>
          <w:rFonts w:ascii="Times New Roman" w:eastAsia="Calibri" w:hAnsi="Times New Roman" w:cs="Times New Roman"/>
          <w:b/>
          <w:sz w:val="24"/>
          <w:szCs w:val="24"/>
          <w:u w:val="single"/>
        </w:rPr>
        <w:t>7</w:t>
      </w:r>
      <w:r w:rsidRPr="004F638E">
        <w:rPr>
          <w:rFonts w:ascii="Times New Roman" w:eastAsia="Calibri" w:hAnsi="Times New Roman" w:cs="Times New Roman"/>
          <w:b/>
          <w:sz w:val="24"/>
          <w:szCs w:val="24"/>
          <w:u w:val="single"/>
        </w:rPr>
        <w:t>-</w:t>
      </w:r>
      <w:r w:rsidR="00F9464C">
        <w:rPr>
          <w:rFonts w:ascii="Times New Roman" w:eastAsia="Calibri" w:hAnsi="Times New Roman" w:cs="Times New Roman"/>
          <w:b/>
          <w:sz w:val="24"/>
          <w:szCs w:val="24"/>
          <w:u w:val="single"/>
        </w:rPr>
        <w:t>04</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10FB2DF0" w:rsidR="00154FD5" w:rsidRPr="00E1206A" w:rsidRDefault="005E3020" w:rsidP="004F638E">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w:t>
      </w:r>
      <w:proofErr w:type="gramStart"/>
      <w:r w:rsidRPr="00E1206A">
        <w:rPr>
          <w:rFonts w:ascii="Times New Roman" w:eastAsia="Calibri" w:hAnsi="Times New Roman" w:cs="Times New Roman"/>
          <w:sz w:val="24"/>
          <w:szCs w:val="24"/>
        </w:rPr>
        <w:t>)(</w:t>
      </w:r>
      <w:proofErr w:type="gramEnd"/>
      <w:r w:rsidRPr="00E1206A">
        <w:rPr>
          <w:rFonts w:ascii="Times New Roman" w:eastAsia="Calibri" w:hAnsi="Times New Roman" w:cs="Times New Roman"/>
          <w:sz w:val="24"/>
          <w:szCs w:val="24"/>
        </w:rPr>
        <w:t>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reporting times, trading hours, daily settlement prices and non-reviewable ranges for </w:t>
      </w:r>
      <w:r w:rsidR="004F638E" w:rsidRPr="000011A2">
        <w:rPr>
          <w:rFonts w:ascii="Times New Roman" w:eastAsia="Calibri" w:hAnsi="Times New Roman" w:cs="Times New Roman"/>
          <w:sz w:val="24"/>
          <w:szCs w:val="24"/>
        </w:rPr>
        <w:t xml:space="preserve">NFX </w:t>
      </w:r>
      <w:r w:rsidR="004F638E">
        <w:rPr>
          <w:rFonts w:ascii="Times New Roman" w:eastAsia="Calibri" w:hAnsi="Times New Roman" w:cs="Times New Roman"/>
          <w:sz w:val="24"/>
          <w:szCs w:val="24"/>
        </w:rPr>
        <w:t xml:space="preserve">Options on Heating Oil Penultimate Financial Futures and NFX Options on NFX RBOB Gasoline Penultimate Financial Futures </w:t>
      </w:r>
      <w:r w:rsidR="004F638E" w:rsidRPr="000011A2">
        <w:rPr>
          <w:rFonts w:ascii="Times New Roman" w:eastAsia="Calibri" w:hAnsi="Times New Roman" w:cs="Times New Roman"/>
          <w:sz w:val="24"/>
          <w:szCs w:val="24"/>
        </w:rPr>
        <w:t>(</w:t>
      </w:r>
      <w:r w:rsidR="004F638E">
        <w:rPr>
          <w:rFonts w:ascii="Times New Roman" w:eastAsia="Calibri" w:hAnsi="Times New Roman" w:cs="Times New Roman"/>
          <w:sz w:val="24"/>
          <w:szCs w:val="24"/>
        </w:rPr>
        <w:t>“NFX Options”)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4F638E">
        <w:rPr>
          <w:rFonts w:ascii="Times New Roman" w:eastAsia="Calibri" w:hAnsi="Times New Roman" w:cs="Times New Roman"/>
          <w:sz w:val="24"/>
          <w:szCs w:val="24"/>
        </w:rPr>
        <w:t>NFX Options</w:t>
      </w:r>
      <w:r w:rsidR="004F638E" w:rsidRPr="004F638E">
        <w:rPr>
          <w:rFonts w:ascii="Times New Roman" w:eastAsia="Times New Roman" w:hAnsi="Times New Roman" w:cs="Times New Roman"/>
          <w:bCs/>
          <w:sz w:val="24"/>
          <w:szCs w:val="24"/>
        </w:rPr>
        <w:t xml:space="preserve"> </w:t>
      </w:r>
      <w:r w:rsidR="00154FD5" w:rsidRPr="00E1206A">
        <w:rPr>
          <w:rFonts w:ascii="Times New Roman" w:eastAsia="Calibri" w:hAnsi="Times New Roman" w:cs="Times New Roman"/>
          <w:sz w:val="24"/>
          <w:szCs w:val="24"/>
        </w:rPr>
        <w:t xml:space="preserve">beginning </w:t>
      </w:r>
      <w:r w:rsidR="00F9464C">
        <w:rPr>
          <w:rFonts w:ascii="Times New Roman" w:eastAsia="Calibri" w:hAnsi="Times New Roman" w:cs="Times New Roman"/>
          <w:sz w:val="24"/>
          <w:szCs w:val="24"/>
        </w:rPr>
        <w:t>March 14</w:t>
      </w:r>
      <w:r w:rsidR="004F638E">
        <w:rPr>
          <w:rFonts w:ascii="Times New Roman" w:eastAsia="Calibri" w:hAnsi="Times New Roman" w:cs="Times New Roman"/>
          <w:sz w:val="24"/>
          <w:szCs w:val="24"/>
        </w:rPr>
        <w:t xml:space="preserve">, 2017 for trade date </w:t>
      </w:r>
      <w:r w:rsidR="00F9464C">
        <w:rPr>
          <w:rFonts w:ascii="Times New Roman" w:eastAsia="Calibri" w:hAnsi="Times New Roman" w:cs="Times New Roman"/>
          <w:sz w:val="24"/>
          <w:szCs w:val="24"/>
        </w:rPr>
        <w:t>March 15</w:t>
      </w:r>
      <w:r w:rsidR="004F638E">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347B0939" w14:textId="65CF0489" w:rsidR="00154FD5" w:rsidRPr="00E1206A" w:rsidRDefault="00154FD5"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each </w:t>
      </w:r>
      <w:r w:rsidR="004F638E">
        <w:rPr>
          <w:rFonts w:ascii="Times New Roman" w:eastAsia="Times New Roman" w:hAnsi="Times New Roman" w:cs="Times New Roman"/>
          <w:bCs/>
          <w:sz w:val="24"/>
          <w:szCs w:val="24"/>
        </w:rPr>
        <w:t xml:space="preserve">NFX Options </w:t>
      </w:r>
      <w:r w:rsidRPr="00E1206A">
        <w:rPr>
          <w:rFonts w:ascii="Times New Roman" w:eastAsia="Calibri" w:hAnsi="Times New Roman" w:cs="Times New Roman"/>
          <w:sz w:val="24"/>
          <w:szCs w:val="24"/>
        </w:rPr>
        <w:t xml:space="preserve">is listed below, followed by its symbol in parentheses:  </w:t>
      </w:r>
    </w:p>
    <w:p w14:paraId="6FF0AC24" w14:textId="77777777" w:rsidR="004F638E" w:rsidRPr="00E93997" w:rsidRDefault="004F638E" w:rsidP="004F638E">
      <w:pPr>
        <w:pStyle w:val="ListParagraph"/>
        <w:numPr>
          <w:ilvl w:val="0"/>
          <w:numId w:val="1"/>
        </w:numPr>
        <w:spacing w:before="150" w:after="15" w:line="240" w:lineRule="auto"/>
        <w:outlineLvl w:val="3"/>
        <w:rPr>
          <w:rFonts w:ascii="Times New Roman" w:eastAsia="Times New Roman" w:hAnsi="Times New Roman" w:cs="Times New Roman"/>
          <w:b/>
          <w:bCs/>
          <w:color w:val="333333"/>
          <w:sz w:val="24"/>
          <w:szCs w:val="24"/>
        </w:rPr>
      </w:pPr>
      <w:r w:rsidRPr="00E93997">
        <w:rPr>
          <w:rFonts w:ascii="Times New Roman" w:eastAsia="Times New Roman" w:hAnsi="Times New Roman" w:cs="Times New Roman"/>
          <w:b/>
          <w:bCs/>
          <w:color w:val="333333"/>
          <w:sz w:val="24"/>
          <w:szCs w:val="24"/>
        </w:rPr>
        <w:t>NFX Options on NFX Heating Oil Penultimate Financial Futures (OOQ)</w:t>
      </w:r>
    </w:p>
    <w:p w14:paraId="7F08E579" w14:textId="77777777" w:rsidR="004F638E" w:rsidRPr="00E93997" w:rsidRDefault="004F638E" w:rsidP="004F638E">
      <w:pPr>
        <w:pStyle w:val="NoSpacing"/>
        <w:numPr>
          <w:ilvl w:val="0"/>
          <w:numId w:val="1"/>
        </w:numPr>
        <w:rPr>
          <w:rFonts w:ascii="Times New Roman" w:eastAsia="Calibri" w:hAnsi="Times New Roman" w:cs="Times New Roman"/>
          <w:sz w:val="24"/>
          <w:szCs w:val="24"/>
        </w:rPr>
      </w:pPr>
      <w:r w:rsidRPr="00E93997">
        <w:rPr>
          <w:rFonts w:ascii="Times New Roman" w:eastAsia="Times New Roman" w:hAnsi="Times New Roman" w:cs="Times New Roman"/>
          <w:b/>
          <w:bCs/>
          <w:color w:val="333333"/>
          <w:sz w:val="24"/>
          <w:szCs w:val="24"/>
        </w:rPr>
        <w:t>NFX Options on NFX RBOB Gasoline Penultimate Financial Futures (ROQ)</w:t>
      </w:r>
      <w:r w:rsidRPr="00E93997">
        <w:rPr>
          <w:rFonts w:ascii="Times New Roman" w:eastAsia="Calibri" w:hAnsi="Times New Roman" w:cs="Times New Roman"/>
          <w:sz w:val="24"/>
          <w:szCs w:val="24"/>
        </w:rPr>
        <w:t xml:space="preserve"> </w:t>
      </w:r>
    </w:p>
    <w:p w14:paraId="347B095E" w14:textId="77777777" w:rsidR="00154FD5" w:rsidRPr="00E1206A" w:rsidRDefault="00154FD5" w:rsidP="00154FD5">
      <w:pPr>
        <w:pStyle w:val="NoSpacing"/>
        <w:ind w:firstLine="720"/>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4" w14:textId="42D3EDA7" w:rsidR="0008423C" w:rsidRPr="00E1206A" w:rsidRDefault="0008423C" w:rsidP="0008423C">
      <w:pPr>
        <w:pStyle w:val="NoSpacing"/>
        <w:ind w:firstLine="1310"/>
        <w:rPr>
          <w:rFonts w:ascii="Times New Roman" w:hAnsi="Times New Roman" w:cs="Times New Roman"/>
          <w:sz w:val="24"/>
          <w:szCs w:val="24"/>
        </w:rPr>
      </w:pPr>
      <w:r w:rsidRPr="00E1206A">
        <w:rPr>
          <w:rFonts w:ascii="Times New Roman" w:hAnsi="Times New Roman" w:cs="Times New Roman"/>
          <w:sz w:val="24"/>
          <w:szCs w:val="24"/>
          <w:u w:val="single"/>
        </w:rPr>
        <w:t xml:space="preserve">Trading Hours. </w:t>
      </w:r>
      <w:r w:rsidRPr="00E1206A">
        <w:rPr>
          <w:rFonts w:ascii="Times New Roman" w:hAnsi="Times New Roman" w:cs="Times New Roman"/>
          <w:sz w:val="24"/>
          <w:szCs w:val="24"/>
        </w:rPr>
        <w:t xml:space="preserve">The Introduction to Rulebook Appendix A provides that unless otherwise specified by the Exchange, the regular Exchange trading days and hours for each contract, other than on the last trading day for the contract, will be </w:t>
      </w:r>
      <w:r w:rsidRPr="0024490B">
        <w:rPr>
          <w:rFonts w:ascii="Times New Roman" w:hAnsi="Times New Roman" w:cs="Times New Roman"/>
          <w:sz w:val="24"/>
          <w:szCs w:val="24"/>
        </w:rPr>
        <w:t>Sunday - Friday, 7:00 PM EPT - 5:00 PM EPT, with a two hour break each day beginning at 5:00 PM EPT.  Thus, the 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 terminates at the time specified in the rules specific to each contract</w:t>
      </w:r>
      <w:r w:rsidRPr="00E1206A">
        <w:rPr>
          <w:rFonts w:ascii="Times New Roman" w:hAnsi="Times New Roman" w:cs="Times New Roman"/>
          <w:sz w:val="24"/>
          <w:szCs w:val="24"/>
        </w:rPr>
        <w:t xml:space="preserve">. The </w:t>
      </w:r>
      <w:r w:rsidR="0024490B">
        <w:rPr>
          <w:rFonts w:ascii="Times New Roman" w:hAnsi="Times New Roman" w:cs="Times New Roman"/>
          <w:sz w:val="24"/>
          <w:szCs w:val="24"/>
        </w:rPr>
        <w:t>NFX Options</w:t>
      </w:r>
      <w:r w:rsidR="0024490B">
        <w:rPr>
          <w:rFonts w:ascii="Times New Roman" w:eastAsia="Times New Roman" w:hAnsi="Times New Roman" w:cs="Times New Roman"/>
          <w:bCs/>
          <w:sz w:val="24"/>
          <w:szCs w:val="24"/>
        </w:rPr>
        <w:t xml:space="preserve"> </w:t>
      </w:r>
      <w:r w:rsidRPr="00E1206A">
        <w:rPr>
          <w:rFonts w:ascii="Times New Roman" w:hAnsi="Times New Roman" w:cs="Times New Roman"/>
          <w:sz w:val="24"/>
          <w:szCs w:val="24"/>
        </w:rPr>
        <w:t xml:space="preserve">will have the regular Exchange trading days and hours. The rules set forth in </w:t>
      </w:r>
      <w:r w:rsidRPr="00E1206A">
        <w:rPr>
          <w:rFonts w:ascii="Times New Roman" w:hAnsi="Times New Roman" w:cs="Times New Roman"/>
          <w:sz w:val="24"/>
          <w:szCs w:val="24"/>
          <w:u w:val="single"/>
        </w:rPr>
        <w:t xml:space="preserve">Exhibit </w:t>
      </w:r>
      <w:r w:rsidR="00543CA2" w:rsidRPr="00E1206A">
        <w:rPr>
          <w:rFonts w:ascii="Times New Roman" w:hAnsi="Times New Roman" w:cs="Times New Roman"/>
          <w:sz w:val="24"/>
          <w:szCs w:val="24"/>
          <w:u w:val="single"/>
        </w:rPr>
        <w:t>A</w:t>
      </w:r>
      <w:r w:rsidR="005F3337">
        <w:rPr>
          <w:rFonts w:ascii="Times New Roman" w:hAnsi="Times New Roman" w:cs="Times New Roman"/>
          <w:sz w:val="24"/>
          <w:szCs w:val="24"/>
        </w:rPr>
        <w:t xml:space="preserve"> </w:t>
      </w:r>
      <w:r w:rsidRPr="00E1206A">
        <w:rPr>
          <w:rFonts w:ascii="Times New Roman" w:hAnsi="Times New Roman" w:cs="Times New Roman"/>
          <w:sz w:val="24"/>
          <w:szCs w:val="24"/>
        </w:rPr>
        <w:t xml:space="preserve">specify that trading ceases at </w:t>
      </w:r>
      <w:r w:rsidR="0024490B">
        <w:rPr>
          <w:rFonts w:ascii="Times New Roman" w:hAnsi="Times New Roman" w:cs="Times New Roman"/>
          <w:sz w:val="24"/>
          <w:szCs w:val="24"/>
        </w:rPr>
        <w:t>2:30</w:t>
      </w:r>
      <w:r w:rsidR="0024490B" w:rsidRPr="0024490B">
        <w:rPr>
          <w:rFonts w:ascii="Times New Roman" w:hAnsi="Times New Roman" w:cs="Times New Roman"/>
          <w:sz w:val="24"/>
          <w:szCs w:val="24"/>
        </w:rPr>
        <w:t xml:space="preserve"> </w:t>
      </w:r>
      <w:r w:rsidRPr="0024490B">
        <w:rPr>
          <w:rFonts w:ascii="Times New Roman" w:hAnsi="Times New Roman" w:cs="Times New Roman"/>
          <w:sz w:val="24"/>
          <w:szCs w:val="24"/>
        </w:rPr>
        <w:t>PM EPT on the last trading day</w:t>
      </w:r>
      <w:r w:rsidRPr="00E1206A">
        <w:rPr>
          <w:rFonts w:ascii="Times New Roman" w:hAnsi="Times New Roman" w:cs="Times New Roman"/>
          <w:sz w:val="24"/>
          <w:szCs w:val="24"/>
        </w:rPr>
        <w:t>.</w:t>
      </w:r>
      <w:r w:rsidRPr="00E1206A">
        <w:rPr>
          <w:rStyle w:val="FootnoteReference"/>
          <w:rFonts w:ascii="Times New Roman" w:hAnsi="Times New Roman" w:cs="Times New Roman"/>
          <w:sz w:val="24"/>
          <w:szCs w:val="24"/>
        </w:rPr>
        <w:footnoteReference w:id="2"/>
      </w:r>
    </w:p>
    <w:p w14:paraId="347B0965" w14:textId="77777777" w:rsidR="0008423C" w:rsidRPr="00E1206A" w:rsidRDefault="0008423C" w:rsidP="0008423C">
      <w:pPr>
        <w:pStyle w:val="NoSpacing"/>
        <w:ind w:firstLine="1310"/>
        <w:rPr>
          <w:rFonts w:ascii="Times New Roman" w:hAnsi="Times New Roman" w:cs="Times New Roman"/>
          <w:position w:val="8"/>
          <w:sz w:val="24"/>
          <w:szCs w:val="24"/>
          <w:vertAlign w:val="superscript"/>
        </w:rPr>
      </w:pPr>
    </w:p>
    <w:p w14:paraId="347B0966" w14:textId="448367BF" w:rsidR="0008423C" w:rsidRPr="00E1206A"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3"/>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24490B">
        <w:rPr>
          <w:rFonts w:ascii="Times New Roman" w:eastAsia="Times New Roman" w:hAnsi="Times New Roman" w:cs="Times New Roman"/>
          <w:bCs/>
          <w:sz w:val="24"/>
          <w:szCs w:val="24"/>
        </w:rPr>
        <w:t>NFX Options</w:t>
      </w:r>
      <w:r w:rsidR="00682A97" w:rsidRPr="00E1206A">
        <w:rPr>
          <w:rFonts w:ascii="Times New Roman" w:eastAsia="Calibri" w:hAnsi="Times New Roman" w:cs="Times New Roman"/>
          <w:sz w:val="24"/>
          <w:szCs w:val="24"/>
        </w:rPr>
        <w:t xml:space="preserve"> </w:t>
      </w:r>
      <w:r w:rsidRPr="00E1206A">
        <w:rPr>
          <w:rFonts w:ascii="Times New Roman" w:hAnsi="Times New Roman" w:cs="Times New Roman"/>
          <w:sz w:val="24"/>
          <w:szCs w:val="24"/>
        </w:rPr>
        <w:t xml:space="preserve">are eligible for block trades.  The block trade minimum quantity threshold is set at </w:t>
      </w:r>
      <w:r w:rsidR="0024490B" w:rsidRPr="0024490B">
        <w:rPr>
          <w:rFonts w:ascii="Times New Roman" w:hAnsi="Times New Roman" w:cs="Times New Roman"/>
          <w:sz w:val="24"/>
          <w:szCs w:val="24"/>
        </w:rPr>
        <w:t>25</w:t>
      </w:r>
      <w:r w:rsidRPr="00E1206A">
        <w:rPr>
          <w:rFonts w:ascii="Times New Roman" w:hAnsi="Times New Roman" w:cs="Times New Roman"/>
          <w:sz w:val="24"/>
          <w:szCs w:val="24"/>
        </w:rPr>
        <w:t xml:space="preserve"> contracts and the Reporting Window is set at </w:t>
      </w:r>
      <w:r w:rsidRPr="0024490B">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E1206A" w:rsidRPr="00E1206A">
        <w:rPr>
          <w:rFonts w:ascii="Times New Roman" w:eastAsia="Times New Roman" w:hAnsi="Times New Roman" w:cs="Times New Roman"/>
          <w:sz w:val="24"/>
          <w:szCs w:val="24"/>
        </w:rPr>
        <w:t xml:space="preserve">Spot month position limits for the </w:t>
      </w:r>
      <w:r w:rsidR="0024490B">
        <w:rPr>
          <w:rFonts w:ascii="Times New Roman" w:eastAsia="Times New Roman" w:hAnsi="Times New Roman" w:cs="Times New Roman"/>
          <w:bCs/>
          <w:sz w:val="24"/>
          <w:szCs w:val="24"/>
        </w:rPr>
        <w:t xml:space="preserve">NFX Options </w:t>
      </w:r>
      <w:r w:rsidR="00E1206A" w:rsidRPr="00E1206A">
        <w:rPr>
          <w:rFonts w:ascii="Times New Roman" w:eastAsia="Times New Roman" w:hAnsi="Times New Roman" w:cs="Times New Roman"/>
          <w:sz w:val="24"/>
          <w:szCs w:val="24"/>
        </w:rPr>
        <w:t xml:space="preserve">set forth on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are consistent with those for comparable contracts listed by </w:t>
      </w:r>
      <w:r w:rsidR="0024490B" w:rsidRPr="0024490B">
        <w:rPr>
          <w:rFonts w:ascii="Times New Roman" w:eastAsia="Times New Roman" w:hAnsi="Times New Roman" w:cs="Times New Roman"/>
          <w:sz w:val="24"/>
          <w:szCs w:val="24"/>
        </w:rPr>
        <w:t>NYMEX</w:t>
      </w:r>
      <w:r w:rsidRPr="0024490B">
        <w:rPr>
          <w:rFonts w:ascii="Times New Roman" w:hAnsi="Times New Roman" w:cs="Times New Roman"/>
          <w:sz w:val="24"/>
          <w:szCs w:val="24"/>
        </w:rPr>
        <w:t>.</w:t>
      </w:r>
      <w:r w:rsidRPr="0024490B">
        <w:rPr>
          <w:rStyle w:val="FootnoteReference"/>
          <w:rFonts w:ascii="Times New Roman" w:hAnsi="Times New Roman" w:cs="Times New Roman"/>
          <w:sz w:val="24"/>
          <w:szCs w:val="24"/>
        </w:rPr>
        <w:footnoteReference w:id="4"/>
      </w:r>
      <w:r w:rsidRPr="00E1206A">
        <w:rPr>
          <w:rFonts w:ascii="Times New Roman" w:hAnsi="Times New Roman" w:cs="Times New Roman"/>
          <w:sz w:val="24"/>
          <w:szCs w:val="24"/>
        </w:rPr>
        <w:t xml:space="preserve"> </w:t>
      </w:r>
    </w:p>
    <w:p w14:paraId="347B0967" w14:textId="77777777" w:rsidR="0008423C" w:rsidRPr="00E1206A" w:rsidRDefault="0008423C" w:rsidP="0008423C">
      <w:pPr>
        <w:pStyle w:val="Default"/>
        <w:ind w:firstLine="1310"/>
        <w:rPr>
          <w:color w:val="auto"/>
        </w:rPr>
      </w:pPr>
    </w:p>
    <w:p w14:paraId="347B0968" w14:textId="6BCB41D2" w:rsidR="0008423C" w:rsidRPr="00E1206A" w:rsidRDefault="0008423C" w:rsidP="0008423C">
      <w:pPr>
        <w:pStyle w:val="NoSpacing"/>
        <w:ind w:firstLine="1310"/>
        <w:contextualSpacing/>
        <w:rPr>
          <w:rFonts w:ascii="Times New Roman" w:hAnsi="Times New Roman" w:cs="Times New Roman"/>
          <w:sz w:val="24"/>
          <w:szCs w:val="24"/>
        </w:rPr>
      </w:pPr>
      <w:r w:rsidRPr="00E1206A">
        <w:rPr>
          <w:rFonts w:ascii="Times New Roman" w:hAnsi="Times New Roman" w:cs="Times New Roman"/>
          <w:sz w:val="24"/>
          <w:szCs w:val="24"/>
          <w:u w:val="single"/>
        </w:rPr>
        <w:lastRenderedPageBreak/>
        <w:t>Daily Settlement Price</w:t>
      </w:r>
      <w:r w:rsidRPr="00E1206A">
        <w:rPr>
          <w:rFonts w:ascii="Times New Roman" w:hAnsi="Times New Roman" w:cs="Times New Roman"/>
          <w:sz w:val="24"/>
          <w:szCs w:val="24"/>
        </w:rPr>
        <w:t>. Chapter V, Section 3 of the rulebook provides in part that the Exchange shall establish daily settlement prices at the time and using the methodology established by the Exchange as described in the contract specifications.  Further, the new rules provide that if the daily settlement price described in the rule is unavailable, the Exchange may in its sole discretion establish a daily settlement price that it deems to be a fair and reasonable reflection of the market.</w:t>
      </w:r>
      <w:r w:rsidRPr="00E1206A">
        <w:rPr>
          <w:rStyle w:val="FootnoteReference"/>
          <w:rFonts w:ascii="Times New Roman" w:hAnsi="Times New Roman" w:cs="Times New Roman"/>
          <w:sz w:val="24"/>
          <w:szCs w:val="24"/>
        </w:rPr>
        <w:footnoteReference w:id="5"/>
      </w:r>
      <w:r w:rsidRPr="00E1206A">
        <w:rPr>
          <w:rFonts w:ascii="Times New Roman" w:hAnsi="Times New Roman" w:cs="Times New Roman"/>
          <w:sz w:val="24"/>
          <w:szCs w:val="24"/>
        </w:rPr>
        <w:t xml:space="preserve">  </w:t>
      </w:r>
    </w:p>
    <w:p w14:paraId="347B0969" w14:textId="77777777" w:rsidR="0008423C" w:rsidRPr="00E1206A" w:rsidRDefault="0008423C" w:rsidP="0008423C">
      <w:pPr>
        <w:pStyle w:val="NoSpacing"/>
        <w:ind w:firstLine="1310"/>
        <w:contextualSpacing/>
        <w:rPr>
          <w:rFonts w:ascii="Times New Roman" w:eastAsia="Calibri" w:hAnsi="Times New Roman" w:cs="Times New Roman"/>
          <w:sz w:val="24"/>
          <w:szCs w:val="24"/>
        </w:rPr>
      </w:pPr>
    </w:p>
    <w:p w14:paraId="347B096A" w14:textId="24486DE7" w:rsidR="0008423C" w:rsidRPr="00E1206A" w:rsidRDefault="0008423C" w:rsidP="00D60246">
      <w:pPr>
        <w:pStyle w:val="Default"/>
        <w:ind w:firstLine="1310"/>
        <w:rPr>
          <w:color w:val="auto"/>
        </w:rPr>
      </w:pPr>
      <w:r w:rsidRPr="00E1206A">
        <w:rPr>
          <w:color w:val="auto"/>
          <w:u w:val="single"/>
        </w:rPr>
        <w:t>Non-Reviewable Range</w:t>
      </w:r>
      <w:r w:rsidRPr="00E1206A">
        <w:rPr>
          <w:color w:val="auto"/>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D60246" w:rsidRPr="00E1206A">
        <w:rPr>
          <w:color w:val="auto"/>
        </w:rPr>
        <w:t>T</w:t>
      </w:r>
      <w:r w:rsidRPr="00E1206A">
        <w:rPr>
          <w:color w:val="auto"/>
        </w:rPr>
        <w:t xml:space="preserve">he Exchange </w:t>
      </w:r>
      <w:r w:rsidR="00757E5E">
        <w:rPr>
          <w:color w:val="auto"/>
        </w:rPr>
        <w:t xml:space="preserve">will not </w:t>
      </w:r>
      <w:r w:rsidRPr="00E1206A">
        <w:rPr>
          <w:color w:val="auto"/>
        </w:rPr>
        <w:t xml:space="preserve">establish a non-reviewable range for </w:t>
      </w:r>
      <w:r w:rsidR="00757E5E">
        <w:rPr>
          <w:color w:val="auto"/>
        </w:rPr>
        <w:t>the NFX Options</w:t>
      </w:r>
      <w:r w:rsidR="00D60246" w:rsidRPr="00E1206A">
        <w:rPr>
          <w:color w:val="auto"/>
        </w:rPr>
        <w:t>.</w:t>
      </w:r>
      <w:r w:rsidRPr="00E1206A">
        <w:rPr>
          <w:rStyle w:val="FootnoteReference"/>
          <w:color w:val="auto"/>
        </w:rPr>
        <w:footnoteReference w:id="6"/>
      </w:r>
      <w:r w:rsidR="00BF3AF0">
        <w:rPr>
          <w:color w:val="auto"/>
        </w:rPr>
        <w:t xml:space="preserve">  </w:t>
      </w:r>
    </w:p>
    <w:p w14:paraId="347B096B" w14:textId="77777777" w:rsidR="0008423C" w:rsidRPr="00E1206A" w:rsidRDefault="0008423C" w:rsidP="0008423C">
      <w:pPr>
        <w:pStyle w:val="Default"/>
        <w:ind w:firstLine="1310"/>
        <w:rPr>
          <w:rFonts w:eastAsia="Calibri"/>
        </w:rPr>
      </w:pPr>
      <w:r w:rsidRPr="00E1206A">
        <w:rPr>
          <w:color w:val="auto"/>
        </w:rPr>
        <w:t xml:space="preserve"> </w:t>
      </w: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0847C7DF"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757E5E">
        <w:rPr>
          <w:bCs/>
        </w:rPr>
        <w:t xml:space="preserve">NFX Options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757E5E">
        <w:rPr>
          <w:bCs/>
        </w:rPr>
        <w:t>NFX Options</w:t>
      </w:r>
      <w:r w:rsidRPr="00E1206A">
        <w:rPr>
          <w:color w:val="auto"/>
        </w:rPr>
        <w:t>.  Additionally, t</w:t>
      </w:r>
      <w:r w:rsidRPr="00E1206A">
        <w:t>he new rules governing the trading hours and non-reviewable range of the New Contracts are the same as those governing existing energy futures contracts listed by the Exchange.</w:t>
      </w:r>
      <w:r w:rsidR="00F86B2E">
        <w:t xml:space="preserve">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4E33DD6D"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757E5E">
        <w:rPr>
          <w:rFonts w:ascii="Times New Roman" w:hAnsi="Times New Roman" w:cs="Times New Roman"/>
          <w:spacing w:val="-6"/>
          <w:sz w:val="24"/>
          <w:szCs w:val="24"/>
        </w:rPr>
        <w:t>Aravind</w:t>
      </w:r>
      <w:proofErr w:type="spellEnd"/>
      <w:r w:rsidRPr="00757E5E">
        <w:rPr>
          <w:rFonts w:ascii="Times New Roman" w:hAnsi="Times New Roman" w:cs="Times New Roman"/>
          <w:spacing w:val="-6"/>
          <w:sz w:val="24"/>
          <w:szCs w:val="24"/>
        </w:rPr>
        <w:t xml:space="preserve"> Menon at (301) 978-8416 </w:t>
      </w:r>
      <w:r w:rsidRPr="00757E5E">
        <w:rPr>
          <w:rFonts w:ascii="Times New Roman" w:hAnsi="Times New Roman" w:cs="Times New Roman"/>
          <w:sz w:val="24"/>
          <w:szCs w:val="24"/>
        </w:rPr>
        <w:t>or</w:t>
      </w:r>
      <w:r w:rsidRPr="00757E5E">
        <w:rPr>
          <w:rFonts w:ascii="Times New Roman" w:hAnsi="Times New Roman" w:cs="Times New Roman"/>
          <w:spacing w:val="-6"/>
          <w:sz w:val="24"/>
          <w:szCs w:val="24"/>
        </w:rPr>
        <w:t xml:space="preserve"> </w:t>
      </w:r>
      <w:r w:rsidRPr="00757E5E">
        <w:rPr>
          <w:rFonts w:ascii="Times New Roman" w:hAnsi="Times New Roman" w:cs="Times New Roman"/>
          <w:sz w:val="24"/>
          <w:szCs w:val="24"/>
        </w:rPr>
        <w:t>aravind.menon@nasdaq.com</w:t>
      </w:r>
      <w:r w:rsidRPr="00757E5E">
        <w:rPr>
          <w:rFonts w:ascii="Times New Roman" w:hAnsi="Times New Roman" w:cs="Times New Roman"/>
          <w:spacing w:val="-6"/>
          <w:sz w:val="24"/>
          <w:szCs w:val="24"/>
        </w:rPr>
        <w:t xml:space="preserve">.  </w:t>
      </w:r>
      <w:r w:rsidRPr="00757E5E">
        <w:rPr>
          <w:rFonts w:ascii="Times New Roman" w:hAnsi="Times New Roman" w:cs="Times New Roman"/>
          <w:sz w:val="24"/>
          <w:szCs w:val="24"/>
        </w:rPr>
        <w:t>Please</w:t>
      </w:r>
      <w:r w:rsidRPr="00757E5E">
        <w:rPr>
          <w:rFonts w:ascii="Times New Roman" w:hAnsi="Times New Roman" w:cs="Times New Roman"/>
          <w:spacing w:val="-6"/>
          <w:sz w:val="24"/>
          <w:szCs w:val="24"/>
        </w:rPr>
        <w:t xml:space="preserve"> </w:t>
      </w:r>
      <w:r w:rsidRPr="00757E5E">
        <w:rPr>
          <w:rFonts w:ascii="Times New Roman" w:hAnsi="Times New Roman" w:cs="Times New Roman"/>
          <w:sz w:val="24"/>
          <w:szCs w:val="24"/>
        </w:rPr>
        <w:t>refer to</w:t>
      </w:r>
      <w:r w:rsidRPr="00757E5E">
        <w:rPr>
          <w:rFonts w:ascii="Times New Roman" w:hAnsi="Times New Roman" w:cs="Times New Roman"/>
          <w:spacing w:val="-6"/>
          <w:sz w:val="24"/>
          <w:szCs w:val="24"/>
        </w:rPr>
        <w:t xml:space="preserve"> </w:t>
      </w:r>
      <w:r w:rsidR="00757E5E" w:rsidRPr="00757E5E">
        <w:rPr>
          <w:rFonts w:ascii="Times New Roman" w:hAnsi="Times New Roman" w:cs="Times New Roman"/>
          <w:sz w:val="24"/>
          <w:szCs w:val="24"/>
        </w:rPr>
        <w:t>SR-NFX-2017</w:t>
      </w:r>
      <w:r w:rsidRPr="00757E5E">
        <w:rPr>
          <w:rFonts w:ascii="Times New Roman" w:hAnsi="Times New Roman" w:cs="Times New Roman"/>
          <w:sz w:val="24"/>
          <w:szCs w:val="24"/>
        </w:rPr>
        <w:t>-</w:t>
      </w:r>
      <w:r w:rsidR="00757E5E" w:rsidRPr="00757E5E">
        <w:rPr>
          <w:rFonts w:ascii="Times New Roman" w:hAnsi="Times New Roman" w:cs="Times New Roman"/>
          <w:sz w:val="24"/>
          <w:szCs w:val="24"/>
        </w:rPr>
        <w:t>0</w:t>
      </w:r>
      <w:r w:rsidR="00F9464C">
        <w:rPr>
          <w:rFonts w:ascii="Times New Roman" w:hAnsi="Times New Roman" w:cs="Times New Roman"/>
          <w:sz w:val="24"/>
          <w:szCs w:val="24"/>
        </w:rPr>
        <w:t>4</w:t>
      </w:r>
      <w:r w:rsidR="00757E5E">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77777777"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47B0979"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14:paraId="347B097A" w14:textId="77777777" w:rsidR="0008423C" w:rsidRPr="00E1206A"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p>
    <w:p w14:paraId="347B097C"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14:paraId="347B097D" w14:textId="77777777"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5A5F0" w14:textId="77777777" w:rsidR="003A3EDA" w:rsidRDefault="003A3EDA" w:rsidP="0008423C">
      <w:pPr>
        <w:spacing w:after="0" w:line="240" w:lineRule="auto"/>
      </w:pPr>
      <w:r>
        <w:separator/>
      </w:r>
    </w:p>
  </w:endnote>
  <w:endnote w:type="continuationSeparator" w:id="0">
    <w:p w14:paraId="1B17053A" w14:textId="77777777" w:rsidR="003A3EDA" w:rsidRDefault="003A3ED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E3DD" w14:textId="77777777" w:rsidR="003A3EDA" w:rsidRDefault="003A3EDA" w:rsidP="0008423C">
      <w:pPr>
        <w:spacing w:after="0" w:line="240" w:lineRule="auto"/>
      </w:pPr>
      <w:r>
        <w:separator/>
      </w:r>
    </w:p>
  </w:footnote>
  <w:footnote w:type="continuationSeparator" w:id="0">
    <w:p w14:paraId="33D1F26C" w14:textId="77777777" w:rsidR="003A3EDA" w:rsidRDefault="003A3EDA" w:rsidP="0008423C">
      <w:pPr>
        <w:spacing w:after="0" w:line="240" w:lineRule="auto"/>
      </w:pPr>
      <w:r>
        <w:continuationSeparator/>
      </w:r>
    </w:p>
  </w:footnote>
  <w:footnote w:id="1">
    <w:p w14:paraId="347B099D" w14:textId="0B2AB57C"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w:t>
      </w:r>
      <w:r w:rsidR="007E30F8">
        <w:rPr>
          <w:rFonts w:ascii="Times New Roman" w:hAnsi="Times New Roman" w:cs="Times New Roman"/>
          <w:sz w:val="22"/>
          <w:szCs w:val="22"/>
        </w:rPr>
        <w:t xml:space="preserve">NFX </w:t>
      </w:r>
      <w:r w:rsidRPr="00E1206A">
        <w:rPr>
          <w:rFonts w:ascii="Times New Roman" w:hAnsi="Times New Roman" w:cs="Times New Roman"/>
          <w:sz w:val="22"/>
          <w:szCs w:val="22"/>
        </w:rPr>
        <w:t>Options’ terms and conditions in SR-NFX-201</w:t>
      </w:r>
      <w:r w:rsidR="004F638E">
        <w:rPr>
          <w:rFonts w:ascii="Times New Roman" w:hAnsi="Times New Roman" w:cs="Times New Roman"/>
          <w:sz w:val="22"/>
          <w:szCs w:val="22"/>
        </w:rPr>
        <w:t>7</w:t>
      </w:r>
      <w:r w:rsidRPr="00E1206A">
        <w:rPr>
          <w:rFonts w:ascii="Times New Roman" w:hAnsi="Times New Roman" w:cs="Times New Roman"/>
          <w:sz w:val="22"/>
          <w:szCs w:val="22"/>
        </w:rPr>
        <w:t>-</w:t>
      </w:r>
      <w:r w:rsidR="00F9464C">
        <w:rPr>
          <w:rFonts w:ascii="Times New Roman" w:hAnsi="Times New Roman" w:cs="Times New Roman"/>
          <w:sz w:val="22"/>
          <w:szCs w:val="22"/>
        </w:rPr>
        <w:t>03</w:t>
      </w:r>
      <w:r w:rsidR="004F638E">
        <w:rPr>
          <w:rFonts w:ascii="Times New Roman" w:hAnsi="Times New Roman" w:cs="Times New Roman"/>
          <w:sz w:val="22"/>
          <w:szCs w:val="22"/>
        </w:rPr>
        <w:t xml:space="preserve"> </w:t>
      </w:r>
      <w:r w:rsidRPr="00E1206A">
        <w:rPr>
          <w:rFonts w:ascii="Times New Roman" w:hAnsi="Times New Roman" w:cs="Times New Roman"/>
          <w:sz w:val="22"/>
          <w:szCs w:val="22"/>
        </w:rPr>
        <w:t xml:space="preserve">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ertain additional language sep</w:t>
      </w:r>
      <w:r w:rsidR="004F638E">
        <w:rPr>
          <w:rFonts w:ascii="Times New Roman" w:hAnsi="Times New Roman" w:cs="Times New Roman"/>
          <w:sz w:val="22"/>
          <w:szCs w:val="22"/>
        </w:rPr>
        <w:t>arately certified in SR-NFX-2017</w:t>
      </w:r>
      <w:r w:rsidRPr="00E1206A">
        <w:rPr>
          <w:rFonts w:ascii="Times New Roman" w:hAnsi="Times New Roman" w:cs="Times New Roman"/>
          <w:sz w:val="22"/>
          <w:szCs w:val="22"/>
        </w:rPr>
        <w:t>-</w:t>
      </w:r>
      <w:r w:rsidR="00F9464C">
        <w:rPr>
          <w:rFonts w:ascii="Times New Roman" w:hAnsi="Times New Roman" w:cs="Times New Roman"/>
          <w:sz w:val="22"/>
          <w:szCs w:val="22"/>
        </w:rPr>
        <w:t>03</w:t>
      </w:r>
      <w:r w:rsidR="004F638E">
        <w:rPr>
          <w:rFonts w:ascii="Times New Roman" w:hAnsi="Times New Roman" w:cs="Times New Roman"/>
          <w:sz w:val="22"/>
          <w:szCs w:val="22"/>
        </w:rPr>
        <w:t xml:space="preserve"> </w:t>
      </w:r>
      <w:r w:rsidRPr="00E1206A">
        <w:rPr>
          <w:rFonts w:ascii="Times New Roman" w:hAnsi="Times New Roman" w:cs="Times New Roman"/>
          <w:sz w:val="22"/>
          <w:szCs w:val="22"/>
        </w:rPr>
        <w:t xml:space="preserve">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14:paraId="347B099E" w14:textId="77777777" w:rsidR="0008423C" w:rsidRPr="00AD784F" w:rsidRDefault="0008423C" w:rsidP="0008423C">
      <w:pPr>
        <w:pStyle w:val="FootnoteText"/>
        <w:rPr>
          <w:rFonts w:ascii="Times New Roman" w:hAnsi="Times New Roman" w:cs="Times New Roman"/>
          <w:sz w:val="24"/>
          <w:szCs w:val="24"/>
        </w:rPr>
      </w:pPr>
    </w:p>
  </w:footnote>
  <w:footnote w:id="2">
    <w:p w14:paraId="347B099F" w14:textId="2094D365" w:rsidR="0008423C" w:rsidRPr="00E1206A" w:rsidRDefault="0008423C" w:rsidP="0008423C">
      <w:pPr>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Pr="00E1206A">
        <w:rPr>
          <w:rFonts w:ascii="Times New Roman" w:hAnsi="Times New Roman" w:cs="Times New Roman"/>
          <w:u w:val="single"/>
        </w:rPr>
        <w:t>See</w:t>
      </w:r>
      <w:r w:rsidRPr="00E1206A">
        <w:rPr>
          <w:rFonts w:ascii="Times New Roman" w:hAnsi="Times New Roman" w:cs="Times New Roman"/>
        </w:rPr>
        <w:t xml:space="preserve"> </w:t>
      </w:r>
      <w:r w:rsidR="00F86B2E">
        <w:rPr>
          <w:rFonts w:ascii="Times New Roman" w:hAnsi="Times New Roman" w:cs="Times New Roman"/>
        </w:rPr>
        <w:t>R</w:t>
      </w:r>
      <w:r w:rsidR="00F93853" w:rsidRPr="00E1206A">
        <w:rPr>
          <w:rFonts w:ascii="Times New Roman" w:hAnsi="Times New Roman" w:cs="Times New Roman"/>
        </w:rPr>
        <w:t>ule</w:t>
      </w:r>
      <w:r w:rsidR="0024490B">
        <w:rPr>
          <w:rFonts w:ascii="Times New Roman" w:hAnsi="Times New Roman" w:cs="Times New Roman"/>
        </w:rPr>
        <w:t>s</w:t>
      </w:r>
      <w:r w:rsidR="00F93853" w:rsidRPr="00E1206A">
        <w:rPr>
          <w:rFonts w:ascii="Times New Roman" w:hAnsi="Times New Roman" w:cs="Times New Roman"/>
        </w:rPr>
        <w:t xml:space="preserve"> </w:t>
      </w:r>
      <w:r w:rsidR="0024490B">
        <w:rPr>
          <w:rFonts w:ascii="Times New Roman" w:hAnsi="Times New Roman" w:cs="Times New Roman"/>
        </w:rPr>
        <w:t>106C</w:t>
      </w:r>
      <w:r w:rsidR="00F86B2E">
        <w:rPr>
          <w:rFonts w:ascii="Times New Roman" w:hAnsi="Times New Roman" w:cs="Times New Roman"/>
        </w:rPr>
        <w:t>.06</w:t>
      </w:r>
      <w:r w:rsidR="0024490B">
        <w:rPr>
          <w:rFonts w:ascii="Times New Roman" w:hAnsi="Times New Roman" w:cs="Times New Roman"/>
        </w:rPr>
        <w:t xml:space="preserve"> and 107D.06</w:t>
      </w:r>
      <w:r w:rsidR="00F86B2E">
        <w:rPr>
          <w:rFonts w:ascii="Times New Roman" w:hAnsi="Times New Roman" w:cs="Times New Roman"/>
        </w:rPr>
        <w:t xml:space="preserve">, </w:t>
      </w:r>
      <w:r w:rsidR="00D327C6" w:rsidRPr="00E1206A">
        <w:rPr>
          <w:rFonts w:ascii="Times New Roman" w:hAnsi="Times New Roman" w:cs="Times New Roman"/>
        </w:rPr>
        <w:t>Final and Daily Settlement and Settlement Prices for each of the new contract</w:t>
      </w:r>
      <w:r w:rsidR="00F93853" w:rsidRPr="00E1206A">
        <w:rPr>
          <w:rFonts w:ascii="Times New Roman" w:hAnsi="Times New Roman" w:cs="Times New Roman"/>
        </w:rPr>
        <w:t>s</w:t>
      </w:r>
      <w:r w:rsidR="00D327C6" w:rsidRPr="00E1206A">
        <w:rPr>
          <w:rFonts w:ascii="Times New Roman" w:hAnsi="Times New Roman" w:cs="Times New Roman"/>
        </w:rPr>
        <w:t xml:space="preserve"> certified in Exhibit A.  </w:t>
      </w:r>
    </w:p>
  </w:footnote>
  <w:footnote w:id="3">
    <w:p w14:paraId="347B09A0" w14:textId="77777777"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AD784F" w:rsidRDefault="0008423C" w:rsidP="0008423C">
      <w:pPr>
        <w:pStyle w:val="FootnoteText"/>
        <w:rPr>
          <w:rFonts w:ascii="Times New Roman" w:hAnsi="Times New Roman" w:cs="Times New Roman"/>
          <w:sz w:val="24"/>
          <w:szCs w:val="24"/>
        </w:rPr>
      </w:pPr>
    </w:p>
  </w:footnote>
  <w:footnote w:id="4">
    <w:p w14:paraId="347B09A2" w14:textId="3D05B7D1"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ule</w:t>
      </w:r>
      <w:r w:rsidR="0024490B">
        <w:rPr>
          <w:rFonts w:ascii="Times New Roman" w:hAnsi="Times New Roman" w:cs="Times New Roman"/>
        </w:rPr>
        <w:t>s</w:t>
      </w:r>
      <w:r w:rsidR="00E1206A" w:rsidRPr="00E1206A">
        <w:rPr>
          <w:rFonts w:ascii="Times New Roman" w:hAnsi="Times New Roman" w:cs="Times New Roman"/>
        </w:rPr>
        <w:t xml:space="preserve"> </w:t>
      </w:r>
      <w:r w:rsidR="0024490B">
        <w:rPr>
          <w:rFonts w:ascii="Times New Roman" w:hAnsi="Times New Roman" w:cs="Times New Roman"/>
        </w:rPr>
        <w:t>106C</w:t>
      </w:r>
      <w:r w:rsidR="00F86B2E">
        <w:rPr>
          <w:rFonts w:ascii="Times New Roman" w:hAnsi="Times New Roman" w:cs="Times New Roman"/>
        </w:rPr>
        <w:t>.08</w:t>
      </w:r>
      <w:r w:rsidR="0024490B">
        <w:rPr>
          <w:rFonts w:ascii="Times New Roman" w:hAnsi="Times New Roman" w:cs="Times New Roman"/>
        </w:rPr>
        <w:t xml:space="preserve"> and 107D</w:t>
      </w:r>
      <w:r w:rsidR="00C41739">
        <w:rPr>
          <w:rFonts w:ascii="Times New Roman" w:hAnsi="Times New Roman" w:cs="Times New Roman"/>
        </w:rPr>
        <w:t>.08</w:t>
      </w:r>
      <w:r w:rsidR="00F86B2E">
        <w:rPr>
          <w:rFonts w:ascii="Times New Roman" w:hAnsi="Times New Roman" w:cs="Times New Roman"/>
        </w:rPr>
        <w:t xml:space="preserve">, </w:t>
      </w:r>
      <w:r w:rsidR="00E1206A" w:rsidRPr="00E1206A">
        <w:rPr>
          <w:rFonts w:ascii="Times New Roman" w:hAnsi="Times New Roman" w:cs="Times New Roman"/>
        </w:rPr>
        <w:t xml:space="preserve">Block Trade Minimum Quantity Threshold and Reporting Window for each of the new NYISO Futures </w:t>
      </w:r>
      <w:r w:rsidR="00E1206A">
        <w:rPr>
          <w:rFonts w:ascii="Times New Roman" w:hAnsi="Times New Roman" w:cs="Times New Roman"/>
        </w:rPr>
        <w:t>attached as Exhibit A</w:t>
      </w:r>
      <w:r w:rsidRPr="00E1206A">
        <w:rPr>
          <w:rFonts w:ascii="Times New Roman" w:eastAsia="Times New Roman" w:hAnsi="Times New Roman" w:cs="Times New Roman"/>
          <w:bCs/>
        </w:rPr>
        <w:t>.</w:t>
      </w:r>
    </w:p>
    <w:p w14:paraId="347B09A3" w14:textId="77777777" w:rsidR="0008423C" w:rsidRPr="00E1206A" w:rsidRDefault="0008423C" w:rsidP="0008423C">
      <w:pPr>
        <w:pStyle w:val="FootnoteText"/>
        <w:rPr>
          <w:sz w:val="22"/>
          <w:szCs w:val="22"/>
        </w:rPr>
      </w:pPr>
    </w:p>
  </w:footnote>
  <w:footnote w:id="5">
    <w:p w14:paraId="347B09A4" w14:textId="67BE1191" w:rsidR="0008423C" w:rsidRPr="00E1206A" w:rsidRDefault="0008423C" w:rsidP="0008423C">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t xml:space="preserve"> </w:t>
      </w:r>
      <w:r w:rsidRPr="00E1206A">
        <w:tab/>
      </w:r>
      <w:r w:rsidRPr="00E1206A">
        <w:rPr>
          <w:rFonts w:ascii="Times New Roman" w:hAnsi="Times New Roman" w:cs="Times New Roman"/>
          <w:u w:val="single"/>
        </w:rPr>
        <w:t>See</w:t>
      </w:r>
      <w:r w:rsidRPr="00E1206A">
        <w:rPr>
          <w:rFonts w:ascii="Times New Roman" w:hAnsi="Times New Roman" w:cs="Times New Roman"/>
        </w:rPr>
        <w:t xml:space="preserve"> </w:t>
      </w:r>
      <w:r w:rsidR="00D60246" w:rsidRPr="00E1206A">
        <w:rPr>
          <w:rFonts w:ascii="Times New Roman" w:hAnsi="Times New Roman" w:cs="Times New Roman"/>
        </w:rPr>
        <w:t>Rule</w:t>
      </w:r>
      <w:r w:rsidR="00757E5E">
        <w:rPr>
          <w:rFonts w:ascii="Times New Roman" w:hAnsi="Times New Roman" w:cs="Times New Roman"/>
        </w:rPr>
        <w:t>s 106C.06 and 107D</w:t>
      </w:r>
      <w:r w:rsidR="00F86B2E">
        <w:rPr>
          <w:rFonts w:ascii="Times New Roman" w:hAnsi="Times New Roman" w:cs="Times New Roman"/>
        </w:rPr>
        <w:t xml:space="preserve">.06, </w:t>
      </w:r>
      <w:r w:rsidR="00D60246" w:rsidRPr="00E1206A">
        <w:rPr>
          <w:rFonts w:ascii="Times New Roman" w:hAnsi="Times New Roman" w:cs="Times New Roman"/>
        </w:rPr>
        <w:t xml:space="preserve">Final and Daily Settlement and Settlement Prices for </w:t>
      </w:r>
      <w:r w:rsidR="00E1206A">
        <w:rPr>
          <w:rFonts w:ascii="Times New Roman" w:hAnsi="Times New Roman" w:cs="Times New Roman"/>
        </w:rPr>
        <w:t xml:space="preserve">each of </w:t>
      </w:r>
      <w:r w:rsidR="00D60246" w:rsidRPr="00E1206A">
        <w:rPr>
          <w:rFonts w:ascii="Times New Roman" w:hAnsi="Times New Roman" w:cs="Times New Roman"/>
        </w:rPr>
        <w:t xml:space="preserve">the </w:t>
      </w:r>
      <w:r w:rsidR="00757E5E">
        <w:rPr>
          <w:rFonts w:ascii="Times New Roman" w:hAnsi="Times New Roman" w:cs="Times New Roman"/>
        </w:rPr>
        <w:t xml:space="preserve">NFX Options </w:t>
      </w:r>
      <w:r w:rsidR="00D60246" w:rsidRPr="00E1206A">
        <w:rPr>
          <w:rFonts w:ascii="Times New Roman" w:hAnsi="Times New Roman" w:cs="Times New Roman"/>
        </w:rPr>
        <w:t>attached as Exhibit A.</w:t>
      </w:r>
    </w:p>
    <w:p w14:paraId="347B09A5" w14:textId="77777777" w:rsidR="00D60246" w:rsidRPr="00E1206A" w:rsidRDefault="00D60246" w:rsidP="0008423C">
      <w:pPr>
        <w:pStyle w:val="NoSpacing"/>
        <w:rPr>
          <w:rFonts w:ascii="Times New Roman" w:hAnsi="Times New Roman" w:cs="Times New Roman"/>
        </w:rPr>
      </w:pPr>
    </w:p>
  </w:footnote>
  <w:footnote w:id="6">
    <w:p w14:paraId="347B09A6" w14:textId="58EE80D6"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r>
      <w:r w:rsidRPr="00E1206A">
        <w:rPr>
          <w:rFonts w:ascii="Times New Roman" w:hAnsi="Times New Roman" w:cs="Times New Roman"/>
          <w:sz w:val="22"/>
          <w:szCs w:val="22"/>
          <w:u w:val="single"/>
        </w:rPr>
        <w:t xml:space="preserve">See </w:t>
      </w:r>
      <w:r w:rsidRPr="00E1206A">
        <w:rPr>
          <w:rFonts w:ascii="Times New Roman" w:hAnsi="Times New Roman" w:cs="Times New Roman"/>
          <w:sz w:val="22"/>
          <w:szCs w:val="22"/>
        </w:rPr>
        <w:t>Rule</w:t>
      </w:r>
      <w:r w:rsidR="00757E5E">
        <w:rPr>
          <w:rFonts w:ascii="Times New Roman" w:hAnsi="Times New Roman" w:cs="Times New Roman"/>
          <w:sz w:val="22"/>
          <w:szCs w:val="22"/>
        </w:rPr>
        <w:t>s</w:t>
      </w:r>
      <w:r w:rsidR="00FF3643">
        <w:rPr>
          <w:rFonts w:ascii="Times New Roman" w:hAnsi="Times New Roman" w:cs="Times New Roman"/>
          <w:sz w:val="22"/>
          <w:szCs w:val="22"/>
        </w:rPr>
        <w:t xml:space="preserve"> </w:t>
      </w:r>
      <w:r w:rsidR="00757E5E">
        <w:rPr>
          <w:rFonts w:ascii="Times New Roman" w:hAnsi="Times New Roman" w:cs="Times New Roman"/>
          <w:sz w:val="22"/>
          <w:szCs w:val="22"/>
        </w:rPr>
        <w:t>106C</w:t>
      </w:r>
      <w:r w:rsidR="00FF3643">
        <w:rPr>
          <w:rFonts w:ascii="Times New Roman" w:hAnsi="Times New Roman" w:cs="Times New Roman"/>
          <w:sz w:val="22"/>
          <w:szCs w:val="22"/>
        </w:rPr>
        <w:t>.10</w:t>
      </w:r>
      <w:r w:rsidR="00757E5E">
        <w:rPr>
          <w:rFonts w:ascii="Times New Roman" w:hAnsi="Times New Roman" w:cs="Times New Roman"/>
          <w:sz w:val="22"/>
          <w:szCs w:val="22"/>
        </w:rPr>
        <w:t xml:space="preserve"> and 107D.10</w:t>
      </w:r>
      <w:r w:rsidR="00FF3643">
        <w:rPr>
          <w:rFonts w:ascii="Times New Roman" w:hAnsi="Times New Roman" w:cs="Times New Roman"/>
          <w:sz w:val="22"/>
          <w:szCs w:val="22"/>
        </w:rPr>
        <w:t xml:space="preserve">, </w:t>
      </w:r>
      <w:r w:rsidR="00D60246" w:rsidRPr="00E1206A">
        <w:rPr>
          <w:rFonts w:ascii="Times New Roman" w:hAnsi="Times New Roman" w:cs="Times New Roman"/>
          <w:sz w:val="22"/>
          <w:szCs w:val="22"/>
        </w:rPr>
        <w:t>Non-Reviewable Range for</w:t>
      </w:r>
      <w:r w:rsidR="00E1206A">
        <w:rPr>
          <w:rFonts w:ascii="Times New Roman" w:hAnsi="Times New Roman" w:cs="Times New Roman"/>
          <w:sz w:val="22"/>
          <w:szCs w:val="22"/>
        </w:rPr>
        <w:t xml:space="preserve"> </w:t>
      </w:r>
      <w:r w:rsidR="00D60246" w:rsidRPr="00E1206A">
        <w:rPr>
          <w:rFonts w:ascii="Times New Roman" w:hAnsi="Times New Roman" w:cs="Times New Roman"/>
          <w:sz w:val="22"/>
          <w:szCs w:val="22"/>
        </w:rPr>
        <w:t xml:space="preserve">the </w:t>
      </w:r>
      <w:r w:rsidR="00757E5E">
        <w:rPr>
          <w:rFonts w:ascii="Times New Roman" w:eastAsia="Times New Roman" w:hAnsi="Times New Roman" w:cs="Times New Roman"/>
          <w:bCs/>
          <w:sz w:val="24"/>
          <w:szCs w:val="24"/>
        </w:rPr>
        <w:t xml:space="preserve">NFX Options </w:t>
      </w:r>
      <w:r w:rsidR="00D60246" w:rsidRPr="00E1206A">
        <w:rPr>
          <w:rFonts w:ascii="Times New Roman" w:hAnsi="Times New Roman" w:cs="Times New Roman"/>
          <w:sz w:val="22"/>
          <w:szCs w:val="22"/>
        </w:rPr>
        <w:t>attached as Exhibit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9464C">
      <w:rPr>
        <w:rFonts w:ascii="Times New Roman" w:hAnsi="Times New Roman" w:cs="Times New Roman"/>
        <w:noProof/>
        <w:sz w:val="20"/>
        <w:szCs w:val="20"/>
      </w:rPr>
      <w:t>February 16, 2017</w:t>
    </w:r>
    <w:r>
      <w:rPr>
        <w:rFonts w:ascii="Times New Roman" w:hAnsi="Times New Roman" w:cs="Times New Roman"/>
        <w:sz w:val="20"/>
        <w:szCs w:val="20"/>
      </w:rPr>
      <w:fldChar w:fldCharType="end"/>
    </w:r>
  </w:p>
  <w:p w14:paraId="347B098F" w14:textId="06046EAA" w:rsidR="0082421C" w:rsidRDefault="004F638E"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E12802" w:rsidRPr="00C54BB6">
      <w:rPr>
        <w:rFonts w:ascii="Times New Roman" w:hAnsi="Times New Roman" w:cs="Times New Roman"/>
        <w:sz w:val="20"/>
        <w:szCs w:val="20"/>
      </w:rPr>
      <w:t>-</w:t>
    </w:r>
    <w:r w:rsidR="00F9464C">
      <w:rPr>
        <w:rFonts w:ascii="Times New Roman" w:hAnsi="Times New Roman" w:cs="Times New Roman"/>
        <w:sz w:val="20"/>
        <w:szCs w:val="20"/>
      </w:rPr>
      <w:t>04</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E30F8">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2" w14:textId="77777777" w:rsidR="00E12802" w:rsidRDefault="00E12802" w:rsidP="00E12802">
    <w:pPr>
      <w:pStyle w:val="Header"/>
      <w:jc w:val="right"/>
    </w:pPr>
  </w:p>
  <w:p w14:paraId="347B0993" w14:textId="77777777" w:rsidR="00E12802" w:rsidRDefault="00E12802" w:rsidP="00E12802">
    <w:pPr>
      <w:pStyle w:val="Header"/>
      <w:jc w:val="right"/>
    </w:pPr>
  </w:p>
  <w:p w14:paraId="347B0994" w14:textId="77777777" w:rsidR="00E12802" w:rsidRDefault="00E12802" w:rsidP="00E12802">
    <w:pPr>
      <w:pStyle w:val="Header"/>
      <w:jc w:val="right"/>
    </w:pPr>
  </w:p>
  <w:p w14:paraId="347B0995" w14:textId="77777777" w:rsidR="00E12802" w:rsidRDefault="00E12802" w:rsidP="00E12802">
    <w:pPr>
      <w:pStyle w:val="Header"/>
      <w:jc w:val="right"/>
    </w:pPr>
  </w:p>
  <w:p w14:paraId="347B0996" w14:textId="77777777" w:rsidR="00E12802" w:rsidRPr="00CF4B16" w:rsidRDefault="00E12802" w:rsidP="00E12802">
    <w:pPr>
      <w:pStyle w:val="LetterheadAddress"/>
      <w:ind w:left="6550" w:firstLine="20"/>
      <w:rPr>
        <w:sz w:val="20"/>
      </w:rPr>
    </w:pPr>
    <w:r w:rsidRPr="00CF4B16">
      <w:rPr>
        <w:sz w:val="20"/>
      </w:rPr>
      <w:t>Nasdaq Futures, Inc.</w:t>
    </w:r>
  </w:p>
  <w:p w14:paraId="347B0997" w14:textId="77777777" w:rsidR="00E12802" w:rsidRPr="00CF4B16" w:rsidRDefault="00E12802" w:rsidP="00E12802">
    <w:pPr>
      <w:pStyle w:val="LetterheadAddress"/>
      <w:ind w:left="6550" w:firstLine="20"/>
      <w:rPr>
        <w:sz w:val="20"/>
      </w:rPr>
    </w:pPr>
    <w:r w:rsidRPr="00CF4B16">
      <w:rPr>
        <w:sz w:val="20"/>
      </w:rPr>
      <w:t>1900 Market Street</w:t>
    </w:r>
  </w:p>
  <w:p w14:paraId="347B0998" w14:textId="77777777" w:rsidR="00E12802" w:rsidRPr="00CF4B16" w:rsidRDefault="00E12802" w:rsidP="00E12802">
    <w:pPr>
      <w:pStyle w:val="LetterheadAddress"/>
      <w:ind w:left="6550" w:firstLine="20"/>
      <w:rPr>
        <w:sz w:val="20"/>
      </w:rPr>
    </w:pPr>
    <w:r w:rsidRPr="00CF4B16">
      <w:rPr>
        <w:sz w:val="20"/>
      </w:rPr>
      <w:t>Philadelphia, PA 19103 / USA</w:t>
    </w:r>
  </w:p>
  <w:p w14:paraId="347B0999" w14:textId="77777777"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347B099A" w14:textId="77777777"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347B099B" wp14:editId="347B099C">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16DCC"/>
    <w:rsid w:val="0008423C"/>
    <w:rsid w:val="000E26AE"/>
    <w:rsid w:val="000E415C"/>
    <w:rsid w:val="0012529D"/>
    <w:rsid w:val="00154FD5"/>
    <w:rsid w:val="00204EC5"/>
    <w:rsid w:val="0024490B"/>
    <w:rsid w:val="00253701"/>
    <w:rsid w:val="002C0A34"/>
    <w:rsid w:val="00317C2C"/>
    <w:rsid w:val="003A3EDA"/>
    <w:rsid w:val="003D40B8"/>
    <w:rsid w:val="004965FA"/>
    <w:rsid w:val="004A53F9"/>
    <w:rsid w:val="004A64A6"/>
    <w:rsid w:val="004D7E5D"/>
    <w:rsid w:val="004F638E"/>
    <w:rsid w:val="00543CA2"/>
    <w:rsid w:val="005A08AE"/>
    <w:rsid w:val="005E3020"/>
    <w:rsid w:val="005F3337"/>
    <w:rsid w:val="00682A97"/>
    <w:rsid w:val="006B3A2F"/>
    <w:rsid w:val="007076E9"/>
    <w:rsid w:val="00757E5E"/>
    <w:rsid w:val="007958C5"/>
    <w:rsid w:val="007C7601"/>
    <w:rsid w:val="007D1D0B"/>
    <w:rsid w:val="007E30F8"/>
    <w:rsid w:val="00821537"/>
    <w:rsid w:val="0082421C"/>
    <w:rsid w:val="008321A8"/>
    <w:rsid w:val="0083533B"/>
    <w:rsid w:val="00893E15"/>
    <w:rsid w:val="008B041F"/>
    <w:rsid w:val="008C3F5C"/>
    <w:rsid w:val="0096726E"/>
    <w:rsid w:val="009A71B7"/>
    <w:rsid w:val="009D0582"/>
    <w:rsid w:val="00AD7CB9"/>
    <w:rsid w:val="00B53FAF"/>
    <w:rsid w:val="00B6532A"/>
    <w:rsid w:val="00BF3AF0"/>
    <w:rsid w:val="00C4068B"/>
    <w:rsid w:val="00C41739"/>
    <w:rsid w:val="00CA52C3"/>
    <w:rsid w:val="00CA6E45"/>
    <w:rsid w:val="00CB53DA"/>
    <w:rsid w:val="00D0050D"/>
    <w:rsid w:val="00D327C6"/>
    <w:rsid w:val="00D60246"/>
    <w:rsid w:val="00D70718"/>
    <w:rsid w:val="00E1206A"/>
    <w:rsid w:val="00E12802"/>
    <w:rsid w:val="00E34482"/>
    <w:rsid w:val="00E74C83"/>
    <w:rsid w:val="00EB5FAC"/>
    <w:rsid w:val="00EC432B"/>
    <w:rsid w:val="00F02F13"/>
    <w:rsid w:val="00F20122"/>
    <w:rsid w:val="00F3330E"/>
    <w:rsid w:val="00F452FD"/>
    <w:rsid w:val="00F86B2E"/>
    <w:rsid w:val="00F93853"/>
    <w:rsid w:val="00F9464C"/>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ListParagraph">
    <w:name w:val="List Paragraph"/>
    <w:basedOn w:val="Normal"/>
    <w:uiPriority w:val="34"/>
    <w:qFormat/>
    <w:rsid w:val="004F638E"/>
    <w:pPr>
      <w:ind w:left="720"/>
      <w:contextualSpacing/>
    </w:pPr>
  </w:style>
  <w:style w:type="character" w:styleId="CommentReference">
    <w:name w:val="annotation reference"/>
    <w:basedOn w:val="DefaultParagraphFont"/>
    <w:uiPriority w:val="99"/>
    <w:semiHidden/>
    <w:unhideWhenUsed/>
    <w:rsid w:val="00757E5E"/>
    <w:rPr>
      <w:sz w:val="16"/>
      <w:szCs w:val="16"/>
    </w:rPr>
  </w:style>
  <w:style w:type="paragraph" w:styleId="CommentText">
    <w:name w:val="annotation text"/>
    <w:basedOn w:val="Normal"/>
    <w:link w:val="CommentTextChar"/>
    <w:uiPriority w:val="99"/>
    <w:semiHidden/>
    <w:unhideWhenUsed/>
    <w:rsid w:val="00757E5E"/>
    <w:pPr>
      <w:spacing w:line="240" w:lineRule="auto"/>
    </w:pPr>
    <w:rPr>
      <w:sz w:val="20"/>
      <w:szCs w:val="20"/>
    </w:rPr>
  </w:style>
  <w:style w:type="character" w:customStyle="1" w:styleId="CommentTextChar">
    <w:name w:val="Comment Text Char"/>
    <w:basedOn w:val="DefaultParagraphFont"/>
    <w:link w:val="CommentText"/>
    <w:uiPriority w:val="99"/>
    <w:semiHidden/>
    <w:rsid w:val="00757E5E"/>
    <w:rPr>
      <w:sz w:val="20"/>
      <w:szCs w:val="20"/>
    </w:rPr>
  </w:style>
  <w:style w:type="paragraph" w:styleId="CommentSubject">
    <w:name w:val="annotation subject"/>
    <w:basedOn w:val="CommentText"/>
    <w:next w:val="CommentText"/>
    <w:link w:val="CommentSubjectChar"/>
    <w:uiPriority w:val="99"/>
    <w:semiHidden/>
    <w:unhideWhenUsed/>
    <w:rsid w:val="00757E5E"/>
    <w:rPr>
      <w:b/>
      <w:bCs/>
    </w:rPr>
  </w:style>
  <w:style w:type="character" w:customStyle="1" w:styleId="CommentSubjectChar">
    <w:name w:val="Comment Subject Char"/>
    <w:basedOn w:val="CommentTextChar"/>
    <w:link w:val="CommentSubject"/>
    <w:uiPriority w:val="99"/>
    <w:semiHidden/>
    <w:rsid w:val="00757E5E"/>
    <w:rPr>
      <w:b/>
      <w:bCs/>
      <w:sz w:val="20"/>
      <w:szCs w:val="20"/>
    </w:rPr>
  </w:style>
  <w:style w:type="paragraph" w:styleId="Revision">
    <w:name w:val="Revision"/>
    <w:hidden/>
    <w:uiPriority w:val="99"/>
    <w:semiHidden/>
    <w:rsid w:val="00757E5E"/>
    <w:pPr>
      <w:spacing w:after="0" w:line="240" w:lineRule="auto"/>
    </w:pPr>
  </w:style>
  <w:style w:type="paragraph" w:styleId="BalloonText">
    <w:name w:val="Balloon Text"/>
    <w:basedOn w:val="Normal"/>
    <w:link w:val="BalloonTextChar"/>
    <w:uiPriority w:val="99"/>
    <w:semiHidden/>
    <w:unhideWhenUsed/>
    <w:rsid w:val="0075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8d2b6fe2-674f-48ec-afd8-c0cf3cf8258e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2017-02-21T22:46:52+00:00</Document_x0020_Date>
    <Document_x0020_No xmlns="4b47aac5-4c46-444f-8595-ce09b406fc61">29327</Document_x0020_No>
  </documentManagement>
</p:properties>
</file>

<file path=customXml/itemProps1.xml><?xml version="1.0" encoding="utf-8"?>
<ds:datastoreItem xmlns:ds="http://schemas.openxmlformats.org/officeDocument/2006/customXml" ds:itemID="{2ED2CD64-33C3-44EA-AFAB-187FD0A8B8B4}"/>
</file>

<file path=customXml/itemProps2.xml><?xml version="1.0" encoding="utf-8"?>
<ds:datastoreItem xmlns:ds="http://schemas.openxmlformats.org/officeDocument/2006/customXml" ds:itemID="{F0E6C1DC-1686-47EF-BD60-1FB2A610863A}"/>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98D93B7E-E9BE-4944-85CD-31F0DBB8BC69}"/>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48</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9</cp:revision>
  <cp:lastPrinted>2017-02-16T19:47:00Z</cp:lastPrinted>
  <dcterms:created xsi:type="dcterms:W3CDTF">2017-01-16T04:25:00Z</dcterms:created>
  <dcterms:modified xsi:type="dcterms:W3CDTF">2017-02-16T20:48:00Z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3499400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