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A" w:rsidRPr="00A2697D" w:rsidRDefault="0026070A" w:rsidP="00CD4779">
      <w:pPr>
        <w:jc w:val="right"/>
        <w:rPr>
          <w:b/>
        </w:rPr>
      </w:pPr>
      <w:bookmarkStart w:id="0" w:name="_GoBack"/>
      <w:bookmarkEnd w:id="0"/>
    </w:p>
    <w:p w:rsidR="0035344B" w:rsidRDefault="0035344B" w:rsidP="0035344B"/>
    <w:p w:rsidR="002A5AEE" w:rsidRPr="00F95813" w:rsidRDefault="00F95813" w:rsidP="002A5AEE">
      <w:pPr>
        <w:spacing w:after="15" w:line="240" w:lineRule="atLeast"/>
        <w:jc w:val="center"/>
        <w:outlineLvl w:val="1"/>
        <w:rPr>
          <w:b/>
          <w:bCs/>
          <w:u w:val="single"/>
        </w:rPr>
      </w:pPr>
      <w:r w:rsidRPr="00F95813">
        <w:rPr>
          <w:b/>
          <w:bCs/>
          <w:u w:val="single"/>
        </w:rPr>
        <w:t>Exhibit 1 to SR-NFX-2016-</w:t>
      </w:r>
      <w:r w:rsidR="00A516B5">
        <w:rPr>
          <w:b/>
          <w:bCs/>
          <w:u w:val="single"/>
        </w:rPr>
        <w:t>2</w:t>
      </w:r>
      <w:r w:rsidR="00056AD5">
        <w:rPr>
          <w:b/>
          <w:bCs/>
          <w:u w:val="single"/>
        </w:rPr>
        <w:t>5</w:t>
      </w:r>
    </w:p>
    <w:p w:rsidR="00B855EE" w:rsidRDefault="00B855EE" w:rsidP="002A5AEE">
      <w:pPr>
        <w:spacing w:after="15" w:line="240" w:lineRule="atLeast"/>
        <w:jc w:val="center"/>
        <w:outlineLvl w:val="1"/>
        <w:rPr>
          <w:b/>
          <w:bCs/>
        </w:rPr>
      </w:pPr>
    </w:p>
    <w:p w:rsidR="00EE3DE5" w:rsidRDefault="003C1061" w:rsidP="00EE3DE5">
      <w:pPr>
        <w:spacing w:after="15" w:line="240" w:lineRule="atLeast"/>
        <w:outlineLvl w:val="1"/>
        <w:rPr>
          <w:b/>
          <w:bCs/>
          <w:i/>
        </w:rPr>
      </w:pPr>
      <w:r>
        <w:rPr>
          <w:b/>
          <w:bCs/>
          <w:i/>
        </w:rPr>
        <w:t>New text is</w:t>
      </w:r>
      <w:r w:rsidR="00B855EE">
        <w:rPr>
          <w:b/>
          <w:bCs/>
          <w:i/>
        </w:rPr>
        <w:t xml:space="preserve"> underlined and deleted text is stricken.</w:t>
      </w:r>
    </w:p>
    <w:p w:rsidR="00B855EE" w:rsidRPr="00EE3DE5" w:rsidRDefault="00B855EE" w:rsidP="00EE3DE5">
      <w:pPr>
        <w:spacing w:after="15" w:line="240" w:lineRule="atLeast"/>
        <w:outlineLvl w:val="1"/>
        <w:rPr>
          <w:b/>
          <w:bCs/>
          <w:i/>
        </w:rPr>
      </w:pPr>
    </w:p>
    <w:p w:rsidR="002A5AEE" w:rsidRPr="00E20BE7" w:rsidRDefault="002A5AEE" w:rsidP="002A5AEE">
      <w:pPr>
        <w:spacing w:after="15" w:line="240" w:lineRule="atLeast"/>
        <w:outlineLvl w:val="0"/>
        <w:rPr>
          <w:b/>
          <w:bCs/>
          <w:kern w:val="36"/>
        </w:rPr>
      </w:pPr>
    </w:p>
    <w:p w:rsidR="002A5AEE" w:rsidRPr="00E20BE7" w:rsidRDefault="002A5AEE" w:rsidP="002A5AEE">
      <w:pPr>
        <w:spacing w:after="15" w:line="240" w:lineRule="atLeast"/>
        <w:outlineLvl w:val="0"/>
        <w:rPr>
          <w:b/>
          <w:bCs/>
          <w:kern w:val="36"/>
        </w:rPr>
      </w:pPr>
      <w:r w:rsidRPr="00E20BE7">
        <w:rPr>
          <w:b/>
          <w:bCs/>
          <w:kern w:val="36"/>
        </w:rPr>
        <w:t>NASDAQ FUTURES FEE SCHEDULE</w:t>
      </w:r>
    </w:p>
    <w:p w:rsidR="002A5AEE" w:rsidRDefault="002A5AEE" w:rsidP="002A5AEE">
      <w:pPr>
        <w:spacing w:before="15" w:after="100" w:afterAutospacing="1" w:line="240" w:lineRule="atLeast"/>
      </w:pPr>
      <w:bookmarkStart w:id="1" w:name="sx-policymanual-phlx-philabotTABLEOFCONT"/>
      <w:bookmarkStart w:id="2" w:name="chp_1_2_1"/>
      <w:bookmarkEnd w:id="1"/>
      <w:bookmarkEnd w:id="2"/>
    </w:p>
    <w:p w:rsidR="00E2542C" w:rsidRPr="00E2542C" w:rsidRDefault="00E2542C" w:rsidP="00E2542C">
      <w:pPr>
        <w:pStyle w:val="ListParagraph"/>
        <w:numPr>
          <w:ilvl w:val="0"/>
          <w:numId w:val="0"/>
        </w:numPr>
        <w:spacing w:before="15" w:after="100" w:afterAutospacing="1" w:line="240" w:lineRule="atLeast"/>
        <w:ind w:left="720"/>
        <w:jc w:val="center"/>
        <w:rPr>
          <w:rFonts w:ascii="Times New Roman" w:hAnsi="Times New Roman"/>
          <w:b/>
          <w:sz w:val="24"/>
        </w:rPr>
      </w:pPr>
      <w:r w:rsidRPr="00E2542C">
        <w:rPr>
          <w:rFonts w:ascii="Times New Roman" w:hAnsi="Times New Roman"/>
          <w:b/>
          <w:sz w:val="24"/>
        </w:rPr>
        <w:t>* * * * *</w:t>
      </w:r>
    </w:p>
    <w:p w:rsidR="002A5AEE" w:rsidRPr="00E20BE7" w:rsidRDefault="002A5AEE" w:rsidP="002A5AEE">
      <w:pPr>
        <w:spacing w:before="150" w:after="15" w:line="240" w:lineRule="atLeast"/>
        <w:outlineLvl w:val="1"/>
        <w:rPr>
          <w:b/>
          <w:bCs/>
        </w:rPr>
      </w:pPr>
      <w:bookmarkStart w:id="3" w:name="sx-policymanual-phlx-philabotPREFACE"/>
      <w:bookmarkStart w:id="4" w:name="chp_1_2_2"/>
      <w:bookmarkStart w:id="5" w:name="sx-policymanual-phlx-philabotSectionITra"/>
      <w:bookmarkStart w:id="6" w:name="chp_1_2_3"/>
      <w:bookmarkEnd w:id="3"/>
      <w:bookmarkEnd w:id="4"/>
      <w:bookmarkEnd w:id="5"/>
      <w:bookmarkEnd w:id="6"/>
      <w:r w:rsidRPr="00E20BE7">
        <w:rPr>
          <w:b/>
          <w:bCs/>
        </w:rPr>
        <w:t>Section I-Transaction Charges</w:t>
      </w:r>
    </w:p>
    <w:p w:rsidR="00EE3DE5" w:rsidRPr="00C30952" w:rsidRDefault="00EB352E" w:rsidP="002A5AEE">
      <w:pPr>
        <w:spacing w:before="150" w:after="15" w:line="240" w:lineRule="atLeast"/>
        <w:outlineLvl w:val="1"/>
        <w:rPr>
          <w:b/>
          <w:bCs/>
        </w:rPr>
      </w:pPr>
      <w:bookmarkStart w:id="7" w:name="sx-policymanual-phlx-philabotSectionIIPe"/>
      <w:bookmarkStart w:id="8" w:name="chp_1_2_4"/>
      <w:bookmarkEnd w:id="7"/>
      <w:bookmarkEnd w:id="8"/>
      <w:r w:rsidRPr="00C30952">
        <w:rPr>
          <w:b/>
          <w:bCs/>
        </w:rPr>
        <w:t>Energy Products</w:t>
      </w:r>
      <w:r w:rsidR="00EE3DE5" w:rsidRPr="00C30952">
        <w:rPr>
          <w:b/>
          <w:bCs/>
        </w:rPr>
        <w:t xml:space="preserve">.  </w:t>
      </w:r>
      <w:r w:rsidR="001F0055" w:rsidRPr="00C30952">
        <w:rPr>
          <w:b/>
          <w:bCs/>
        </w:rPr>
        <w:t xml:space="preserve">The transaction charges are per contract and will be set at $0.00 until May 1, 2016.  </w:t>
      </w:r>
    </w:p>
    <w:p w:rsidR="006A29B0" w:rsidRPr="006A29B0" w:rsidRDefault="006A29B0" w:rsidP="006A29B0">
      <w:pPr>
        <w:spacing w:before="150" w:line="240" w:lineRule="atLeast"/>
        <w:outlineLvl w:val="1"/>
        <w:rPr>
          <w:rFonts w:eastAsiaTheme="minorHAnsi"/>
          <w:b/>
          <w:bCs/>
          <w:u w:val="single"/>
        </w:rPr>
      </w:pPr>
    </w:p>
    <w:tbl>
      <w:tblPr>
        <w:tblStyle w:val="TableGrid"/>
        <w:tblW w:w="0" w:type="auto"/>
        <w:tblInd w:w="-72" w:type="dxa"/>
        <w:tblLook w:val="04A0" w:firstRow="1" w:lastRow="0" w:firstColumn="1" w:lastColumn="0" w:noHBand="0" w:noVBand="1"/>
      </w:tblPr>
      <w:tblGrid>
        <w:gridCol w:w="8280"/>
        <w:gridCol w:w="1354"/>
      </w:tblGrid>
      <w:tr w:rsidR="006A29B0" w:rsidRPr="00AD0AB5" w:rsidTr="00250E35">
        <w:tc>
          <w:tcPr>
            <w:tcW w:w="8280" w:type="dxa"/>
          </w:tcPr>
          <w:p w:rsidR="006A29B0" w:rsidRPr="00AD0AB5" w:rsidRDefault="006A29B0" w:rsidP="00FA77C5">
            <w:pPr>
              <w:spacing w:line="276" w:lineRule="auto"/>
              <w:rPr>
                <w:rFonts w:ascii="Times New Roman" w:hAnsi="Times New Roman" w:cs="Times New Roman"/>
                <w:b/>
              </w:rPr>
            </w:pPr>
            <w:r w:rsidRPr="00AD0AB5">
              <w:rPr>
                <w:rFonts w:ascii="Times New Roman" w:hAnsi="Times New Roman" w:cs="Times New Roman"/>
                <w:b/>
              </w:rPr>
              <w:t>OIL AND REFINED PRODUCTS</w:t>
            </w:r>
          </w:p>
        </w:tc>
        <w:tc>
          <w:tcPr>
            <w:tcW w:w="1354" w:type="dxa"/>
          </w:tcPr>
          <w:p w:rsidR="006A29B0" w:rsidRPr="00AD0AB5" w:rsidRDefault="006A29B0" w:rsidP="006A29B0">
            <w:pPr>
              <w:spacing w:line="276" w:lineRule="auto"/>
              <w:jc w:val="center"/>
              <w:rPr>
                <w:rFonts w:ascii="Times New Roman" w:hAnsi="Times New Roman" w:cs="Times New Roman"/>
                <w:b/>
              </w:rPr>
            </w:pPr>
            <w:r w:rsidRPr="00AD0AB5">
              <w:rPr>
                <w:rFonts w:ascii="Times New Roman" w:hAnsi="Times New Roman" w:cs="Times New Roman"/>
                <w:b/>
              </w:rPr>
              <w:t>FEE</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Brent Crude Financial Futures (BFQ)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rPr>
              <w:t xml:space="preserve">NFX Brent 1st Line Financial Futures </w:t>
            </w:r>
            <w:r w:rsidRPr="00AD0AB5">
              <w:rPr>
                <w:rFonts w:ascii="Times New Roman" w:hAnsi="Times New Roman" w:cs="Times New Roman"/>
              </w:rPr>
              <w:t>(IBQ)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rPr>
              <w:t xml:space="preserve">NFX Brent 1st Line Mini Financial Futures </w:t>
            </w:r>
            <w:r w:rsidRPr="00AD0AB5">
              <w:rPr>
                <w:rFonts w:ascii="Times New Roman" w:hAnsi="Times New Roman" w:cs="Times New Roman"/>
              </w:rPr>
              <w:t>(IMMQ)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Options on NFX Brent Crude Financial Futures (BCQ)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WTI Crude Oil Financial Futures (CLQ)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WTI Crude Oil Penultimate Financial Futures (TQ)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rPr>
              <w:t>NFX WTI 1st Line Financial Futures (RTIQ)</w:t>
            </w:r>
            <w:r w:rsidRPr="00AD0AB5">
              <w:rPr>
                <w:rFonts w:ascii="Times New Roman" w:hAnsi="Times New Roman" w:cs="Times New Roman"/>
              </w:rPr>
              <w:t xml:space="preserve">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rPr>
              <w:t>NFX WTI 1st Line Mini Financial Futures (RMMQ)</w:t>
            </w:r>
            <w:r w:rsidRPr="00AD0AB5">
              <w:rPr>
                <w:rFonts w:ascii="Times New Roman" w:hAnsi="Times New Roman" w:cs="Times New Roman"/>
              </w:rPr>
              <w:t xml:space="preserve">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Options on NFX WTI Crude Oil Penultimate Financial Futures (TOQ)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Low Sulphur Gasoil Financial Futures (GOQ)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rPr>
              <w:t>NFX Low Sulphur Gasoil 1st Line Financial Futures (ULAQ)</w:t>
            </w:r>
            <w:r w:rsidRPr="00AD0AB5">
              <w:rPr>
                <w:rFonts w:ascii="Times New Roman" w:hAnsi="Times New Roman" w:cs="Times New Roman"/>
              </w:rPr>
              <w:t xml:space="preserve">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color w:val="000000"/>
              </w:rPr>
              <w:t>NFX Gasoil Crack Financial Futures (in BBLS)- Low Sulphur Gasoil 1st Line vs Brent 1st Line (GZQ)</w:t>
            </w:r>
            <w:r w:rsidRPr="00AD0AB5">
              <w:rPr>
                <w:rFonts w:ascii="Times New Roman" w:hAnsi="Times New Roman" w:cs="Times New Roman"/>
              </w:rPr>
              <w:t xml:space="preserve">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Heating Oil Financial Futures (HOQ)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Heating Oil Penultimate Financial Futures (OQ)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 xml:space="preserve">NFX Heating Oil 1st Line Financial Futures (HOFQ)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RBOB Gasoline Financial Futures (RBQ)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RBOB Gasoline Penultimate Financial Futures (RQ)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 xml:space="preserve">NFX RBOB Gasoline 1st Line Financial Futures (RBSQ)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bCs/>
                <w:color w:val="000000"/>
              </w:rPr>
              <w:t xml:space="preserve">NFX Gasoline Crack </w:t>
            </w:r>
            <w:r w:rsidRPr="00AD0AB5">
              <w:rPr>
                <w:rFonts w:ascii="Times New Roman" w:hAnsi="Times New Roman" w:cs="Times New Roman"/>
                <w:bCs/>
              </w:rPr>
              <w:t xml:space="preserve">Financial Futures (in BBLS) </w:t>
            </w:r>
            <w:r w:rsidRPr="00AD0AB5">
              <w:rPr>
                <w:rFonts w:ascii="Times New Roman" w:hAnsi="Times New Roman" w:cs="Times New Roman"/>
                <w:bCs/>
                <w:color w:val="000000"/>
              </w:rPr>
              <w:t>- RBOB Gasoline 1st Line vs  Brent 1st Line (RBRQ)</w:t>
            </w:r>
            <w:r w:rsidRPr="00AD0AB5">
              <w:rPr>
                <w:rFonts w:ascii="Times New Roman" w:hAnsi="Times New Roman" w:cs="Times New Roman"/>
              </w:rPr>
              <w:t xml:space="preserve"> </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p>
        </w:tc>
        <w:tc>
          <w:tcPr>
            <w:tcW w:w="1354" w:type="dxa"/>
          </w:tcPr>
          <w:p w:rsidR="006A29B0" w:rsidRPr="00AD0AB5" w:rsidRDefault="006A29B0" w:rsidP="006A29B0">
            <w:pPr>
              <w:spacing w:line="276" w:lineRule="auto"/>
              <w:jc w:val="center"/>
              <w:rPr>
                <w:rFonts w:ascii="Times New Roman" w:hAnsi="Times New Roman" w:cs="Times New Roman"/>
              </w:rPr>
            </w:pP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b/>
              </w:rPr>
            </w:pPr>
            <w:r w:rsidRPr="00AD0AB5">
              <w:rPr>
                <w:rFonts w:ascii="Times New Roman" w:hAnsi="Times New Roman" w:cs="Times New Roman"/>
                <w:b/>
              </w:rPr>
              <w:t>NATURAL GAS PRODUCTS</w:t>
            </w:r>
          </w:p>
        </w:tc>
        <w:tc>
          <w:tcPr>
            <w:tcW w:w="1354" w:type="dxa"/>
          </w:tcPr>
          <w:p w:rsidR="006A29B0" w:rsidRPr="00AD0AB5" w:rsidRDefault="006A29B0" w:rsidP="006A29B0">
            <w:pPr>
              <w:spacing w:line="276" w:lineRule="auto"/>
              <w:jc w:val="center"/>
              <w:rPr>
                <w:rFonts w:ascii="Times New Roman" w:hAnsi="Times New Roman" w:cs="Times New Roman"/>
              </w:rPr>
            </w:pP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Henry Hub Natural Gas Financial Futures – 2,500 (NNQ)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lastRenderedPageBreak/>
              <w:t>NFX Henry Hub Natural Gas Penultimate Financial Futures – 2,500 (NPQ)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Henry Hub Natural Gas Financial Futures – 10,000 (HHQ)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Henry Hub Natural Gas Penultimate Financial Futures – 10,000 (HUQ)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Options on NFX Henry Hub Penultimate Financial Futures – 10,000  (LNQ)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p>
        </w:tc>
        <w:tc>
          <w:tcPr>
            <w:tcW w:w="1354" w:type="dxa"/>
          </w:tcPr>
          <w:p w:rsidR="006A29B0" w:rsidRPr="00AD0AB5" w:rsidRDefault="006A29B0" w:rsidP="006A29B0">
            <w:pPr>
              <w:spacing w:line="276" w:lineRule="auto"/>
              <w:jc w:val="center"/>
              <w:rPr>
                <w:rFonts w:ascii="Times New Roman" w:hAnsi="Times New Roman" w:cs="Times New Roman"/>
              </w:rPr>
            </w:pP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b/>
              </w:rPr>
            </w:pPr>
            <w:r w:rsidRPr="00AD0AB5">
              <w:rPr>
                <w:rFonts w:ascii="Times New Roman" w:hAnsi="Times New Roman" w:cs="Times New Roman"/>
                <w:b/>
              </w:rPr>
              <w:t>POWER CONTRACTS</w:t>
            </w:r>
          </w:p>
        </w:tc>
        <w:tc>
          <w:tcPr>
            <w:tcW w:w="1354" w:type="dxa"/>
          </w:tcPr>
          <w:p w:rsidR="006A29B0" w:rsidRPr="00AD0AB5" w:rsidRDefault="006A29B0" w:rsidP="006A29B0">
            <w:pPr>
              <w:spacing w:line="276" w:lineRule="auto"/>
              <w:jc w:val="center"/>
              <w:rPr>
                <w:rFonts w:ascii="Times New Roman" w:hAnsi="Times New Roman" w:cs="Times New Roman"/>
              </w:rPr>
            </w:pP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CAISO NP-15 Hub Day-Ahead Off-Peak Financial Futures (ONPQ)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AC58E1" w:rsidRPr="00AD0AB5" w:rsidTr="00250E35">
        <w:tc>
          <w:tcPr>
            <w:tcW w:w="8280" w:type="dxa"/>
          </w:tcPr>
          <w:p w:rsidR="00AC58E1" w:rsidRPr="00AD0AB5" w:rsidRDefault="00AC58E1" w:rsidP="00FA77C5">
            <w:pPr>
              <w:rPr>
                <w:rFonts w:ascii="Times New Roman" w:hAnsi="Times New Roman" w:cs="Times New Roman"/>
              </w:rPr>
            </w:pPr>
            <w:r w:rsidRPr="00AD0AB5">
              <w:rPr>
                <w:rFonts w:ascii="Times New Roman" w:hAnsi="Times New Roman" w:cs="Times New Roman"/>
              </w:rPr>
              <w:t>NFX CAISO NP-15 Hub Day-Ahead Off-Peak Mini Financial Futures (ONMQ)</w:t>
            </w:r>
          </w:p>
        </w:tc>
        <w:tc>
          <w:tcPr>
            <w:tcW w:w="1354" w:type="dxa"/>
          </w:tcPr>
          <w:p w:rsidR="00AC58E1" w:rsidRPr="00AD0AB5" w:rsidRDefault="00AC58E1"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spacing w:line="276" w:lineRule="auto"/>
              <w:rPr>
                <w:rFonts w:ascii="Times New Roman" w:hAnsi="Times New Roman" w:cs="Times New Roman"/>
                <w:u w:val="single"/>
              </w:rPr>
            </w:pPr>
            <w:r w:rsidRPr="00981F8F">
              <w:rPr>
                <w:rFonts w:ascii="Times New Roman" w:hAnsi="Times New Roman" w:cs="Times New Roman"/>
                <w:u w:val="single"/>
              </w:rPr>
              <w:t xml:space="preserve">NFX CAISO NP-15 Hub Day-Ahead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(ONNQ)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NP-15 Hub Day-Ahead Peak Financial Futures (NPMQ)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NP-15 Hub Day-Ahead Peak Mini Financial Futures – 5 MW (NPNQ)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NP-15 Hub Day-Ahead Peak Mini Financial Futures – 1 MW (NPPQ)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SP-15 Hub Day-Ahead Off-Peak Financial Futures (OFPQ)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AC58E1" w:rsidRPr="00AD0AB5" w:rsidTr="00250E35">
        <w:tc>
          <w:tcPr>
            <w:tcW w:w="8280" w:type="dxa"/>
          </w:tcPr>
          <w:p w:rsidR="00AC58E1" w:rsidRPr="00981F8F" w:rsidRDefault="00AC58E1" w:rsidP="00FA77C5">
            <w:pPr>
              <w:rPr>
                <w:rFonts w:ascii="Times New Roman" w:hAnsi="Times New Roman" w:cs="Times New Roman"/>
              </w:rPr>
            </w:pPr>
            <w:r w:rsidRPr="00981F8F">
              <w:rPr>
                <w:rFonts w:ascii="Times New Roman" w:hAnsi="Times New Roman" w:cs="Times New Roman"/>
              </w:rPr>
              <w:t>NFX CAISO SP-15 Hub Day-Ahead Off-Peak Mini Financial Futures (OFMQ)</w:t>
            </w:r>
          </w:p>
        </w:tc>
        <w:tc>
          <w:tcPr>
            <w:tcW w:w="1354" w:type="dxa"/>
          </w:tcPr>
          <w:p w:rsidR="00AC58E1" w:rsidRPr="00AD0AB5" w:rsidRDefault="00AC58E1"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rPr>
                <w:rFonts w:ascii="Times New Roman" w:hAnsi="Times New Roman" w:cs="Times New Roman"/>
                <w:u w:val="single"/>
              </w:rPr>
            </w:pPr>
            <w:r w:rsidRPr="00981F8F">
              <w:rPr>
                <w:rFonts w:ascii="Times New Roman" w:hAnsi="Times New Roman" w:cs="Times New Roman"/>
                <w:u w:val="single"/>
              </w:rPr>
              <w:t xml:space="preserve">NFX CAISO SP-15 Hub Day-Ahead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(OFNQ)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SP-15 Hub Day-Ahead Peak Financial Futures (SPMQ)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SP-15 Hub Day-Ahead Peak Mini Financial Futures – 5 MW (SPZQ)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CAISO SP-15 Hub Day-Ahead Peak Mini Financial Futures – 1 MW (SPVQ)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ISO-NE Massachusetts Hub Day-Ahead Off-Peak Financial Futures (NOPQ)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AC58E1" w:rsidRPr="00AD0AB5" w:rsidTr="00250E35">
        <w:tc>
          <w:tcPr>
            <w:tcW w:w="8280" w:type="dxa"/>
          </w:tcPr>
          <w:p w:rsidR="00AC58E1" w:rsidRPr="00981F8F" w:rsidRDefault="00AC58E1" w:rsidP="00FA77C5">
            <w:pPr>
              <w:rPr>
                <w:rFonts w:ascii="Times New Roman" w:hAnsi="Times New Roman" w:cs="Times New Roman"/>
              </w:rPr>
            </w:pPr>
            <w:r w:rsidRPr="00981F8F">
              <w:rPr>
                <w:rFonts w:ascii="Times New Roman" w:hAnsi="Times New Roman" w:cs="Times New Roman"/>
              </w:rPr>
              <w:t>NFX ISO-NE Massachusetts Hub Day-Ahead Off-Peak Mini Financial Futures (NOMQ)</w:t>
            </w:r>
          </w:p>
        </w:tc>
        <w:tc>
          <w:tcPr>
            <w:tcW w:w="1354" w:type="dxa"/>
          </w:tcPr>
          <w:p w:rsidR="00AC58E1" w:rsidRPr="00AD0AB5" w:rsidRDefault="00AC58E1"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rPr>
                <w:rFonts w:ascii="Times New Roman" w:hAnsi="Times New Roman" w:cs="Times New Roman"/>
                <w:u w:val="single"/>
              </w:rPr>
            </w:pPr>
            <w:r w:rsidRPr="00981F8F">
              <w:rPr>
                <w:rFonts w:ascii="Times New Roman" w:hAnsi="Times New Roman" w:cs="Times New Roman"/>
                <w:u w:val="single"/>
              </w:rPr>
              <w:t xml:space="preserve">NFX ISO-NE Massachusetts Hub Day-Ahead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(NONQ)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ISO-NE Massachusetts Hub Day-Ahead Peak Financial Futures (NEPQ)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ISO-NE Massachusetts Hub Day-Ahead Peak Mini Financial Futures – 5 MW (NMMQ)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ISO-NE Massachusetts Hub Day-Ahead Peak Mini Financial Futures – 1 MW (NEMQ)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MISO Indiana Hub Real-Time Off-Peak Financial Futures (CPOQ)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AC58E1" w:rsidRPr="00AD0AB5" w:rsidTr="00250E35">
        <w:tc>
          <w:tcPr>
            <w:tcW w:w="8280" w:type="dxa"/>
          </w:tcPr>
          <w:p w:rsidR="00AC58E1" w:rsidRPr="00981F8F" w:rsidRDefault="00AC58E1" w:rsidP="00FA77C5">
            <w:pPr>
              <w:rPr>
                <w:rFonts w:ascii="Times New Roman" w:hAnsi="Times New Roman" w:cs="Times New Roman"/>
              </w:rPr>
            </w:pPr>
            <w:r w:rsidRPr="00981F8F">
              <w:rPr>
                <w:rFonts w:ascii="Times New Roman" w:hAnsi="Times New Roman" w:cs="Times New Roman"/>
              </w:rPr>
              <w:t xml:space="preserve">NFX MISO Indiana Hub Real-Time Off-Peak </w:t>
            </w:r>
            <w:r w:rsidR="00AD0AB5" w:rsidRPr="00981F8F">
              <w:rPr>
                <w:rFonts w:ascii="Times New Roman" w:hAnsi="Times New Roman" w:cs="Times New Roman"/>
                <w:u w:val="single"/>
              </w:rPr>
              <w:t xml:space="preserve">Mini </w:t>
            </w:r>
            <w:r w:rsidRPr="00981F8F">
              <w:rPr>
                <w:rFonts w:ascii="Times New Roman" w:hAnsi="Times New Roman" w:cs="Times New Roman"/>
              </w:rPr>
              <w:t xml:space="preserve">Financial </w:t>
            </w:r>
            <w:r w:rsidRPr="00981F8F">
              <w:rPr>
                <w:rFonts w:ascii="Times New Roman" w:hAnsi="Times New Roman" w:cs="Times New Roman"/>
                <w:strike/>
              </w:rPr>
              <w:t xml:space="preserve">Mini </w:t>
            </w:r>
            <w:r w:rsidRPr="00981F8F">
              <w:rPr>
                <w:rFonts w:ascii="Times New Roman" w:hAnsi="Times New Roman" w:cs="Times New Roman"/>
              </w:rPr>
              <w:t>Futures (CPMQ)</w:t>
            </w:r>
          </w:p>
        </w:tc>
        <w:tc>
          <w:tcPr>
            <w:tcW w:w="1354" w:type="dxa"/>
          </w:tcPr>
          <w:p w:rsidR="00AC58E1" w:rsidRPr="00AD0AB5" w:rsidRDefault="00AC58E1"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rPr>
                <w:rFonts w:ascii="Times New Roman" w:hAnsi="Times New Roman" w:cs="Times New Roman"/>
                <w:u w:val="single"/>
              </w:rPr>
            </w:pPr>
            <w:r w:rsidRPr="00981F8F">
              <w:rPr>
                <w:rFonts w:ascii="Times New Roman" w:hAnsi="Times New Roman" w:cs="Times New Roman"/>
                <w:u w:val="single"/>
              </w:rPr>
              <w:t xml:space="preserve">NFX MISO Indiana Hub Real-Time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(CPNQ)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MISO Indiana Hub Real-Time Peak Financial Futures (CINQ)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MISO Indiana Hub Real-Time Peak Mini Financial Futures – 5 MW (MCHQ)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MISO Indiana Hub Real-Time Peak Mini Financial Futures – 1 MW (MCGQ)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AEP Dayton Hub Real-Time Off-Peak Financial Futures (AODQ)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AC58E1" w:rsidRPr="00AD0AB5" w:rsidTr="00250E35">
        <w:tc>
          <w:tcPr>
            <w:tcW w:w="8280" w:type="dxa"/>
          </w:tcPr>
          <w:p w:rsidR="00AC58E1" w:rsidRPr="00981F8F" w:rsidRDefault="00AC58E1" w:rsidP="00FA77C5">
            <w:pPr>
              <w:rPr>
                <w:rFonts w:ascii="Times New Roman" w:hAnsi="Times New Roman" w:cs="Times New Roman"/>
              </w:rPr>
            </w:pPr>
            <w:r w:rsidRPr="00981F8F">
              <w:rPr>
                <w:rFonts w:ascii="Times New Roman" w:hAnsi="Times New Roman" w:cs="Times New Roman"/>
              </w:rPr>
              <w:t xml:space="preserve">NFX PJM AEP Dayton Hub Real-Time Off-Peak </w:t>
            </w:r>
            <w:r w:rsidR="00AD0AB5" w:rsidRPr="00981F8F">
              <w:rPr>
                <w:rFonts w:ascii="Times New Roman" w:hAnsi="Times New Roman" w:cs="Times New Roman"/>
                <w:u w:val="single"/>
              </w:rPr>
              <w:t xml:space="preserve">Mini </w:t>
            </w:r>
            <w:r w:rsidRPr="00981F8F">
              <w:rPr>
                <w:rFonts w:ascii="Times New Roman" w:hAnsi="Times New Roman" w:cs="Times New Roman"/>
              </w:rPr>
              <w:t xml:space="preserve">Financial </w:t>
            </w:r>
            <w:r w:rsidRPr="00981F8F">
              <w:rPr>
                <w:rFonts w:ascii="Times New Roman" w:hAnsi="Times New Roman" w:cs="Times New Roman"/>
                <w:strike/>
              </w:rPr>
              <w:t xml:space="preserve">Mini </w:t>
            </w:r>
            <w:r w:rsidRPr="00981F8F">
              <w:rPr>
                <w:rFonts w:ascii="Times New Roman" w:hAnsi="Times New Roman" w:cs="Times New Roman"/>
              </w:rPr>
              <w:t>Futures (AOMQ)</w:t>
            </w:r>
          </w:p>
        </w:tc>
        <w:tc>
          <w:tcPr>
            <w:tcW w:w="1354" w:type="dxa"/>
          </w:tcPr>
          <w:p w:rsidR="00AC58E1" w:rsidRPr="00AD0AB5" w:rsidRDefault="00AC58E1"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rPr>
                <w:rFonts w:ascii="Times New Roman" w:hAnsi="Times New Roman" w:cs="Times New Roman"/>
                <w:u w:val="single"/>
              </w:rPr>
            </w:pPr>
            <w:r w:rsidRPr="00981F8F">
              <w:rPr>
                <w:rFonts w:ascii="Times New Roman" w:hAnsi="Times New Roman" w:cs="Times New Roman"/>
                <w:u w:val="single"/>
              </w:rPr>
              <w:lastRenderedPageBreak/>
              <w:t xml:space="preserve">NFX PJM AEP Dayton Hub Real-Time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(AONQ)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AEP Dayton Hub Real-Time Peak Financial Futures (MSOQ)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 xml:space="preserve">NFX PJM AEP Dayton Hub Real-Time </w:t>
            </w:r>
            <w:r w:rsidRPr="00981F8F">
              <w:rPr>
                <w:rFonts w:ascii="Times New Roman" w:hAnsi="Times New Roman" w:cs="Times New Roman"/>
                <w:strike/>
              </w:rPr>
              <w:t xml:space="preserve">Mini </w:t>
            </w:r>
            <w:r w:rsidRPr="00981F8F">
              <w:rPr>
                <w:rFonts w:ascii="Times New Roman" w:hAnsi="Times New Roman" w:cs="Times New Roman"/>
              </w:rPr>
              <w:t xml:space="preserve">Peak </w:t>
            </w:r>
            <w:r w:rsidR="00AD0AB5" w:rsidRPr="00981F8F">
              <w:rPr>
                <w:rFonts w:ascii="Times New Roman" w:hAnsi="Times New Roman" w:cs="Times New Roman"/>
                <w:u w:val="single"/>
              </w:rPr>
              <w:t xml:space="preserve">Mini </w:t>
            </w:r>
            <w:r w:rsidRPr="00981F8F">
              <w:rPr>
                <w:rFonts w:ascii="Times New Roman" w:hAnsi="Times New Roman" w:cs="Times New Roman"/>
              </w:rPr>
              <w:t>Financial Futures – 5 MW (MSSQ)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 xml:space="preserve">NFX PJM AEP Dayton Hub Real-Time </w:t>
            </w:r>
            <w:r w:rsidRPr="00981F8F">
              <w:rPr>
                <w:rFonts w:ascii="Times New Roman" w:hAnsi="Times New Roman" w:cs="Times New Roman"/>
                <w:strike/>
              </w:rPr>
              <w:t xml:space="preserve">Mini </w:t>
            </w:r>
            <w:r w:rsidRPr="00981F8F">
              <w:rPr>
                <w:rFonts w:ascii="Times New Roman" w:hAnsi="Times New Roman" w:cs="Times New Roman"/>
              </w:rPr>
              <w:t xml:space="preserve">Peak </w:t>
            </w:r>
            <w:r w:rsidR="00056AD5" w:rsidRPr="00981F8F">
              <w:rPr>
                <w:rFonts w:ascii="Times New Roman" w:hAnsi="Times New Roman" w:cs="Times New Roman"/>
                <w:u w:val="single"/>
              </w:rPr>
              <w:t xml:space="preserve">Mini </w:t>
            </w:r>
            <w:r w:rsidRPr="00981F8F">
              <w:rPr>
                <w:rFonts w:ascii="Times New Roman" w:hAnsi="Times New Roman" w:cs="Times New Roman"/>
              </w:rPr>
              <w:t>Financial Futures – 1 MW (MSTQ)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Northern Illinois Hub Real-Time Off-Peak Financial Futures (NIOQ)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AC58E1" w:rsidRPr="00AD0AB5" w:rsidTr="00250E35">
        <w:tc>
          <w:tcPr>
            <w:tcW w:w="8280" w:type="dxa"/>
          </w:tcPr>
          <w:p w:rsidR="00AC58E1" w:rsidRPr="00981F8F" w:rsidRDefault="00AC58E1" w:rsidP="00FA77C5">
            <w:pPr>
              <w:rPr>
                <w:rFonts w:ascii="Times New Roman" w:hAnsi="Times New Roman" w:cs="Times New Roman"/>
              </w:rPr>
            </w:pPr>
            <w:r w:rsidRPr="00981F8F">
              <w:rPr>
                <w:rFonts w:ascii="Times New Roman" w:hAnsi="Times New Roman" w:cs="Times New Roman"/>
              </w:rPr>
              <w:t>NFX PJM Northern Illinois Hub Real-Time Off-Peak Mini Financial Futures (NIMQ)</w:t>
            </w:r>
          </w:p>
        </w:tc>
        <w:tc>
          <w:tcPr>
            <w:tcW w:w="1354" w:type="dxa"/>
          </w:tcPr>
          <w:p w:rsidR="00AC58E1" w:rsidRPr="00AD0AB5" w:rsidRDefault="00AC58E1"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rPr>
                <w:rFonts w:ascii="Times New Roman" w:hAnsi="Times New Roman" w:cs="Times New Roman"/>
                <w:u w:val="single"/>
              </w:rPr>
            </w:pPr>
            <w:r w:rsidRPr="00981F8F">
              <w:rPr>
                <w:rFonts w:ascii="Times New Roman" w:hAnsi="Times New Roman" w:cs="Times New Roman"/>
                <w:u w:val="single"/>
              </w:rPr>
              <w:t xml:space="preserve">NFX PJM Northern Illinois Hub Real-Time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(NINQ)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Northern Illinois Hub Real-Time Peak Financial Futures  (PNLQ)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Northern Illinois Hub Real-Time Peak Mini Financial Futures  – 5 MW (PNQQ)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b/>
              </w:rPr>
            </w:pPr>
            <w:r w:rsidRPr="00981F8F">
              <w:rPr>
                <w:rFonts w:ascii="Times New Roman" w:hAnsi="Times New Roman" w:cs="Times New Roman"/>
              </w:rPr>
              <w:t>NFX PJM Northern Illinois Hub Real-Time Peak Mini Financial Futures  – 1 MW (PNPQ)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Western Hub Real-Time Off-Peak Financial Futures (OPJQ)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981F8F" w:rsidRDefault="006A29B0" w:rsidP="00FA77C5">
            <w:pPr>
              <w:spacing w:line="276" w:lineRule="auto"/>
              <w:rPr>
                <w:rFonts w:ascii="Times New Roman" w:hAnsi="Times New Roman" w:cs="Times New Roman"/>
              </w:rPr>
            </w:pPr>
            <w:r w:rsidRPr="00981F8F">
              <w:rPr>
                <w:rFonts w:ascii="Times New Roman" w:hAnsi="Times New Roman" w:cs="Times New Roman"/>
              </w:rPr>
              <w:t>NFX PJM Western Hub Real-Time Off-Peak Mini Financial Futures (OPKQ)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056AD5" w:rsidRPr="00AD0AB5" w:rsidTr="00250E35">
        <w:tc>
          <w:tcPr>
            <w:tcW w:w="8280" w:type="dxa"/>
          </w:tcPr>
          <w:p w:rsidR="00056AD5" w:rsidRPr="00981F8F" w:rsidRDefault="00056AD5" w:rsidP="00AD0AB5">
            <w:pPr>
              <w:rPr>
                <w:rFonts w:ascii="Times New Roman" w:hAnsi="Times New Roman" w:cs="Times New Roman"/>
                <w:u w:val="single"/>
              </w:rPr>
            </w:pPr>
            <w:r w:rsidRPr="00981F8F">
              <w:rPr>
                <w:rFonts w:ascii="Times New Roman" w:hAnsi="Times New Roman" w:cs="Times New Roman"/>
                <w:u w:val="single"/>
              </w:rPr>
              <w:t xml:space="preserve">NFX PJM Western Hub Real-Time Off-Peak Mini Financial Futures </w:t>
            </w:r>
            <w:r w:rsidR="00AD0AB5" w:rsidRPr="00981F8F">
              <w:rPr>
                <w:rFonts w:ascii="Times New Roman" w:hAnsi="Times New Roman" w:cs="Times New Roman"/>
                <w:u w:val="single"/>
              </w:rPr>
              <w:t>–</w:t>
            </w:r>
            <w:r w:rsidRPr="00981F8F">
              <w:rPr>
                <w:rFonts w:ascii="Times New Roman" w:hAnsi="Times New Roman" w:cs="Times New Roman"/>
                <w:u w:val="single"/>
              </w:rPr>
              <w:t xml:space="preserve"> 1</w:t>
            </w:r>
            <w:r w:rsidR="00AD0AB5" w:rsidRPr="00981F8F">
              <w:rPr>
                <w:rFonts w:ascii="Times New Roman" w:hAnsi="Times New Roman" w:cs="Times New Roman"/>
                <w:u w:val="single"/>
              </w:rPr>
              <w:t xml:space="preserve"> </w:t>
            </w:r>
            <w:r w:rsidRPr="00981F8F">
              <w:rPr>
                <w:rFonts w:ascii="Times New Roman" w:hAnsi="Times New Roman" w:cs="Times New Roman"/>
                <w:u w:val="single"/>
              </w:rPr>
              <w:t>MW (OPNQ)</w:t>
            </w:r>
          </w:p>
        </w:tc>
        <w:tc>
          <w:tcPr>
            <w:tcW w:w="1354" w:type="dxa"/>
          </w:tcPr>
          <w:p w:rsidR="00056AD5" w:rsidRPr="00CD4779" w:rsidRDefault="00AD0AB5" w:rsidP="006A29B0">
            <w:pPr>
              <w:spacing w:line="276" w:lineRule="auto"/>
              <w:jc w:val="center"/>
              <w:rPr>
                <w:rFonts w:ascii="Times New Roman" w:hAnsi="Times New Roman" w:cs="Times New Roman"/>
                <w:u w:val="single"/>
              </w:rPr>
            </w:pPr>
            <w:r w:rsidRPr="00CD4779">
              <w:rPr>
                <w:rFonts w:ascii="Times New Roman" w:hAnsi="Times New Roman" w:cs="Times New Roman"/>
                <w:u w:val="single"/>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PJM Western Hub Real-Time Peak Financial Futures (PJMQ)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PJM Western Hub Real-Time Peak Mini Financial Futures – 5 MW (PMJQ)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r w:rsidR="006A29B0" w:rsidRPr="00AD0AB5" w:rsidTr="00250E35">
        <w:tc>
          <w:tcPr>
            <w:tcW w:w="8280" w:type="dxa"/>
          </w:tcPr>
          <w:p w:rsidR="006A29B0" w:rsidRPr="00AD0AB5" w:rsidRDefault="006A29B0" w:rsidP="00FA77C5">
            <w:pPr>
              <w:spacing w:line="276" w:lineRule="auto"/>
              <w:rPr>
                <w:rFonts w:ascii="Times New Roman" w:hAnsi="Times New Roman" w:cs="Times New Roman"/>
              </w:rPr>
            </w:pPr>
            <w:r w:rsidRPr="00AD0AB5">
              <w:rPr>
                <w:rFonts w:ascii="Times New Roman" w:hAnsi="Times New Roman" w:cs="Times New Roman"/>
              </w:rPr>
              <w:t>NFX PJM Western Hub Real-Time Peak Mini Financial Futures – 1 MW (PMIQ)</w:t>
            </w:r>
          </w:p>
        </w:tc>
        <w:tc>
          <w:tcPr>
            <w:tcW w:w="1354" w:type="dxa"/>
          </w:tcPr>
          <w:p w:rsidR="006A29B0" w:rsidRPr="00AD0AB5" w:rsidRDefault="006A29B0" w:rsidP="006A29B0">
            <w:pPr>
              <w:spacing w:line="276" w:lineRule="auto"/>
              <w:jc w:val="center"/>
              <w:rPr>
                <w:rFonts w:ascii="Times New Roman" w:hAnsi="Times New Roman" w:cs="Times New Roman"/>
              </w:rPr>
            </w:pPr>
            <w:r w:rsidRPr="00AD0AB5">
              <w:rPr>
                <w:rFonts w:ascii="Times New Roman" w:hAnsi="Times New Roman" w:cs="Times New Roman"/>
              </w:rPr>
              <w:t>$0.00</w:t>
            </w:r>
          </w:p>
        </w:tc>
      </w:tr>
    </w:tbl>
    <w:p w:rsidR="006A29B0" w:rsidRPr="00AD0AB5" w:rsidRDefault="006A29B0" w:rsidP="006A29B0">
      <w:pPr>
        <w:spacing w:before="150" w:line="240" w:lineRule="atLeast"/>
        <w:ind w:left="216" w:hanging="216"/>
        <w:outlineLvl w:val="1"/>
        <w:rPr>
          <w:rFonts w:eastAsiaTheme="minorHAnsi"/>
          <w:bCs/>
        </w:rPr>
      </w:pPr>
    </w:p>
    <w:p w:rsidR="006A29B0" w:rsidRDefault="006A29B0" w:rsidP="006A29B0">
      <w:pPr>
        <w:spacing w:before="150" w:line="240" w:lineRule="atLeast"/>
        <w:outlineLvl w:val="1"/>
        <w:rPr>
          <w:bCs/>
        </w:rPr>
      </w:pPr>
      <w:r w:rsidRPr="006A29B0">
        <w:rPr>
          <w:b/>
          <w:bCs/>
        </w:rPr>
        <w:t>Section</w:t>
      </w:r>
      <w:r w:rsidR="00F804A7">
        <w:rPr>
          <w:b/>
          <w:bCs/>
        </w:rPr>
        <w:t>s</w:t>
      </w:r>
      <w:r w:rsidRPr="006A29B0">
        <w:rPr>
          <w:b/>
          <w:bCs/>
        </w:rPr>
        <w:t xml:space="preserve"> I</w:t>
      </w:r>
      <w:r>
        <w:rPr>
          <w:b/>
          <w:bCs/>
        </w:rPr>
        <w:t xml:space="preserve">I and III – </w:t>
      </w:r>
      <w:r w:rsidRPr="006A29B0">
        <w:rPr>
          <w:bCs/>
        </w:rPr>
        <w:t>No change</w:t>
      </w:r>
    </w:p>
    <w:p w:rsidR="006A29B0" w:rsidRPr="006A29B0" w:rsidRDefault="006A29B0" w:rsidP="006A29B0">
      <w:pPr>
        <w:spacing w:before="150" w:line="240" w:lineRule="atLeast"/>
        <w:outlineLvl w:val="1"/>
        <w:rPr>
          <w:bCs/>
        </w:rPr>
      </w:pPr>
    </w:p>
    <w:p w:rsidR="006A29B0" w:rsidRPr="00056AD5" w:rsidRDefault="006A29B0" w:rsidP="006A29B0">
      <w:pPr>
        <w:spacing w:before="150" w:line="240" w:lineRule="atLeast"/>
        <w:outlineLvl w:val="1"/>
        <w:rPr>
          <w:b/>
          <w:bCs/>
          <w:strike/>
        </w:rPr>
      </w:pPr>
      <w:r w:rsidRPr="00056AD5">
        <w:rPr>
          <w:b/>
          <w:bCs/>
          <w:strike/>
        </w:rPr>
        <w:t>Section IV - Incentive Program</w:t>
      </w:r>
    </w:p>
    <w:p w:rsidR="006A29B0" w:rsidRPr="00056AD5" w:rsidRDefault="006A29B0" w:rsidP="006A29B0">
      <w:pPr>
        <w:spacing w:before="150" w:line="240" w:lineRule="atLeast"/>
        <w:outlineLvl w:val="1"/>
        <w:rPr>
          <w:b/>
          <w:bCs/>
          <w:strike/>
        </w:rPr>
      </w:pPr>
    </w:p>
    <w:p w:rsidR="00F804A7" w:rsidRPr="00056AD5" w:rsidRDefault="006A29B0" w:rsidP="006A29B0">
      <w:pPr>
        <w:spacing w:before="15" w:line="240" w:lineRule="atLeast"/>
        <w:rPr>
          <w:strike/>
        </w:rPr>
      </w:pPr>
      <w:r w:rsidRPr="00056AD5">
        <w:rPr>
          <w:b/>
          <w:bCs/>
          <w:strike/>
        </w:rPr>
        <w:t>Purpose</w:t>
      </w:r>
      <w:r w:rsidRPr="00056AD5">
        <w:rPr>
          <w:strike/>
        </w:rPr>
        <w:t>:</w:t>
      </w:r>
    </w:p>
    <w:p w:rsidR="006A29B0" w:rsidRPr="00056AD5" w:rsidRDefault="006A29B0" w:rsidP="006A29B0">
      <w:pPr>
        <w:spacing w:before="15" w:line="240" w:lineRule="atLeast"/>
        <w:rPr>
          <w:strike/>
        </w:rPr>
      </w:pPr>
      <w:r w:rsidRPr="00056AD5">
        <w:rPr>
          <w:strike/>
        </w:rPr>
        <w:t>The purpose of this Program is to incent a number of key participants representing different market sectors who will be Futures Participants or Authorized Customers to enhance liquidity in the Energy Products identified below listed on the Exchange. The resulting increase in liquidity benefits all participants in the market.</w:t>
      </w:r>
    </w:p>
    <w:p w:rsidR="006A29B0" w:rsidRPr="00056AD5" w:rsidRDefault="006A29B0" w:rsidP="006A29B0">
      <w:pPr>
        <w:spacing w:before="15" w:line="240" w:lineRule="atLeast"/>
        <w:rPr>
          <w:b/>
          <w:bCs/>
          <w:strike/>
        </w:rPr>
      </w:pPr>
    </w:p>
    <w:p w:rsidR="006A29B0" w:rsidRPr="00056AD5" w:rsidRDefault="006A29B0" w:rsidP="006A29B0">
      <w:pPr>
        <w:spacing w:before="15" w:line="240" w:lineRule="atLeast"/>
        <w:rPr>
          <w:strike/>
        </w:rPr>
      </w:pPr>
      <w:r w:rsidRPr="00056AD5">
        <w:rPr>
          <w:b/>
          <w:bCs/>
          <w:strike/>
        </w:rPr>
        <w:t>Product Scope:</w:t>
      </w:r>
      <w:r w:rsidRPr="00056AD5">
        <w:rPr>
          <w:strike/>
        </w:rPr>
        <w:t xml:space="preserve"> </w:t>
      </w:r>
    </w:p>
    <w:p w:rsidR="006A29B0" w:rsidRPr="00056AD5" w:rsidRDefault="006A29B0" w:rsidP="006A29B0">
      <w:pPr>
        <w:tabs>
          <w:tab w:val="left" w:pos="1170"/>
        </w:tabs>
        <w:spacing w:line="276" w:lineRule="auto"/>
        <w:contextualSpacing/>
        <w:rPr>
          <w:rFonts w:eastAsiaTheme="minorHAnsi"/>
          <w:bCs/>
          <w:strike/>
        </w:rPr>
      </w:pPr>
      <w:r w:rsidRPr="00056AD5">
        <w:rPr>
          <w:rFonts w:eastAsiaTheme="minorHAnsi"/>
          <w:strike/>
        </w:rPr>
        <w:t xml:space="preserve">The following Contracts are subject to the Program: NFX Brent Crude Financial Futures; </w:t>
      </w:r>
      <w:r w:rsidRPr="00056AD5">
        <w:rPr>
          <w:rFonts w:eastAsiaTheme="minorHAnsi"/>
          <w:bCs/>
          <w:strike/>
        </w:rPr>
        <w:t xml:space="preserve">NFX Brent 1st Line Financial Futures (IBQ); </w:t>
      </w:r>
      <w:r w:rsidRPr="00056AD5">
        <w:rPr>
          <w:bCs/>
          <w:strike/>
        </w:rPr>
        <w:t>NFX Brent 1st Line Mini Financial Futures (IMMQ);</w:t>
      </w:r>
    </w:p>
    <w:p w:rsidR="006A29B0" w:rsidRPr="00056AD5" w:rsidRDefault="006A29B0" w:rsidP="00FA77C5">
      <w:pPr>
        <w:rPr>
          <w:b/>
          <w:bCs/>
          <w:strike/>
        </w:rPr>
      </w:pPr>
      <w:r w:rsidRPr="00056AD5">
        <w:rPr>
          <w:rFonts w:eastAsiaTheme="minorHAnsi"/>
          <w:strike/>
        </w:rPr>
        <w:t xml:space="preserve">NFX Options on NFX Brent Crude Financial Futures; NFX WTI Crude Oil Financial Futures; NFX Low Sulphur Gasoil Financial Futures; </w:t>
      </w:r>
      <w:r w:rsidRPr="00056AD5">
        <w:rPr>
          <w:rFonts w:eastAsiaTheme="minorHAnsi"/>
          <w:bCs/>
          <w:strike/>
        </w:rPr>
        <w:t xml:space="preserve">NFX Low Sulphur Gasoil 1st Line Financial Futures (ULAQ); </w:t>
      </w:r>
      <w:r w:rsidRPr="00056AD5">
        <w:rPr>
          <w:rFonts w:eastAsiaTheme="minorHAnsi"/>
          <w:bCs/>
          <w:strike/>
          <w:color w:val="000000"/>
        </w:rPr>
        <w:t xml:space="preserve">NFX Gasoil Crack Financial Futures (in BBLS)- Low Sulphur Gasoil 1st Line vs Brent 1st Line (GZQ); </w:t>
      </w:r>
      <w:r w:rsidRPr="00056AD5">
        <w:rPr>
          <w:strike/>
        </w:rPr>
        <w:t xml:space="preserve">NFX Heating Oil Financial Futures; NFX RBOB Gasoline Financial Futures; NFX WTI Crude Oil Penultimate Financial Futures; NFX RBOB Gasoline 1st Line Financial Futures (RBSQ); </w:t>
      </w:r>
      <w:r w:rsidRPr="00056AD5">
        <w:rPr>
          <w:bCs/>
          <w:strike/>
          <w:color w:val="000000"/>
        </w:rPr>
        <w:t xml:space="preserve">NFX Gasoline Crack </w:t>
      </w:r>
      <w:r w:rsidRPr="00056AD5">
        <w:rPr>
          <w:bCs/>
          <w:strike/>
        </w:rPr>
        <w:t xml:space="preserve">Financial Futures (in BBLS) </w:t>
      </w:r>
      <w:r w:rsidRPr="00056AD5">
        <w:rPr>
          <w:bCs/>
          <w:strike/>
          <w:color w:val="000000"/>
        </w:rPr>
        <w:t xml:space="preserve">- RBOB Gasoline 1st Line vs  Brent 1st Line (RBRQ); </w:t>
      </w:r>
      <w:r w:rsidRPr="00056AD5">
        <w:rPr>
          <w:bCs/>
          <w:strike/>
        </w:rPr>
        <w:t xml:space="preserve">NFX WTI 1st Line Financial Futures (RTIQ); NFX WTI </w:t>
      </w:r>
      <w:r w:rsidRPr="00056AD5">
        <w:rPr>
          <w:bCs/>
          <w:strike/>
        </w:rPr>
        <w:lastRenderedPageBreak/>
        <w:t xml:space="preserve">1st Line Mini Financial Futures (RMMQ); </w:t>
      </w:r>
      <w:r w:rsidRPr="00056AD5">
        <w:rPr>
          <w:strike/>
        </w:rPr>
        <w:t xml:space="preserve">NFX Options on NFX WTI Crude Oil Penultimate Financial Futures; NFX Heating Oil Penultimate Financial Futures; NFX Heating Oil 1st Line Financial Futures (HOFQ); NFX RBOB Gasoline Penultimate Financial Futures; NFX Henry Hub Natural Gas Financial Futures - 2,500; NFX Henry Hub Natural Gas Penultimate Financial Futures - 2,500; NFX Henry Hub Natural Gas Financial Futures - 10,000; NFX Henry Hub Natural Gas Penultimate Financial Futures - 10,000; NFX Options on NFX Henry Hub Penultimate Financial Futures - 10,000 (LNQ); NFX CAISO NP-15 Hub Day-Ahead Off-Peak Financial Futures; </w:t>
      </w:r>
      <w:r w:rsidR="00FA77C5" w:rsidRPr="00056AD5">
        <w:rPr>
          <w:strike/>
        </w:rPr>
        <w:t xml:space="preserve">NFX CAISO NP-15 Hub Day-Ahead Off-Peak Mini Financial Futures (ONMQ); </w:t>
      </w:r>
      <w:r w:rsidRPr="00056AD5">
        <w:rPr>
          <w:strike/>
        </w:rPr>
        <w:t xml:space="preserve">NFX CAISO NP-15 Hub Day-Ahead Peak Financial Futures; NFX CAISO NP-15 Hub Day-Ahead Peak Mini Financial Futures – 5 MW (NPNQ); NFX CAISO NP-15 Hub Day-Ahead Peak Mini Financial Futures – 1 MW (NPPQ); NFX CAISO SP-15 Hub Day-Ahead Off-Peak Financial Futures; </w:t>
      </w:r>
      <w:r w:rsidR="00FA77C5" w:rsidRPr="00056AD5">
        <w:rPr>
          <w:strike/>
        </w:rPr>
        <w:t xml:space="preserve">NFX CAISO SP-15 Hub Day-Ahead Off-Peak Mini Financial Futures (OFMQ); </w:t>
      </w:r>
      <w:r w:rsidRPr="00056AD5">
        <w:rPr>
          <w:strike/>
        </w:rPr>
        <w:t xml:space="preserve">NFX CAISO SP-15 Hub Day-Ahead Peak Financial Futures; NFX CAISO SP-15 Hub Day-Ahead Peak Mini Financial Futures – 5 MW (SPZQ); NFX CAISO SP-15 Hub Day-Ahead Peak Mini Financial Futures – 1 MW (SPVQ); NFX ISO-NE Massachusetts Hub Day-Ahead Off-Peak Financial Futures; </w:t>
      </w:r>
      <w:r w:rsidR="00FA77C5" w:rsidRPr="00056AD5">
        <w:rPr>
          <w:rFonts w:eastAsiaTheme="minorHAnsi"/>
          <w:strike/>
        </w:rPr>
        <w:t xml:space="preserve">NFX ISO-NE Massachusetts Hub Day-Ahead Off-Peak Mini Financial Futures (NOMQ); </w:t>
      </w:r>
      <w:r w:rsidRPr="00056AD5">
        <w:rPr>
          <w:strike/>
        </w:rPr>
        <w:t xml:space="preserve">NFX ISO-NE Massachusetts Hub Day-Ahead Peak Financial Futures; NFX ISO-NE Massachusetts Hub Day-Ahead Peak Mini Financial Futures – 5 MW (NMMQ); NFX ISO-NE Massachusetts Hub Day-Ahead Peak Mini Financial Futures – 1 MW (NEMQ); NFX MISO Indiana Hub Real-Time Off-Peak Financial Futures; </w:t>
      </w:r>
      <w:r w:rsidR="00FA77C5" w:rsidRPr="00056AD5">
        <w:rPr>
          <w:rFonts w:eastAsiaTheme="minorHAnsi"/>
          <w:strike/>
        </w:rPr>
        <w:t xml:space="preserve">NFX MISO Indiana Hub Real-Time Off-Peak Financial Mini Futures (CPMQ); </w:t>
      </w:r>
      <w:r w:rsidRPr="00056AD5">
        <w:rPr>
          <w:strike/>
        </w:rPr>
        <w:t xml:space="preserve">NFX MISO Indiana Hub Real-Time Peak Financial Futures; NFX MISO Indiana Hub Real-Time Peak Mini Financial Futures – 5 MW (MCHQ); NFX MISO Indiana Hub Real-Time Peak Mini Financial Futures – 1 MW (MCGQ); NFX PJM AEP Dayton Hub Real-Time Off-Peak Financial Futures; </w:t>
      </w:r>
      <w:r w:rsidR="00FA77C5" w:rsidRPr="00056AD5">
        <w:rPr>
          <w:rFonts w:eastAsiaTheme="minorHAnsi"/>
          <w:strike/>
        </w:rPr>
        <w:t xml:space="preserve">NFX PJM AEP Dayton Hub Real-Time Off-Peak Financial Mini Futures (AOMQ); </w:t>
      </w:r>
      <w:r w:rsidRPr="00056AD5">
        <w:rPr>
          <w:strike/>
        </w:rPr>
        <w:t xml:space="preserve">NFX PJM AEP Dayton Hub Real-Time Peak Financial Futures; NFX PJM AEP Dayton Hub Real-Time Peak Mini Financial Futures – 5 MW (MSSQ); NFX PJM AEP Dayton Hub Real-Time Peak Mini Financial Futures – 1 MW (MSTQ); NFX PJM Northern Illinois Hub Real-Time Off-Peak Financial Futures; </w:t>
      </w:r>
      <w:r w:rsidR="00FA77C5" w:rsidRPr="00056AD5">
        <w:rPr>
          <w:rFonts w:eastAsiaTheme="minorHAnsi"/>
          <w:strike/>
        </w:rPr>
        <w:t xml:space="preserve">NFX PJM Northern Illinois Hub Real-Time Off-Peak Mini Financial Futures (NIMQ); </w:t>
      </w:r>
      <w:r w:rsidRPr="00056AD5">
        <w:rPr>
          <w:strike/>
        </w:rPr>
        <w:t>NFX PJM Northern Illinois Hub Real-Time Peak Financial Futures; NFX PJM Northern Illinois Hub Real-Time Peak Mini Financial Futures  – 5 MW (PNQQ); NFX PJM Northern Illinois Hub Real-Time Peak Mini Financial Futures  – 1 MW (PNPQ); NFX PJM Western Hub Day-Ahead Off-Peak Financial Futures; NFX PJM Western Hub Day-Ahead Peak Financial Futures; NFX PJM Western Hub Real-Time Off-Peak Financial Futures; NFX PJM Western Hub Real-Time Off-Peak Mini Financial Futures (OPKQ); NFX PJM Western Hub Real-Time Peak Financial Futures; NFX PJM Western Hub Real-Time Peak Financial Futures – 5 MW (PMJQ); and NFX PJM Western Hub Real-Time Peak Financial Futures – 1 MW (PMIQ).</w:t>
      </w:r>
    </w:p>
    <w:p w:rsidR="006A29B0" w:rsidRPr="00056AD5" w:rsidRDefault="006A29B0" w:rsidP="006A29B0">
      <w:pPr>
        <w:spacing w:before="15" w:line="240" w:lineRule="atLeast"/>
        <w:rPr>
          <w:b/>
          <w:bCs/>
          <w:strike/>
        </w:rPr>
      </w:pPr>
    </w:p>
    <w:p w:rsidR="006A29B0" w:rsidRPr="00056AD5" w:rsidRDefault="006A29B0" w:rsidP="006A29B0">
      <w:pPr>
        <w:spacing w:before="15" w:line="240" w:lineRule="atLeast"/>
        <w:rPr>
          <w:strike/>
        </w:rPr>
      </w:pPr>
      <w:r w:rsidRPr="00056AD5">
        <w:rPr>
          <w:b/>
          <w:bCs/>
          <w:strike/>
        </w:rPr>
        <w:t>Eligible Participants:</w:t>
      </w:r>
      <w:r w:rsidRPr="00056AD5">
        <w:rPr>
          <w:strike/>
        </w:rPr>
        <w:t xml:space="preserve"> </w:t>
      </w:r>
    </w:p>
    <w:p w:rsidR="006A29B0" w:rsidRPr="00056AD5" w:rsidRDefault="006A29B0" w:rsidP="006A29B0">
      <w:pPr>
        <w:spacing w:before="15" w:line="240" w:lineRule="atLeast"/>
        <w:rPr>
          <w:strike/>
        </w:rPr>
      </w:pPr>
      <w:r w:rsidRPr="00056AD5">
        <w:rPr>
          <w:strike/>
        </w:rPr>
        <w:t>Participants are certain Futures Participants or Authorized Customers, subject to the Rules of the Exchange, and must execute a requisite amount of volume on the Exchange to be eligible for incentives.</w:t>
      </w:r>
    </w:p>
    <w:p w:rsidR="00B855EE" w:rsidRDefault="00B855EE" w:rsidP="002A5AEE">
      <w:pPr>
        <w:rPr>
          <w:rFonts w:ascii="Calibri" w:eastAsiaTheme="minorHAnsi" w:hAnsi="Calibri"/>
          <w:color w:val="1F497D"/>
          <w:sz w:val="22"/>
          <w:szCs w:val="22"/>
        </w:rPr>
      </w:pPr>
    </w:p>
    <w:p w:rsidR="00284906" w:rsidRPr="00857230" w:rsidRDefault="00857230" w:rsidP="00857230">
      <w:pPr>
        <w:pStyle w:val="ListParagraph"/>
        <w:numPr>
          <w:ilvl w:val="0"/>
          <w:numId w:val="0"/>
        </w:numPr>
        <w:spacing w:before="150" w:after="15" w:line="240" w:lineRule="atLeast"/>
        <w:ind w:left="2880" w:firstLine="720"/>
        <w:outlineLvl w:val="1"/>
        <w:rPr>
          <w:rFonts w:ascii="Times New Roman" w:hAnsi="Times New Roman"/>
          <w:b/>
          <w:bCs/>
          <w:sz w:val="24"/>
        </w:rPr>
      </w:pPr>
      <w:r w:rsidRPr="00857230">
        <w:rPr>
          <w:rFonts w:ascii="Times New Roman" w:hAnsi="Times New Roman"/>
          <w:b/>
          <w:bCs/>
          <w:sz w:val="24"/>
        </w:rPr>
        <w:t>*   *   *   *   *</w:t>
      </w:r>
    </w:p>
    <w:sectPr w:rsidR="00284906" w:rsidRPr="00857230" w:rsidSect="00BB4738">
      <w:headerReference w:type="first" r:id="rId10"/>
      <w:footerReference w:type="first" r:id="rId11"/>
      <w:pgSz w:w="12242" w:h="15842" w:code="1"/>
      <w:pgMar w:top="760" w:right="1393" w:bottom="709" w:left="1503" w:header="720" w:footer="720" w:gutter="0"/>
      <w:pgNumType w:start="1"/>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macro wne:macroName="NORMAL.NEWMACROS.CONFIDENTIALWATERMARK"/>
    </wne:keymap>
    <wne:keymap wne:kcmPrimary="04BE">
      <wne:macro wne:macroName="NORMAL.NEWMACROS.TEST4FORM"/>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B8" w:rsidRDefault="008725B8">
      <w:r>
        <w:separator/>
      </w:r>
    </w:p>
  </w:endnote>
  <w:endnote w:type="continuationSeparator" w:id="0">
    <w:p w:rsidR="008725B8" w:rsidRDefault="0087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9A7D50" w:rsidP="0026070A">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B8" w:rsidRDefault="008725B8">
      <w:r>
        <w:separator/>
      </w:r>
    </w:p>
  </w:footnote>
  <w:footnote w:type="continuationSeparator" w:id="0">
    <w:p w:rsidR="008725B8" w:rsidRDefault="0087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Pr="00056AD5" w:rsidRDefault="00056AD5" w:rsidP="00056AD5">
    <w:pPr>
      <w:pStyle w:val="Header"/>
    </w:pPr>
    <w:r w:rsidRPr="002E383E">
      <w:rPr>
        <w:noProof/>
      </w:rPr>
      <w:drawing>
        <wp:anchor distT="0" distB="0" distL="114300" distR="114300" simplePos="0" relativeHeight="251659264" behindDoc="0" locked="1" layoutInCell="1" allowOverlap="1" wp14:anchorId="10C04CF4" wp14:editId="3C54EFDA">
          <wp:simplePos x="0" y="0"/>
          <wp:positionH relativeFrom="column">
            <wp:posOffset>4417695</wp:posOffset>
          </wp:positionH>
          <wp:positionV relativeFrom="page">
            <wp:posOffset>508000</wp:posOffset>
          </wp:positionV>
          <wp:extent cx="1673225" cy="481330"/>
          <wp:effectExtent l="0" t="0" r="317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D16F0"/>
    <w:multiLevelType w:val="hybridMultilevel"/>
    <w:tmpl w:val="B540FC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E7E9F"/>
    <w:multiLevelType w:val="hybridMultilevel"/>
    <w:tmpl w:val="68785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A7"/>
    <w:rsid w:val="000043A4"/>
    <w:rsid w:val="00013DEA"/>
    <w:rsid w:val="00015EA2"/>
    <w:rsid w:val="00030F44"/>
    <w:rsid w:val="00036D59"/>
    <w:rsid w:val="000403DC"/>
    <w:rsid w:val="000510CF"/>
    <w:rsid w:val="00056AD5"/>
    <w:rsid w:val="000673B3"/>
    <w:rsid w:val="000856AE"/>
    <w:rsid w:val="0008620E"/>
    <w:rsid w:val="0009480C"/>
    <w:rsid w:val="000A6835"/>
    <w:rsid w:val="000C6FFD"/>
    <w:rsid w:val="000D270D"/>
    <w:rsid w:val="000D3207"/>
    <w:rsid w:val="000D77D3"/>
    <w:rsid w:val="000E5FA7"/>
    <w:rsid w:val="000F40B5"/>
    <w:rsid w:val="0010004F"/>
    <w:rsid w:val="001032E5"/>
    <w:rsid w:val="001235FE"/>
    <w:rsid w:val="00125087"/>
    <w:rsid w:val="00131DAD"/>
    <w:rsid w:val="00137502"/>
    <w:rsid w:val="00137667"/>
    <w:rsid w:val="0014040C"/>
    <w:rsid w:val="001407C1"/>
    <w:rsid w:val="0015163A"/>
    <w:rsid w:val="001578E4"/>
    <w:rsid w:val="00181440"/>
    <w:rsid w:val="001B0087"/>
    <w:rsid w:val="001B1728"/>
    <w:rsid w:val="001E1161"/>
    <w:rsid w:val="001F0055"/>
    <w:rsid w:val="00210E67"/>
    <w:rsid w:val="002172F1"/>
    <w:rsid w:val="00234CB6"/>
    <w:rsid w:val="00242B19"/>
    <w:rsid w:val="0026070A"/>
    <w:rsid w:val="002640D3"/>
    <w:rsid w:val="002756A1"/>
    <w:rsid w:val="00282D71"/>
    <w:rsid w:val="00284906"/>
    <w:rsid w:val="00287050"/>
    <w:rsid w:val="00291504"/>
    <w:rsid w:val="002A5AEE"/>
    <w:rsid w:val="002B066C"/>
    <w:rsid w:val="002C1BE0"/>
    <w:rsid w:val="002C534D"/>
    <w:rsid w:val="002C5C67"/>
    <w:rsid w:val="002D1647"/>
    <w:rsid w:val="002D57FE"/>
    <w:rsid w:val="002E0EBE"/>
    <w:rsid w:val="002F4BBC"/>
    <w:rsid w:val="00314B47"/>
    <w:rsid w:val="0032471F"/>
    <w:rsid w:val="00331ED2"/>
    <w:rsid w:val="00333930"/>
    <w:rsid w:val="0035344B"/>
    <w:rsid w:val="00354150"/>
    <w:rsid w:val="00354249"/>
    <w:rsid w:val="00370191"/>
    <w:rsid w:val="00375999"/>
    <w:rsid w:val="003771B0"/>
    <w:rsid w:val="00395FEE"/>
    <w:rsid w:val="003C1061"/>
    <w:rsid w:val="003C41EF"/>
    <w:rsid w:val="003C7E63"/>
    <w:rsid w:val="003D21E4"/>
    <w:rsid w:val="003E7D45"/>
    <w:rsid w:val="003F14C0"/>
    <w:rsid w:val="004106FF"/>
    <w:rsid w:val="0041273B"/>
    <w:rsid w:val="00416D49"/>
    <w:rsid w:val="00420B59"/>
    <w:rsid w:val="00421BDF"/>
    <w:rsid w:val="004253F8"/>
    <w:rsid w:val="00431D7F"/>
    <w:rsid w:val="0043728D"/>
    <w:rsid w:val="0044129A"/>
    <w:rsid w:val="004503EA"/>
    <w:rsid w:val="00450DB2"/>
    <w:rsid w:val="004565B0"/>
    <w:rsid w:val="00470EE4"/>
    <w:rsid w:val="00471211"/>
    <w:rsid w:val="00485A87"/>
    <w:rsid w:val="004B04C6"/>
    <w:rsid w:val="004C1269"/>
    <w:rsid w:val="004C6F48"/>
    <w:rsid w:val="004D121F"/>
    <w:rsid w:val="004D1A2F"/>
    <w:rsid w:val="004D5F0A"/>
    <w:rsid w:val="004E218F"/>
    <w:rsid w:val="004E4591"/>
    <w:rsid w:val="004E5056"/>
    <w:rsid w:val="004F2402"/>
    <w:rsid w:val="00500FC0"/>
    <w:rsid w:val="005369C0"/>
    <w:rsid w:val="00541C75"/>
    <w:rsid w:val="005579D2"/>
    <w:rsid w:val="00557B84"/>
    <w:rsid w:val="00572E78"/>
    <w:rsid w:val="00580418"/>
    <w:rsid w:val="00586D63"/>
    <w:rsid w:val="005958B9"/>
    <w:rsid w:val="005A5739"/>
    <w:rsid w:val="005B5372"/>
    <w:rsid w:val="005C14B2"/>
    <w:rsid w:val="005D6A53"/>
    <w:rsid w:val="005E0226"/>
    <w:rsid w:val="00614500"/>
    <w:rsid w:val="00623D49"/>
    <w:rsid w:val="006349AB"/>
    <w:rsid w:val="00644034"/>
    <w:rsid w:val="00655137"/>
    <w:rsid w:val="00656B9F"/>
    <w:rsid w:val="00661480"/>
    <w:rsid w:val="00671514"/>
    <w:rsid w:val="0067278D"/>
    <w:rsid w:val="006760F4"/>
    <w:rsid w:val="00697CED"/>
    <w:rsid w:val="006A0CEA"/>
    <w:rsid w:val="006A2922"/>
    <w:rsid w:val="006A29B0"/>
    <w:rsid w:val="006D0853"/>
    <w:rsid w:val="006D6FB4"/>
    <w:rsid w:val="006F32BD"/>
    <w:rsid w:val="006F7AD0"/>
    <w:rsid w:val="00700887"/>
    <w:rsid w:val="00701616"/>
    <w:rsid w:val="00722839"/>
    <w:rsid w:val="007274B5"/>
    <w:rsid w:val="0073719B"/>
    <w:rsid w:val="00737A74"/>
    <w:rsid w:val="0075735C"/>
    <w:rsid w:val="007606D0"/>
    <w:rsid w:val="0077052C"/>
    <w:rsid w:val="00770531"/>
    <w:rsid w:val="007808BC"/>
    <w:rsid w:val="007814B6"/>
    <w:rsid w:val="00781AE7"/>
    <w:rsid w:val="007902B8"/>
    <w:rsid w:val="00790D4C"/>
    <w:rsid w:val="00795F4E"/>
    <w:rsid w:val="007A1771"/>
    <w:rsid w:val="007A1851"/>
    <w:rsid w:val="007C0096"/>
    <w:rsid w:val="007C1FE9"/>
    <w:rsid w:val="0081179D"/>
    <w:rsid w:val="008163AD"/>
    <w:rsid w:val="008247D9"/>
    <w:rsid w:val="00833D2E"/>
    <w:rsid w:val="00840364"/>
    <w:rsid w:val="00855220"/>
    <w:rsid w:val="00857230"/>
    <w:rsid w:val="00864205"/>
    <w:rsid w:val="00864675"/>
    <w:rsid w:val="008725B8"/>
    <w:rsid w:val="00890E04"/>
    <w:rsid w:val="008A1578"/>
    <w:rsid w:val="008A7601"/>
    <w:rsid w:val="008B0730"/>
    <w:rsid w:val="008B0D60"/>
    <w:rsid w:val="008D0073"/>
    <w:rsid w:val="008D3DBF"/>
    <w:rsid w:val="008E2827"/>
    <w:rsid w:val="00900237"/>
    <w:rsid w:val="00913ED4"/>
    <w:rsid w:val="009163D8"/>
    <w:rsid w:val="009176D8"/>
    <w:rsid w:val="00920917"/>
    <w:rsid w:val="009244A9"/>
    <w:rsid w:val="00944D48"/>
    <w:rsid w:val="009523B1"/>
    <w:rsid w:val="009567B1"/>
    <w:rsid w:val="00957E3F"/>
    <w:rsid w:val="00973190"/>
    <w:rsid w:val="00976D6D"/>
    <w:rsid w:val="00981F8F"/>
    <w:rsid w:val="009855D3"/>
    <w:rsid w:val="00985E5A"/>
    <w:rsid w:val="00987D2A"/>
    <w:rsid w:val="00987D71"/>
    <w:rsid w:val="00995B1D"/>
    <w:rsid w:val="009964F5"/>
    <w:rsid w:val="009A4422"/>
    <w:rsid w:val="009A7D50"/>
    <w:rsid w:val="009B7307"/>
    <w:rsid w:val="009E1F6E"/>
    <w:rsid w:val="009F41CE"/>
    <w:rsid w:val="00A050ED"/>
    <w:rsid w:val="00A13FC6"/>
    <w:rsid w:val="00A165FC"/>
    <w:rsid w:val="00A17750"/>
    <w:rsid w:val="00A42BD3"/>
    <w:rsid w:val="00A4332F"/>
    <w:rsid w:val="00A50B5D"/>
    <w:rsid w:val="00A516B5"/>
    <w:rsid w:val="00A622C1"/>
    <w:rsid w:val="00A814F4"/>
    <w:rsid w:val="00A852EB"/>
    <w:rsid w:val="00AA2F4E"/>
    <w:rsid w:val="00AC263C"/>
    <w:rsid w:val="00AC4CE4"/>
    <w:rsid w:val="00AC58E1"/>
    <w:rsid w:val="00AD0AB5"/>
    <w:rsid w:val="00AD1DE8"/>
    <w:rsid w:val="00AD3892"/>
    <w:rsid w:val="00AE2352"/>
    <w:rsid w:val="00AE345E"/>
    <w:rsid w:val="00AE3E14"/>
    <w:rsid w:val="00AF214E"/>
    <w:rsid w:val="00B00182"/>
    <w:rsid w:val="00B01032"/>
    <w:rsid w:val="00B04A09"/>
    <w:rsid w:val="00B12283"/>
    <w:rsid w:val="00B22499"/>
    <w:rsid w:val="00B302FC"/>
    <w:rsid w:val="00B855EE"/>
    <w:rsid w:val="00B86676"/>
    <w:rsid w:val="00B9034D"/>
    <w:rsid w:val="00B91D3C"/>
    <w:rsid w:val="00B92C4E"/>
    <w:rsid w:val="00BA2EBC"/>
    <w:rsid w:val="00BB34D3"/>
    <w:rsid w:val="00BB4738"/>
    <w:rsid w:val="00BB4F4A"/>
    <w:rsid w:val="00BB799B"/>
    <w:rsid w:val="00BB7F36"/>
    <w:rsid w:val="00BC23A7"/>
    <w:rsid w:val="00BD010C"/>
    <w:rsid w:val="00BD1C5A"/>
    <w:rsid w:val="00BD6BA8"/>
    <w:rsid w:val="00BF3A96"/>
    <w:rsid w:val="00C07FB6"/>
    <w:rsid w:val="00C14C64"/>
    <w:rsid w:val="00C248FF"/>
    <w:rsid w:val="00C255E6"/>
    <w:rsid w:val="00C30952"/>
    <w:rsid w:val="00C33E50"/>
    <w:rsid w:val="00C47A82"/>
    <w:rsid w:val="00C52503"/>
    <w:rsid w:val="00C55383"/>
    <w:rsid w:val="00C605B1"/>
    <w:rsid w:val="00C637B6"/>
    <w:rsid w:val="00C64F1C"/>
    <w:rsid w:val="00C81E8D"/>
    <w:rsid w:val="00C83264"/>
    <w:rsid w:val="00C91E9D"/>
    <w:rsid w:val="00CA1DF5"/>
    <w:rsid w:val="00CA759B"/>
    <w:rsid w:val="00CA7AB3"/>
    <w:rsid w:val="00CB2A1A"/>
    <w:rsid w:val="00CB4B74"/>
    <w:rsid w:val="00CB61E2"/>
    <w:rsid w:val="00CD4291"/>
    <w:rsid w:val="00CD4779"/>
    <w:rsid w:val="00CF0136"/>
    <w:rsid w:val="00CF2E16"/>
    <w:rsid w:val="00D05B1B"/>
    <w:rsid w:val="00D109B8"/>
    <w:rsid w:val="00D15A4C"/>
    <w:rsid w:val="00D245ED"/>
    <w:rsid w:val="00D42D1C"/>
    <w:rsid w:val="00D5366A"/>
    <w:rsid w:val="00D62038"/>
    <w:rsid w:val="00D73371"/>
    <w:rsid w:val="00D7639F"/>
    <w:rsid w:val="00D8222F"/>
    <w:rsid w:val="00D8490F"/>
    <w:rsid w:val="00DD37A1"/>
    <w:rsid w:val="00DD6544"/>
    <w:rsid w:val="00DF2991"/>
    <w:rsid w:val="00DF452C"/>
    <w:rsid w:val="00E05D8E"/>
    <w:rsid w:val="00E07592"/>
    <w:rsid w:val="00E150C4"/>
    <w:rsid w:val="00E15868"/>
    <w:rsid w:val="00E17743"/>
    <w:rsid w:val="00E21454"/>
    <w:rsid w:val="00E2542C"/>
    <w:rsid w:val="00E30981"/>
    <w:rsid w:val="00E41203"/>
    <w:rsid w:val="00E53BE3"/>
    <w:rsid w:val="00E61F3F"/>
    <w:rsid w:val="00E755C8"/>
    <w:rsid w:val="00E91DA9"/>
    <w:rsid w:val="00E93E95"/>
    <w:rsid w:val="00EB352E"/>
    <w:rsid w:val="00EC0513"/>
    <w:rsid w:val="00EC2BE4"/>
    <w:rsid w:val="00EC34E5"/>
    <w:rsid w:val="00EC56D1"/>
    <w:rsid w:val="00EE3DE5"/>
    <w:rsid w:val="00EE7271"/>
    <w:rsid w:val="00EF1AE9"/>
    <w:rsid w:val="00EF2303"/>
    <w:rsid w:val="00F1646B"/>
    <w:rsid w:val="00F302C7"/>
    <w:rsid w:val="00F54823"/>
    <w:rsid w:val="00F66B09"/>
    <w:rsid w:val="00F678D6"/>
    <w:rsid w:val="00F71194"/>
    <w:rsid w:val="00F804A7"/>
    <w:rsid w:val="00F81AD4"/>
    <w:rsid w:val="00F84AB2"/>
    <w:rsid w:val="00F95813"/>
    <w:rsid w:val="00FA0B23"/>
    <w:rsid w:val="00FA77C5"/>
    <w:rsid w:val="00FC79C1"/>
    <w:rsid w:val="00FD4215"/>
    <w:rsid w:val="00FE15F5"/>
    <w:rsid w:val="00FF63E1"/>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 w:type="character" w:styleId="FollowedHyperlink">
    <w:name w:val="FollowedHyperlink"/>
    <w:basedOn w:val="DefaultParagraphFont"/>
    <w:rsid w:val="00913E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 w:type="character" w:styleId="FollowedHyperlink">
    <w:name w:val="FollowedHyperlink"/>
    <w:basedOn w:val="DefaultParagraphFont"/>
    <w:rsid w:val="00913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476">
      <w:bodyDiv w:val="1"/>
      <w:marLeft w:val="0"/>
      <w:marRight w:val="0"/>
      <w:marTop w:val="0"/>
      <w:marBottom w:val="0"/>
      <w:divBdr>
        <w:top w:val="none" w:sz="0" w:space="0" w:color="auto"/>
        <w:left w:val="none" w:sz="0" w:space="0" w:color="auto"/>
        <w:bottom w:val="none" w:sz="0" w:space="0" w:color="auto"/>
        <w:right w:val="none" w:sz="0" w:space="0" w:color="auto"/>
      </w:divBdr>
    </w:div>
    <w:div w:id="364869695">
      <w:bodyDiv w:val="1"/>
      <w:marLeft w:val="0"/>
      <w:marRight w:val="0"/>
      <w:marTop w:val="0"/>
      <w:marBottom w:val="0"/>
      <w:divBdr>
        <w:top w:val="none" w:sz="0" w:space="0" w:color="auto"/>
        <w:left w:val="none" w:sz="0" w:space="0" w:color="auto"/>
        <w:bottom w:val="none" w:sz="0" w:space="0" w:color="auto"/>
        <w:right w:val="none" w:sz="0" w:space="0" w:color="auto"/>
      </w:divBdr>
    </w:div>
    <w:div w:id="452214702">
      <w:bodyDiv w:val="1"/>
      <w:marLeft w:val="0"/>
      <w:marRight w:val="0"/>
      <w:marTop w:val="0"/>
      <w:marBottom w:val="0"/>
      <w:divBdr>
        <w:top w:val="none" w:sz="0" w:space="0" w:color="auto"/>
        <w:left w:val="none" w:sz="0" w:space="0" w:color="auto"/>
        <w:bottom w:val="none" w:sz="0" w:space="0" w:color="auto"/>
        <w:right w:val="none" w:sz="0" w:space="0" w:color="auto"/>
      </w:divBdr>
    </w:div>
    <w:div w:id="912273969">
      <w:bodyDiv w:val="1"/>
      <w:marLeft w:val="0"/>
      <w:marRight w:val="0"/>
      <w:marTop w:val="0"/>
      <w:marBottom w:val="0"/>
      <w:divBdr>
        <w:top w:val="none" w:sz="0" w:space="0" w:color="auto"/>
        <w:left w:val="none" w:sz="0" w:space="0" w:color="auto"/>
        <w:bottom w:val="none" w:sz="0" w:space="0" w:color="auto"/>
        <w:right w:val="none" w:sz="0" w:space="0" w:color="auto"/>
      </w:divBdr>
    </w:div>
    <w:div w:id="975838997">
      <w:bodyDiv w:val="1"/>
      <w:marLeft w:val="0"/>
      <w:marRight w:val="0"/>
      <w:marTop w:val="0"/>
      <w:marBottom w:val="0"/>
      <w:divBdr>
        <w:top w:val="none" w:sz="0" w:space="0" w:color="auto"/>
        <w:left w:val="none" w:sz="0" w:space="0" w:color="auto"/>
        <w:bottom w:val="none" w:sz="0" w:space="0" w:color="auto"/>
        <w:right w:val="none" w:sz="0" w:space="0" w:color="auto"/>
      </w:divBdr>
    </w:div>
    <w:div w:id="1213348396">
      <w:bodyDiv w:val="1"/>
      <w:marLeft w:val="0"/>
      <w:marRight w:val="0"/>
      <w:marTop w:val="0"/>
      <w:marBottom w:val="0"/>
      <w:divBdr>
        <w:top w:val="none" w:sz="0" w:space="0" w:color="auto"/>
        <w:left w:val="none" w:sz="0" w:space="0" w:color="auto"/>
        <w:bottom w:val="none" w:sz="0" w:space="0" w:color="auto"/>
        <w:right w:val="none" w:sz="0" w:space="0" w:color="auto"/>
      </w:divBdr>
    </w:div>
    <w:div w:id="1521817298">
      <w:bodyDiv w:val="1"/>
      <w:marLeft w:val="0"/>
      <w:marRight w:val="0"/>
      <w:marTop w:val="0"/>
      <w:marBottom w:val="0"/>
      <w:divBdr>
        <w:top w:val="none" w:sz="0" w:space="0" w:color="auto"/>
        <w:left w:val="none" w:sz="0" w:space="0" w:color="auto"/>
        <w:bottom w:val="none" w:sz="0" w:space="0" w:color="auto"/>
        <w:right w:val="none" w:sz="0" w:space="0" w:color="auto"/>
      </w:divBdr>
    </w:div>
    <w:div w:id="1683898455">
      <w:bodyDiv w:val="1"/>
      <w:marLeft w:val="0"/>
      <w:marRight w:val="0"/>
      <w:marTop w:val="0"/>
      <w:marBottom w:val="0"/>
      <w:divBdr>
        <w:top w:val="none" w:sz="0" w:space="0" w:color="auto"/>
        <w:left w:val="none" w:sz="0" w:space="0" w:color="auto"/>
        <w:bottom w:val="none" w:sz="0" w:space="0" w:color="auto"/>
        <w:right w:val="none" w:sz="0" w:space="0" w:color="auto"/>
      </w:divBdr>
    </w:div>
    <w:div w:id="1771315982">
      <w:bodyDiv w:val="1"/>
      <w:marLeft w:val="0"/>
      <w:marRight w:val="0"/>
      <w:marTop w:val="0"/>
      <w:marBottom w:val="0"/>
      <w:divBdr>
        <w:top w:val="none" w:sz="0" w:space="0" w:color="auto"/>
        <w:left w:val="none" w:sz="0" w:space="0" w:color="auto"/>
        <w:bottom w:val="none" w:sz="0" w:space="0" w:color="auto"/>
        <w:right w:val="none" w:sz="0" w:space="0" w:color="auto"/>
      </w:divBdr>
    </w:div>
    <w:div w:id="20415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6f722001-444c-41ca-a378-406b2b6acd29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2016-03-03T16:16:09+00:00</Document_x0020_Date>
    <Document_x0020_No xmlns="4b47aac5-4c46-444f-8595-ce09b406fc61">23032</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AF57-E4D3-46FA-814E-284216E69C74}"/>
</file>

<file path=customXml/itemProps2.xml><?xml version="1.0" encoding="utf-8"?>
<ds:datastoreItem xmlns:ds="http://schemas.openxmlformats.org/officeDocument/2006/customXml" ds:itemID="{B855EDCE-91F5-44D7-B0EB-53787695AB92}"/>
</file>

<file path=customXml/itemProps3.xml><?xml version="1.0" encoding="utf-8"?>
<ds:datastoreItem xmlns:ds="http://schemas.openxmlformats.org/officeDocument/2006/customXml" ds:itemID="{149F16E7-F40B-4639-85A0-E056AC189943}"/>
</file>

<file path=customXml/itemProps4.xml><?xml version="1.0" encoding="utf-8"?>
<ds:datastoreItem xmlns:ds="http://schemas.openxmlformats.org/officeDocument/2006/customXml" ds:itemID="{7839D702-8090-49C5-AF3E-5E719B6456F9}"/>
</file>

<file path=customXml/itemProps5.xml><?xml version="1.0" encoding="utf-8"?>
<ds:datastoreItem xmlns:ds="http://schemas.openxmlformats.org/officeDocument/2006/customXml" ds:itemID="{6DC25FBC-7DFD-4ECC-B7F0-E6303D1FE9F4}"/>
</file>

<file path=docProps/app.xml><?xml version="1.0" encoding="utf-8"?>
<Properties xmlns="http://schemas.openxmlformats.org/officeDocument/2006/extended-properties" xmlns:vt="http://schemas.openxmlformats.org/officeDocument/2006/docPropsVTypes">
  <Template>Normal</Template>
  <TotalTime>8</TotalTime>
  <Pages>4</Pages>
  <Words>1482</Words>
  <Characters>8277</Characters>
  <Application>Microsoft Office Word</Application>
  <DocSecurity>6</DocSecurity>
  <Lines>68</Lines>
  <Paragraphs>19</Paragraphs>
  <ScaleCrop>false</ScaleCrop>
  <HeadingPairs>
    <vt:vector size="2" baseType="variant">
      <vt:variant>
        <vt:lpstr>Title</vt:lpstr>
      </vt:variant>
      <vt:variant>
        <vt:i4>1</vt:i4>
      </vt:variant>
    </vt:vector>
  </HeadingPairs>
  <TitlesOfParts>
    <vt:vector size="1" baseType="lpstr">
      <vt:lpstr>SUBMISSION COVER SHEET</vt:lpstr>
    </vt:vector>
  </TitlesOfParts>
  <Company>CFTC</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Eileen Chotiner</dc:creator>
  <cp:lastModifiedBy>Sherry Hill</cp:lastModifiedBy>
  <cp:revision>2</cp:revision>
  <cp:lastPrinted>2016-02-12T20:04:00Z</cp:lastPrinted>
  <dcterms:created xsi:type="dcterms:W3CDTF">2016-03-03T13:47:00Z</dcterms:created>
  <dcterms:modified xsi:type="dcterms:W3CDTF">2016-03-03T13:47:00Z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2275400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