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3C" w:rsidRPr="00E1206A" w:rsidRDefault="0008423C" w:rsidP="0008423C">
      <w:pPr>
        <w:pStyle w:val="NoSpacing"/>
        <w:ind w:left="2620" w:firstLine="1310"/>
        <w:rPr>
          <w:rFonts w:ascii="Times New Roman" w:eastAsia="Calibri" w:hAnsi="Times New Roman" w:cs="Times New Roman"/>
          <w:b/>
          <w:bCs/>
          <w:sz w:val="24"/>
          <w:szCs w:val="24"/>
        </w:rPr>
      </w:pPr>
      <w:bookmarkStart w:id="0" w:name="_GoBack"/>
      <w:bookmarkEnd w:id="0"/>
      <w:r w:rsidRPr="00E1206A">
        <w:rPr>
          <w:rFonts w:ascii="Times New Roman" w:eastAsia="Calibri" w:hAnsi="Times New Roman" w:cs="Times New Roman"/>
          <w:b/>
          <w:bCs/>
          <w:color w:val="333333"/>
          <w:sz w:val="24"/>
          <w:szCs w:val="24"/>
        </w:rPr>
        <w:t>Rule Self-Certification</w:t>
      </w:r>
    </w:p>
    <w:p w:rsidR="0008423C" w:rsidRPr="00E1206A" w:rsidRDefault="0008423C" w:rsidP="0008423C">
      <w:pPr>
        <w:pStyle w:val="NoSpacing"/>
        <w:rPr>
          <w:rFonts w:ascii="Times New Roman" w:eastAsia="Calibri" w:hAnsi="Times New Roman" w:cs="Times New Roman"/>
          <w:sz w:val="24"/>
          <w:szCs w:val="24"/>
          <w:u w:val="single"/>
        </w:rPr>
      </w:pPr>
    </w:p>
    <w:p w:rsidR="0008423C" w:rsidRPr="00E1206A" w:rsidRDefault="0008423C" w:rsidP="0008423C">
      <w:pPr>
        <w:pStyle w:val="NoSpacing"/>
        <w:rPr>
          <w:rFonts w:ascii="Times New Roman" w:hAnsi="Times New Roman" w:cs="Times New Roman"/>
          <w:sz w:val="24"/>
          <w:szCs w:val="24"/>
        </w:rPr>
      </w:pPr>
    </w:p>
    <w:p w:rsidR="0008423C" w:rsidRPr="00E1206A" w:rsidRDefault="00B53FAF" w:rsidP="0008423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B86F51">
        <w:rPr>
          <w:rFonts w:ascii="Times New Roman" w:eastAsia="Calibri" w:hAnsi="Times New Roman" w:cs="Times New Roman"/>
          <w:noProof/>
          <w:sz w:val="24"/>
          <w:szCs w:val="24"/>
        </w:rPr>
        <w:t>March 3, 2017</w:t>
      </w:r>
      <w:r>
        <w:rPr>
          <w:rFonts w:ascii="Times New Roman" w:eastAsia="Calibri" w:hAnsi="Times New Roman" w:cs="Times New Roman"/>
          <w:sz w:val="24"/>
          <w:szCs w:val="24"/>
        </w:rPr>
        <w:fldChar w:fldCharType="end"/>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08423C" w:rsidRPr="00E1206A" w:rsidRDefault="0008423C" w:rsidP="0008423C">
      <w:pPr>
        <w:pStyle w:val="NoSpacing"/>
        <w:rPr>
          <w:rFonts w:ascii="Times New Roman" w:eastAsia="Times New Roman" w:hAnsi="Times New Roman" w:cs="Times New Roman"/>
          <w:sz w:val="24"/>
          <w:szCs w:val="24"/>
        </w:rPr>
      </w:pPr>
    </w:p>
    <w:p w:rsidR="0008423C" w:rsidRPr="00E1206A" w:rsidRDefault="004B0524" w:rsidP="004B0524">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Pr>
          <w:rFonts w:ascii="Times New Roman" w:eastAsia="Calibri" w:hAnsi="Times New Roman" w:cs="Times New Roman"/>
          <w:b/>
          <w:sz w:val="24"/>
          <w:szCs w:val="24"/>
        </w:rPr>
        <w:t xml:space="preserve">Amendments to NFX Rulebook </w:t>
      </w:r>
    </w:p>
    <w:p w:rsidR="0008423C" w:rsidRPr="00E1206A" w:rsidRDefault="0008423C" w:rsidP="0008423C">
      <w:pPr>
        <w:pStyle w:val="NoSpacing"/>
        <w:ind w:left="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rPr>
        <w:t xml:space="preserve">       </w:t>
      </w:r>
      <w:r w:rsidRPr="00E1206A">
        <w:rPr>
          <w:rFonts w:ascii="Times New Roman" w:eastAsia="Calibri" w:hAnsi="Times New Roman" w:cs="Times New Roman"/>
          <w:b/>
          <w:sz w:val="24"/>
          <w:szCs w:val="24"/>
          <w:u w:val="single"/>
        </w:rPr>
        <w:t xml:space="preserve">Reference File: </w:t>
      </w:r>
      <w:r w:rsidR="004B0524" w:rsidRPr="00727909">
        <w:rPr>
          <w:rFonts w:ascii="Times New Roman" w:eastAsia="Calibri" w:hAnsi="Times New Roman" w:cs="Times New Roman"/>
          <w:b/>
          <w:sz w:val="24"/>
          <w:szCs w:val="24"/>
          <w:u w:val="single"/>
        </w:rPr>
        <w:t>SR-NFX-2017</w:t>
      </w:r>
      <w:r w:rsidRPr="00727909">
        <w:rPr>
          <w:rFonts w:ascii="Times New Roman" w:eastAsia="Calibri" w:hAnsi="Times New Roman" w:cs="Times New Roman"/>
          <w:b/>
          <w:sz w:val="24"/>
          <w:szCs w:val="24"/>
          <w:u w:val="single"/>
        </w:rPr>
        <w:t>-</w:t>
      </w:r>
      <w:r w:rsidR="00CD4999">
        <w:rPr>
          <w:rFonts w:ascii="Times New Roman" w:eastAsia="Calibri" w:hAnsi="Times New Roman" w:cs="Times New Roman"/>
          <w:b/>
          <w:sz w:val="24"/>
          <w:szCs w:val="24"/>
          <w:u w:val="single"/>
        </w:rPr>
        <w:t>07</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hereby submits rule</w:t>
      </w:r>
      <w:r w:rsidR="00891144">
        <w:rPr>
          <w:rFonts w:ascii="Times New Roman" w:eastAsia="Calibri" w:hAnsi="Times New Roman" w:cs="Times New Roman"/>
          <w:sz w:val="24"/>
          <w:szCs w:val="24"/>
        </w:rPr>
        <w:t xml:space="preserve"> amendments</w:t>
      </w:r>
      <w:r w:rsidR="006A7100">
        <w:rPr>
          <w:rFonts w:ascii="Times New Roman" w:eastAsia="Calibri" w:hAnsi="Times New Roman" w:cs="Times New Roman"/>
          <w:sz w:val="24"/>
          <w:szCs w:val="24"/>
        </w:rPr>
        <w:t xml:space="preserve"> </w:t>
      </w:r>
      <w:r w:rsidRPr="00E1206A">
        <w:rPr>
          <w:rFonts w:ascii="Times New Roman" w:eastAsia="Calibri" w:hAnsi="Times New Roman" w:cs="Times New Roman"/>
          <w:sz w:val="24"/>
          <w:szCs w:val="24"/>
        </w:rPr>
        <w:t xml:space="preserve">relating to </w:t>
      </w:r>
      <w:r w:rsidR="002C669B">
        <w:rPr>
          <w:rFonts w:ascii="Times New Roman" w:eastAsia="Calibri" w:hAnsi="Times New Roman" w:cs="Times New Roman"/>
          <w:sz w:val="24"/>
          <w:szCs w:val="24"/>
        </w:rPr>
        <w:t>Chapters II (Membership Rules), III (Obligations of Futures Participants</w:t>
      </w:r>
      <w:r w:rsidR="000140AE">
        <w:rPr>
          <w:rFonts w:ascii="Times New Roman" w:eastAsia="Calibri" w:hAnsi="Times New Roman" w:cs="Times New Roman"/>
          <w:sz w:val="24"/>
          <w:szCs w:val="24"/>
        </w:rPr>
        <w:t xml:space="preserve"> &amp; Authorized Traders</w:t>
      </w:r>
      <w:r w:rsidRPr="00E1206A">
        <w:rPr>
          <w:rFonts w:ascii="Times New Roman" w:eastAsia="Calibri" w:hAnsi="Times New Roman" w:cs="Times New Roman"/>
          <w:sz w:val="24"/>
          <w:szCs w:val="24"/>
        </w:rPr>
        <w:t>)</w:t>
      </w:r>
      <w:r w:rsidR="002C669B">
        <w:rPr>
          <w:rFonts w:ascii="Times New Roman" w:eastAsia="Calibri" w:hAnsi="Times New Roman" w:cs="Times New Roman"/>
          <w:sz w:val="24"/>
          <w:szCs w:val="24"/>
        </w:rPr>
        <w:t xml:space="preserve"> and V (Trading Procedures &amp; Standards)</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The Exchange anticipates the</w:t>
      </w:r>
      <w:r w:rsidR="00A816F3">
        <w:rPr>
          <w:rFonts w:ascii="Times New Roman" w:eastAsia="Calibri" w:hAnsi="Times New Roman" w:cs="Times New Roman"/>
          <w:sz w:val="24"/>
          <w:szCs w:val="24"/>
        </w:rPr>
        <w:t>se</w:t>
      </w:r>
      <w:r w:rsidR="00154FD5" w:rsidRPr="00E1206A">
        <w:rPr>
          <w:rFonts w:ascii="Times New Roman" w:eastAsia="Calibri" w:hAnsi="Times New Roman" w:cs="Times New Roman"/>
          <w:sz w:val="24"/>
          <w:szCs w:val="24"/>
        </w:rPr>
        <w:t xml:space="preserve"> </w:t>
      </w:r>
      <w:r w:rsidR="002C669B">
        <w:rPr>
          <w:rFonts w:ascii="Times New Roman" w:eastAsia="Times New Roman" w:hAnsi="Times New Roman" w:cs="Times New Roman"/>
          <w:bCs/>
          <w:sz w:val="24"/>
          <w:szCs w:val="24"/>
        </w:rPr>
        <w:t xml:space="preserve">rule amendments going into effect on </w:t>
      </w:r>
      <w:r w:rsidR="006A7100">
        <w:rPr>
          <w:rFonts w:ascii="Times New Roman" w:eastAsia="Calibri" w:hAnsi="Times New Roman" w:cs="Times New Roman"/>
          <w:sz w:val="24"/>
          <w:szCs w:val="24"/>
        </w:rPr>
        <w:t>March 19</w:t>
      </w:r>
      <w:r w:rsidR="00727909">
        <w:rPr>
          <w:rFonts w:ascii="Times New Roman" w:eastAsia="Calibri" w:hAnsi="Times New Roman" w:cs="Times New Roman"/>
          <w:sz w:val="24"/>
          <w:szCs w:val="24"/>
        </w:rPr>
        <w:t>, 2017</w:t>
      </w:r>
      <w:r w:rsidR="00154FD5" w:rsidRPr="00E1206A">
        <w:rPr>
          <w:rFonts w:ascii="Times New Roman" w:eastAsia="Calibri" w:hAnsi="Times New Roman" w:cs="Times New Roman"/>
          <w:sz w:val="24"/>
          <w:szCs w:val="24"/>
        </w:rPr>
        <w:t xml:space="preserve">, for trade date </w:t>
      </w:r>
      <w:r w:rsidR="00D326A7">
        <w:rPr>
          <w:rFonts w:ascii="Times New Roman" w:eastAsia="Calibri" w:hAnsi="Times New Roman" w:cs="Times New Roman"/>
          <w:sz w:val="24"/>
          <w:szCs w:val="24"/>
        </w:rPr>
        <w:t xml:space="preserve">March </w:t>
      </w:r>
      <w:r w:rsidR="006A7100">
        <w:rPr>
          <w:rFonts w:ascii="Times New Roman" w:eastAsia="Calibri" w:hAnsi="Times New Roman" w:cs="Times New Roman"/>
          <w:sz w:val="24"/>
          <w:szCs w:val="24"/>
        </w:rPr>
        <w:t>20</w:t>
      </w:r>
      <w:r w:rsidR="00727909">
        <w:rPr>
          <w:rFonts w:ascii="Times New Roman" w:eastAsia="Calibri" w:hAnsi="Times New Roman" w:cs="Times New Roman"/>
          <w:sz w:val="24"/>
          <w:szCs w:val="24"/>
        </w:rPr>
        <w:t>, 2017</w:t>
      </w:r>
      <w:r w:rsidR="00154FD5" w:rsidRPr="00E1206A">
        <w:rPr>
          <w:rFonts w:ascii="Times New Roman" w:eastAsia="Calibri" w:hAnsi="Times New Roman" w:cs="Times New Roman"/>
          <w:sz w:val="24"/>
          <w:szCs w:val="24"/>
        </w:rPr>
        <w:t xml:space="preserve">.  </w:t>
      </w:r>
    </w:p>
    <w:p w:rsidR="0008423C" w:rsidRPr="00E1206A" w:rsidRDefault="0008423C" w:rsidP="00154FD5">
      <w:pPr>
        <w:pStyle w:val="NoSpacing"/>
        <w:ind w:firstLine="720"/>
        <w:rPr>
          <w:rFonts w:ascii="Times New Roman" w:eastAsia="Calibri" w:hAnsi="Times New Roman" w:cs="Times New Roman"/>
          <w:sz w:val="24"/>
          <w:szCs w:val="24"/>
        </w:rPr>
      </w:pPr>
    </w:p>
    <w:p w:rsidR="0008423C" w:rsidRPr="00634E21" w:rsidRDefault="00D326A7" w:rsidP="00634E21">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6A7100">
        <w:rPr>
          <w:rFonts w:ascii="Times New Roman" w:eastAsia="Calibri" w:hAnsi="Times New Roman" w:cs="Times New Roman"/>
          <w:sz w:val="24"/>
          <w:szCs w:val="24"/>
        </w:rPr>
        <w:t xml:space="preserve">July </w:t>
      </w:r>
      <w:r>
        <w:rPr>
          <w:rFonts w:ascii="Times New Roman" w:eastAsia="Calibri" w:hAnsi="Times New Roman" w:cs="Times New Roman"/>
          <w:sz w:val="24"/>
          <w:szCs w:val="24"/>
        </w:rPr>
        <w:t xml:space="preserve">of 2016 </w:t>
      </w:r>
      <w:r w:rsidR="00634E21">
        <w:rPr>
          <w:rFonts w:ascii="Times New Roman" w:eastAsia="Calibri" w:hAnsi="Times New Roman" w:cs="Times New Roman"/>
          <w:sz w:val="24"/>
          <w:szCs w:val="24"/>
        </w:rPr>
        <w:t xml:space="preserve">NFX </w:t>
      </w:r>
      <w:r>
        <w:rPr>
          <w:rFonts w:ascii="Times New Roman" w:eastAsia="Calibri" w:hAnsi="Times New Roman" w:cs="Times New Roman"/>
          <w:sz w:val="24"/>
          <w:szCs w:val="24"/>
        </w:rPr>
        <w:t>marked its one year anniversary</w:t>
      </w:r>
      <w:r w:rsidR="00634E21">
        <w:rPr>
          <w:rFonts w:ascii="Times New Roman" w:eastAsia="Calibri" w:hAnsi="Times New Roman" w:cs="Times New Roman"/>
          <w:sz w:val="24"/>
          <w:szCs w:val="24"/>
        </w:rPr>
        <w:t xml:space="preserve"> since becoming </w:t>
      </w:r>
      <w:r w:rsidR="006A7100">
        <w:rPr>
          <w:rFonts w:ascii="Times New Roman" w:eastAsia="Calibri" w:hAnsi="Times New Roman" w:cs="Times New Roman"/>
          <w:sz w:val="24"/>
          <w:szCs w:val="24"/>
        </w:rPr>
        <w:t xml:space="preserve">re-designated </w:t>
      </w:r>
      <w:r w:rsidR="00634E21">
        <w:rPr>
          <w:rFonts w:ascii="Times New Roman" w:eastAsia="Calibri" w:hAnsi="Times New Roman" w:cs="Times New Roman"/>
          <w:sz w:val="24"/>
          <w:szCs w:val="24"/>
        </w:rPr>
        <w:t xml:space="preserve">as a </w:t>
      </w:r>
      <w:r w:rsidR="006A7100">
        <w:rPr>
          <w:rFonts w:ascii="Times New Roman" w:eastAsia="Calibri" w:hAnsi="Times New Roman" w:cs="Times New Roman"/>
          <w:sz w:val="24"/>
          <w:szCs w:val="24"/>
        </w:rPr>
        <w:t>Designated Contract Market</w:t>
      </w:r>
      <w:r>
        <w:rPr>
          <w:rFonts w:ascii="Times New Roman" w:eastAsia="Calibri" w:hAnsi="Times New Roman" w:cs="Times New Roman"/>
          <w:sz w:val="24"/>
          <w:szCs w:val="24"/>
        </w:rPr>
        <w:t xml:space="preserve">.  </w:t>
      </w:r>
      <w:r w:rsidR="00634E21">
        <w:rPr>
          <w:rFonts w:ascii="Times New Roman" w:eastAsia="Calibri" w:hAnsi="Times New Roman" w:cs="Times New Roman"/>
          <w:sz w:val="24"/>
          <w:szCs w:val="24"/>
        </w:rPr>
        <w:t xml:space="preserve">With the passing of this milestone, </w:t>
      </w:r>
      <w:r w:rsidR="000140AE">
        <w:rPr>
          <w:rFonts w:ascii="Times New Roman" w:eastAsia="Calibri" w:hAnsi="Times New Roman" w:cs="Times New Roman"/>
          <w:sz w:val="24"/>
          <w:szCs w:val="24"/>
        </w:rPr>
        <w:t xml:space="preserve">the Exchange began a process of reviewing the rulebook to ensure continued compliance with </w:t>
      </w:r>
      <w:r w:rsidR="006A7100">
        <w:rPr>
          <w:rFonts w:ascii="Times New Roman" w:eastAsia="Calibri" w:hAnsi="Times New Roman" w:cs="Times New Roman"/>
          <w:sz w:val="24"/>
          <w:szCs w:val="24"/>
        </w:rPr>
        <w:t xml:space="preserve">CFTC </w:t>
      </w:r>
      <w:r w:rsidR="000140AE">
        <w:rPr>
          <w:rFonts w:ascii="Times New Roman" w:eastAsia="Calibri" w:hAnsi="Times New Roman" w:cs="Times New Roman"/>
          <w:sz w:val="24"/>
          <w:szCs w:val="24"/>
        </w:rPr>
        <w:t xml:space="preserve">Core Principles and regulations.  </w:t>
      </w:r>
      <w:r w:rsidR="00634E21">
        <w:rPr>
          <w:rFonts w:ascii="Times New Roman" w:eastAsia="Calibri" w:hAnsi="Times New Roman" w:cs="Times New Roman"/>
          <w:sz w:val="24"/>
          <w:szCs w:val="24"/>
        </w:rPr>
        <w:t>During this review process</w:t>
      </w:r>
      <w:r w:rsidR="006A7100">
        <w:rPr>
          <w:rFonts w:ascii="Times New Roman" w:eastAsia="Calibri" w:hAnsi="Times New Roman" w:cs="Times New Roman"/>
          <w:sz w:val="24"/>
          <w:szCs w:val="24"/>
        </w:rPr>
        <w:t>,</w:t>
      </w:r>
      <w:r w:rsidR="00634E21">
        <w:rPr>
          <w:rFonts w:ascii="Times New Roman" w:eastAsia="Calibri" w:hAnsi="Times New Roman" w:cs="Times New Roman"/>
          <w:sz w:val="24"/>
          <w:szCs w:val="24"/>
        </w:rPr>
        <w:t xml:space="preserve"> the Exchange also set out to identify parts of the rulebook that should be updated.  This analysis was based in large part on identifying rules that</w:t>
      </w:r>
      <w:r w:rsidR="006A7100">
        <w:rPr>
          <w:rFonts w:ascii="Times New Roman" w:eastAsia="Calibri" w:hAnsi="Times New Roman" w:cs="Times New Roman"/>
          <w:sz w:val="24"/>
          <w:szCs w:val="24"/>
        </w:rPr>
        <w:t xml:space="preserve"> </w:t>
      </w:r>
      <w:r w:rsidR="00634E21">
        <w:rPr>
          <w:rFonts w:ascii="Times New Roman" w:eastAsia="Calibri" w:hAnsi="Times New Roman" w:cs="Times New Roman"/>
          <w:sz w:val="24"/>
          <w:szCs w:val="24"/>
        </w:rPr>
        <w:t xml:space="preserve">would benefit from slight modifications.  The rules in questions were chosen based on input from senior management of the Exchange, the Chief Regulatory Officer for NFX and </w:t>
      </w:r>
      <w:proofErr w:type="gramStart"/>
      <w:r w:rsidR="00634E21">
        <w:rPr>
          <w:rFonts w:ascii="Times New Roman" w:eastAsia="Calibri" w:hAnsi="Times New Roman" w:cs="Times New Roman"/>
          <w:sz w:val="24"/>
          <w:szCs w:val="24"/>
        </w:rPr>
        <w:t>Nasdaq’s</w:t>
      </w:r>
      <w:proofErr w:type="gramEnd"/>
      <w:r w:rsidR="00634E21">
        <w:rPr>
          <w:rFonts w:ascii="Times New Roman" w:eastAsia="Calibri" w:hAnsi="Times New Roman" w:cs="Times New Roman"/>
          <w:sz w:val="24"/>
          <w:szCs w:val="24"/>
        </w:rPr>
        <w:t xml:space="preserve"> Office of General Counsel.  </w:t>
      </w:r>
      <w:r w:rsidR="000140AE">
        <w:rPr>
          <w:rFonts w:ascii="Times New Roman" w:eastAsia="Calibri" w:hAnsi="Times New Roman" w:cs="Times New Roman"/>
          <w:sz w:val="24"/>
          <w:szCs w:val="24"/>
        </w:rPr>
        <w:t>The rule amendments are outlined below with a brief description of the change as well as th</w:t>
      </w:r>
      <w:r w:rsidR="00EB3D9D">
        <w:rPr>
          <w:rFonts w:ascii="Times New Roman" w:eastAsia="Calibri" w:hAnsi="Times New Roman" w:cs="Times New Roman"/>
          <w:sz w:val="24"/>
          <w:szCs w:val="24"/>
        </w:rPr>
        <w:t xml:space="preserve">e reasoning for the amendment.  </w:t>
      </w:r>
      <w:r w:rsidR="00634E21">
        <w:rPr>
          <w:rFonts w:ascii="Times New Roman" w:hAnsi="Times New Roman" w:cs="Times New Roman"/>
          <w:sz w:val="24"/>
          <w:szCs w:val="24"/>
        </w:rPr>
        <w:t>The amendments range in significance from grammatical to substantive.  Amendments with a substantive change will be discussed in detail below and noted in Appendix A</w:t>
      </w:r>
      <w:r w:rsidR="00A816F3">
        <w:rPr>
          <w:rFonts w:ascii="Times New Roman" w:hAnsi="Times New Roman" w:cs="Times New Roman"/>
          <w:sz w:val="24"/>
          <w:szCs w:val="24"/>
        </w:rPr>
        <w:t>.</w:t>
      </w:r>
      <w:r w:rsidR="00634E21">
        <w:rPr>
          <w:rFonts w:ascii="Times New Roman" w:hAnsi="Times New Roman" w:cs="Times New Roman"/>
          <w:sz w:val="24"/>
          <w:szCs w:val="24"/>
        </w:rPr>
        <w:t xml:space="preserve"> </w:t>
      </w:r>
      <w:r w:rsidR="00A816F3">
        <w:rPr>
          <w:rFonts w:ascii="Times New Roman" w:hAnsi="Times New Roman" w:cs="Times New Roman"/>
          <w:sz w:val="24"/>
          <w:szCs w:val="24"/>
        </w:rPr>
        <w:t>A</w:t>
      </w:r>
      <w:r w:rsidR="00634E21">
        <w:rPr>
          <w:rFonts w:ascii="Times New Roman" w:hAnsi="Times New Roman" w:cs="Times New Roman"/>
          <w:sz w:val="24"/>
          <w:szCs w:val="24"/>
        </w:rPr>
        <w:t xml:space="preserve">mendments that are merely grammatical </w:t>
      </w:r>
      <w:r w:rsidR="00A816F3">
        <w:rPr>
          <w:rFonts w:ascii="Times New Roman" w:hAnsi="Times New Roman" w:cs="Times New Roman"/>
          <w:sz w:val="24"/>
          <w:szCs w:val="24"/>
        </w:rPr>
        <w:t xml:space="preserve">changes </w:t>
      </w:r>
      <w:r w:rsidR="00634E21">
        <w:rPr>
          <w:rFonts w:ascii="Times New Roman" w:hAnsi="Times New Roman" w:cs="Times New Roman"/>
          <w:sz w:val="24"/>
          <w:szCs w:val="24"/>
        </w:rPr>
        <w:t xml:space="preserve">may be viewed in Appendix A.  </w:t>
      </w:r>
      <w:r w:rsidR="0008423C"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0008423C" w:rsidRPr="00E1206A">
        <w:rPr>
          <w:rFonts w:ascii="Times New Roman" w:hAnsi="Times New Roman" w:cs="Times New Roman"/>
          <w:sz w:val="24"/>
          <w:szCs w:val="24"/>
        </w:rPr>
        <w:t xml:space="preserve"> which amends Rulebook </w:t>
      </w:r>
      <w:r w:rsidR="002C669B">
        <w:rPr>
          <w:rFonts w:ascii="Times New Roman" w:hAnsi="Times New Roman" w:cs="Times New Roman"/>
          <w:sz w:val="24"/>
          <w:szCs w:val="24"/>
        </w:rPr>
        <w:t xml:space="preserve">Chapters II, III and V.  </w:t>
      </w:r>
      <w:r w:rsidR="0008423C" w:rsidRPr="00E1206A">
        <w:rPr>
          <w:rFonts w:ascii="Times New Roman" w:hAnsi="Times New Roman" w:cs="Times New Roman"/>
          <w:sz w:val="24"/>
          <w:szCs w:val="24"/>
        </w:rPr>
        <w:t xml:space="preserve">  </w:t>
      </w:r>
    </w:p>
    <w:p w:rsidR="00DF354C" w:rsidRDefault="00DF354C" w:rsidP="00EB3D9D">
      <w:pPr>
        <w:pStyle w:val="NoSpacing"/>
        <w:ind w:firstLine="1310"/>
        <w:rPr>
          <w:rFonts w:ascii="Times New Roman" w:hAnsi="Times New Roman" w:cs="Times New Roman"/>
          <w:sz w:val="24"/>
          <w:szCs w:val="24"/>
        </w:rPr>
      </w:pPr>
    </w:p>
    <w:p w:rsidR="00DF354C" w:rsidRDefault="00DF354C" w:rsidP="00EB3D9D">
      <w:pPr>
        <w:pStyle w:val="NoSpacing"/>
        <w:ind w:firstLine="1310"/>
        <w:rPr>
          <w:rFonts w:ascii="Times New Roman" w:hAnsi="Times New Roman" w:cs="Times New Roman"/>
          <w:sz w:val="24"/>
          <w:szCs w:val="24"/>
        </w:rPr>
      </w:pPr>
      <w:r>
        <w:rPr>
          <w:rFonts w:ascii="Times New Roman" w:hAnsi="Times New Roman" w:cs="Times New Roman"/>
          <w:sz w:val="24"/>
          <w:szCs w:val="24"/>
        </w:rPr>
        <w:t xml:space="preserve">  </w:t>
      </w:r>
    </w:p>
    <w:p w:rsidR="00DF354C" w:rsidRDefault="00DF354C" w:rsidP="00EB3D9D">
      <w:pPr>
        <w:pStyle w:val="NoSpacing"/>
        <w:ind w:firstLine="1310"/>
        <w:rPr>
          <w:rFonts w:ascii="Times New Roman" w:hAnsi="Times New Roman" w:cs="Times New Roman"/>
          <w:sz w:val="24"/>
          <w:szCs w:val="24"/>
        </w:rPr>
      </w:pPr>
    </w:p>
    <w:p w:rsidR="00DF354C" w:rsidRDefault="00DF354C" w:rsidP="00EB3D9D">
      <w:pPr>
        <w:pStyle w:val="NoSpacing"/>
        <w:ind w:firstLine="1310"/>
        <w:rPr>
          <w:rFonts w:ascii="Times New Roman" w:hAnsi="Times New Roman" w:cs="Times New Roman"/>
          <w:sz w:val="24"/>
          <w:szCs w:val="24"/>
        </w:rPr>
      </w:pPr>
    </w:p>
    <w:p w:rsidR="00DF354C" w:rsidRPr="00E1206A" w:rsidRDefault="00DF354C" w:rsidP="00EB3D9D">
      <w:pPr>
        <w:pStyle w:val="NoSpacing"/>
        <w:ind w:firstLine="1310"/>
        <w:rPr>
          <w:rFonts w:ascii="Times New Roman" w:eastAsia="Calibri" w:hAnsi="Times New Roman" w:cs="Times New Roman"/>
          <w:sz w:val="24"/>
          <w:szCs w:val="24"/>
        </w:rPr>
      </w:pPr>
    </w:p>
    <w:p w:rsidR="0008423C" w:rsidRPr="00E1206A" w:rsidRDefault="0008423C" w:rsidP="0008423C">
      <w:pPr>
        <w:pStyle w:val="NoSpacing"/>
        <w:ind w:firstLine="720"/>
        <w:rPr>
          <w:rFonts w:ascii="Times New Roman" w:hAnsi="Times New Roman" w:cs="Times New Roman"/>
          <w:sz w:val="24"/>
          <w:szCs w:val="24"/>
        </w:rPr>
      </w:pPr>
    </w:p>
    <w:p w:rsidR="00EB3D9D" w:rsidRPr="00E1206A" w:rsidRDefault="00EB3D9D" w:rsidP="00EB3D9D">
      <w:pPr>
        <w:pStyle w:val="Default"/>
        <w:ind w:left="1310"/>
        <w:rPr>
          <w:color w:val="auto"/>
        </w:rPr>
      </w:pPr>
      <w:r w:rsidRPr="00E1206A">
        <w:rPr>
          <w:b/>
          <w:bCs/>
          <w:color w:val="auto"/>
          <w:u w:val="single"/>
        </w:rPr>
        <w:t xml:space="preserve">Exhibit </w:t>
      </w:r>
      <w:r>
        <w:rPr>
          <w:b/>
          <w:bCs/>
          <w:color w:val="auto"/>
          <w:u w:val="single"/>
        </w:rPr>
        <w:t>A</w:t>
      </w:r>
      <w:r w:rsidRPr="00E1206A">
        <w:rPr>
          <w:b/>
          <w:bCs/>
          <w:color w:val="auto"/>
          <w:u w:val="single"/>
        </w:rPr>
        <w:t xml:space="preserve"> - Amendments to Rulebook </w:t>
      </w:r>
      <w:r>
        <w:rPr>
          <w:b/>
          <w:bCs/>
          <w:color w:val="auto"/>
          <w:u w:val="single"/>
        </w:rPr>
        <w:t>Chapters II, III and V</w:t>
      </w:r>
      <w:r w:rsidRPr="00E1206A">
        <w:rPr>
          <w:b/>
          <w:bCs/>
          <w:color w:val="auto"/>
          <w:u w:val="single"/>
        </w:rPr>
        <w:t xml:space="preserve"> </w:t>
      </w:r>
    </w:p>
    <w:p w:rsidR="0008423C" w:rsidRPr="00E1206A" w:rsidRDefault="0008423C" w:rsidP="0008423C">
      <w:pPr>
        <w:pStyle w:val="NoSpacing"/>
        <w:ind w:firstLine="1310"/>
        <w:rPr>
          <w:rFonts w:ascii="Times New Roman" w:hAnsi="Times New Roman" w:cs="Times New Roman"/>
          <w:sz w:val="24"/>
          <w:szCs w:val="24"/>
          <w:u w:val="single"/>
        </w:rPr>
      </w:pPr>
    </w:p>
    <w:p w:rsidR="00EB3D9D" w:rsidRDefault="00EB3D9D" w:rsidP="0008423C">
      <w:pPr>
        <w:pStyle w:val="NoSpacing"/>
        <w:ind w:firstLine="1310"/>
        <w:rPr>
          <w:rFonts w:ascii="Times New Roman" w:hAnsi="Times New Roman" w:cs="Times New Roman"/>
          <w:sz w:val="24"/>
          <w:szCs w:val="24"/>
          <w:u w:val="single"/>
        </w:rPr>
      </w:pPr>
    </w:p>
    <w:p w:rsidR="00EB3D9D" w:rsidRPr="00634E21" w:rsidRDefault="00EB3D9D" w:rsidP="00EB3D9D">
      <w:pPr>
        <w:pStyle w:val="NoSpacing"/>
        <w:rPr>
          <w:rFonts w:ascii="Times New Roman" w:eastAsia="Calibri" w:hAnsi="Times New Roman" w:cs="Times New Roman"/>
          <w:b/>
          <w:sz w:val="24"/>
          <w:szCs w:val="24"/>
        </w:rPr>
      </w:pPr>
      <w:r w:rsidRPr="00634E21">
        <w:rPr>
          <w:rFonts w:ascii="Times New Roman" w:eastAsia="Calibri" w:hAnsi="Times New Roman" w:cs="Times New Roman"/>
          <w:b/>
          <w:sz w:val="24"/>
          <w:szCs w:val="24"/>
        </w:rPr>
        <w:t>Chapter II, Membership Rules</w:t>
      </w:r>
    </w:p>
    <w:p w:rsidR="00DF354C" w:rsidRDefault="00DF354C" w:rsidP="00EB3D9D">
      <w:pPr>
        <w:pStyle w:val="NoSpacing"/>
        <w:rPr>
          <w:rFonts w:ascii="Times New Roman" w:eastAsia="Calibri" w:hAnsi="Times New Roman" w:cs="Times New Roman"/>
          <w:sz w:val="24"/>
          <w:szCs w:val="24"/>
        </w:rPr>
      </w:pPr>
    </w:p>
    <w:p w:rsidR="00634E21" w:rsidRDefault="00850673" w:rsidP="00EB3D9D">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The r</w:t>
      </w:r>
      <w:r w:rsidR="00634E21">
        <w:rPr>
          <w:rFonts w:ascii="Times New Roman" w:eastAsia="Calibri" w:hAnsi="Times New Roman" w:cs="Times New Roman"/>
          <w:sz w:val="24"/>
          <w:szCs w:val="24"/>
        </w:rPr>
        <w:t>ule amendments contain</w:t>
      </w:r>
      <w:r>
        <w:rPr>
          <w:rFonts w:ascii="Times New Roman" w:eastAsia="Calibri" w:hAnsi="Times New Roman" w:cs="Times New Roman"/>
          <w:sz w:val="24"/>
          <w:szCs w:val="24"/>
        </w:rPr>
        <w:t>ed</w:t>
      </w:r>
      <w:r w:rsidR="00634E21">
        <w:rPr>
          <w:rFonts w:ascii="Times New Roman" w:eastAsia="Calibri" w:hAnsi="Times New Roman" w:cs="Times New Roman"/>
          <w:sz w:val="24"/>
          <w:szCs w:val="24"/>
        </w:rPr>
        <w:t xml:space="preserve"> within Chapter II are grammatical and/or non-substantive in nature.  The amendments may be reviewed in Appendix A, attached herein.  </w:t>
      </w:r>
    </w:p>
    <w:p w:rsidR="00DF354C" w:rsidRDefault="00DF354C" w:rsidP="00EB3D9D">
      <w:pPr>
        <w:pStyle w:val="NoSpacing"/>
        <w:rPr>
          <w:rFonts w:ascii="Times New Roman" w:eastAsia="Calibri" w:hAnsi="Times New Roman" w:cs="Times New Roman"/>
          <w:sz w:val="24"/>
          <w:szCs w:val="24"/>
        </w:rPr>
      </w:pPr>
    </w:p>
    <w:p w:rsidR="00EB3D9D" w:rsidRDefault="00EB3D9D" w:rsidP="00EB3D9D">
      <w:pPr>
        <w:pStyle w:val="NoSpacing"/>
        <w:rPr>
          <w:rFonts w:ascii="Times New Roman" w:eastAsia="Calibri" w:hAnsi="Times New Roman" w:cs="Times New Roman"/>
          <w:sz w:val="24"/>
          <w:szCs w:val="24"/>
        </w:rPr>
      </w:pPr>
    </w:p>
    <w:p w:rsidR="00EB3D9D" w:rsidRPr="00634E21" w:rsidRDefault="00EB3D9D" w:rsidP="00EB3D9D">
      <w:pPr>
        <w:pStyle w:val="NoSpacing"/>
        <w:rPr>
          <w:rFonts w:ascii="Times New Roman" w:eastAsia="Calibri" w:hAnsi="Times New Roman" w:cs="Times New Roman"/>
          <w:b/>
          <w:sz w:val="24"/>
          <w:szCs w:val="24"/>
        </w:rPr>
      </w:pPr>
      <w:r w:rsidRPr="00634E21">
        <w:rPr>
          <w:rFonts w:ascii="Times New Roman" w:eastAsia="Calibri" w:hAnsi="Times New Roman" w:cs="Times New Roman"/>
          <w:b/>
          <w:sz w:val="24"/>
          <w:szCs w:val="24"/>
        </w:rPr>
        <w:t>Chapter III, Obligations of Futures Participants &amp; Authorized Traders</w:t>
      </w:r>
    </w:p>
    <w:p w:rsidR="00EB3D9D" w:rsidRDefault="00EB3D9D" w:rsidP="00EB3D9D">
      <w:pPr>
        <w:pStyle w:val="NoSpacing"/>
        <w:rPr>
          <w:rFonts w:ascii="Times New Roman" w:eastAsia="Calibri" w:hAnsi="Times New Roman" w:cs="Times New Roman"/>
          <w:sz w:val="24"/>
          <w:szCs w:val="24"/>
        </w:rPr>
      </w:pPr>
    </w:p>
    <w:p w:rsidR="00634E21" w:rsidRDefault="00634E21" w:rsidP="00EB3D9D">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Section 21 </w:t>
      </w:r>
      <w:r w:rsidR="00397500">
        <w:rPr>
          <w:rFonts w:ascii="Times New Roman" w:eastAsia="Calibri" w:hAnsi="Times New Roman" w:cs="Times New Roman"/>
          <w:sz w:val="24"/>
          <w:szCs w:val="24"/>
        </w:rPr>
        <w:t xml:space="preserve">Disciplinary Action by Other Organizations </w:t>
      </w:r>
    </w:p>
    <w:p w:rsidR="00634E21" w:rsidRDefault="00634E21" w:rsidP="00EB3D9D">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r>
    </w:p>
    <w:p w:rsidR="00C2620E" w:rsidRDefault="00634E21" w:rsidP="00C4593A">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ab/>
        <w:t xml:space="preserve">Section 21 of Chapter III is being amended to impose an affirmative obligation on Futures Participants to immediately notify the Exchange </w:t>
      </w:r>
      <w:r w:rsidR="00E75844">
        <w:rPr>
          <w:rFonts w:ascii="Times New Roman" w:eastAsia="Calibri" w:hAnsi="Times New Roman" w:cs="Times New Roman"/>
          <w:sz w:val="24"/>
          <w:szCs w:val="24"/>
        </w:rPr>
        <w:t>in the event any of the circumstances enumerated in the CEA’s Statutory Disqualifications section become applicable to the Futures Participant in question.</w:t>
      </w:r>
      <w:r w:rsidR="00397500">
        <w:rPr>
          <w:rStyle w:val="FootnoteReference"/>
          <w:rFonts w:ascii="Times New Roman" w:eastAsia="Calibri" w:hAnsi="Times New Roman" w:cs="Times New Roman"/>
          <w:sz w:val="24"/>
          <w:szCs w:val="24"/>
        </w:rPr>
        <w:footnoteReference w:id="1"/>
      </w:r>
      <w:r w:rsidR="00E75844">
        <w:rPr>
          <w:rFonts w:ascii="Times New Roman" w:eastAsia="Calibri" w:hAnsi="Times New Roman" w:cs="Times New Roman"/>
          <w:sz w:val="24"/>
          <w:szCs w:val="24"/>
        </w:rPr>
        <w:t xml:space="preserve">  </w:t>
      </w:r>
      <w:r w:rsidR="00C4593A">
        <w:rPr>
          <w:rFonts w:ascii="Times New Roman" w:eastAsia="Calibri" w:hAnsi="Times New Roman" w:cs="Times New Roman"/>
          <w:sz w:val="24"/>
          <w:szCs w:val="24"/>
        </w:rPr>
        <w:t xml:space="preserve">NFX already maintains the right to deny membership </w:t>
      </w:r>
      <w:r w:rsidR="00A816F3">
        <w:rPr>
          <w:rFonts w:ascii="Times New Roman" w:eastAsia="Calibri" w:hAnsi="Times New Roman" w:cs="Times New Roman"/>
          <w:sz w:val="24"/>
          <w:szCs w:val="24"/>
        </w:rPr>
        <w:t xml:space="preserve">to </w:t>
      </w:r>
      <w:r w:rsidR="00C4593A">
        <w:rPr>
          <w:rFonts w:ascii="Times New Roman" w:eastAsia="Calibri" w:hAnsi="Times New Roman" w:cs="Times New Roman"/>
          <w:sz w:val="24"/>
          <w:szCs w:val="24"/>
        </w:rPr>
        <w:t xml:space="preserve">the Exchange when any circumstance in the CEA’s Statutory Disqualification section is present with respect to a potential Futures Participant.  </w:t>
      </w:r>
      <w:r w:rsidR="00850673">
        <w:rPr>
          <w:rFonts w:ascii="Times New Roman" w:eastAsia="Calibri" w:hAnsi="Times New Roman" w:cs="Times New Roman"/>
          <w:sz w:val="24"/>
          <w:szCs w:val="24"/>
        </w:rPr>
        <w:t>Combined with the amendments in Chapter V below, t</w:t>
      </w:r>
      <w:r w:rsidR="00C4593A">
        <w:rPr>
          <w:rFonts w:ascii="Times New Roman" w:eastAsia="Calibri" w:hAnsi="Times New Roman" w:cs="Times New Roman"/>
          <w:sz w:val="24"/>
          <w:szCs w:val="24"/>
        </w:rPr>
        <w:t xml:space="preserve">he present </w:t>
      </w:r>
      <w:r w:rsidR="00E75844">
        <w:rPr>
          <w:rFonts w:ascii="Times New Roman" w:eastAsia="Calibri" w:hAnsi="Times New Roman" w:cs="Times New Roman"/>
          <w:sz w:val="24"/>
          <w:szCs w:val="24"/>
        </w:rPr>
        <w:t>amendment is being adopted in order to aid the Exchange in identifying market participants that could potentially pose a threat to the integrity of the marketplace</w:t>
      </w:r>
      <w:r w:rsidR="00C4593A">
        <w:rPr>
          <w:rFonts w:ascii="Times New Roman" w:eastAsia="Calibri" w:hAnsi="Times New Roman" w:cs="Times New Roman"/>
          <w:sz w:val="24"/>
          <w:szCs w:val="24"/>
        </w:rPr>
        <w:t xml:space="preserve"> and provide the Exchange an opportunity to assess the risk posed by the Futures Participant in question and </w:t>
      </w:r>
      <w:r w:rsidR="00A816F3">
        <w:rPr>
          <w:rFonts w:ascii="Times New Roman" w:eastAsia="Calibri" w:hAnsi="Times New Roman" w:cs="Times New Roman"/>
          <w:sz w:val="24"/>
          <w:szCs w:val="24"/>
        </w:rPr>
        <w:t>consider whether the implementation of particular measures are necessary</w:t>
      </w:r>
      <w:r w:rsidR="00C4593A">
        <w:rPr>
          <w:rFonts w:ascii="Times New Roman" w:eastAsia="Calibri" w:hAnsi="Times New Roman" w:cs="Times New Roman"/>
          <w:sz w:val="24"/>
          <w:szCs w:val="24"/>
        </w:rPr>
        <w:t xml:space="preserve">.  </w:t>
      </w:r>
    </w:p>
    <w:p w:rsidR="00C2620E" w:rsidRDefault="00C2620E" w:rsidP="00EB3D9D">
      <w:pPr>
        <w:pStyle w:val="NoSpacing"/>
        <w:rPr>
          <w:rFonts w:ascii="Times New Roman" w:eastAsia="Calibri" w:hAnsi="Times New Roman" w:cs="Times New Roman"/>
          <w:sz w:val="24"/>
          <w:szCs w:val="24"/>
        </w:rPr>
      </w:pPr>
    </w:p>
    <w:p w:rsidR="00634E21" w:rsidRDefault="001F3107" w:rsidP="00C2620E">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Such measures </w:t>
      </w:r>
      <w:r w:rsidR="00A816F3">
        <w:rPr>
          <w:rFonts w:ascii="Times New Roman" w:eastAsia="Calibri" w:hAnsi="Times New Roman" w:cs="Times New Roman"/>
          <w:sz w:val="24"/>
          <w:szCs w:val="24"/>
        </w:rPr>
        <w:t xml:space="preserve">might </w:t>
      </w:r>
      <w:r>
        <w:rPr>
          <w:rFonts w:ascii="Times New Roman" w:eastAsia="Calibri" w:hAnsi="Times New Roman" w:cs="Times New Roman"/>
          <w:sz w:val="24"/>
          <w:szCs w:val="24"/>
        </w:rPr>
        <w:t xml:space="preserve">include, but </w:t>
      </w:r>
      <w:r w:rsidR="00C4593A">
        <w:rPr>
          <w:rFonts w:ascii="Times New Roman" w:eastAsia="Calibri" w:hAnsi="Times New Roman" w:cs="Times New Roman"/>
          <w:sz w:val="24"/>
          <w:szCs w:val="24"/>
        </w:rPr>
        <w:t xml:space="preserve">are </w:t>
      </w:r>
      <w:r>
        <w:rPr>
          <w:rFonts w:ascii="Times New Roman" w:eastAsia="Calibri" w:hAnsi="Times New Roman" w:cs="Times New Roman"/>
          <w:sz w:val="24"/>
          <w:szCs w:val="24"/>
        </w:rPr>
        <w:t>not be limited to, limitations on the Future’s Participants trading activity, a sus</w:t>
      </w:r>
      <w:r w:rsidR="00C2620E">
        <w:rPr>
          <w:rFonts w:ascii="Times New Roman" w:eastAsia="Calibri" w:hAnsi="Times New Roman" w:cs="Times New Roman"/>
          <w:sz w:val="24"/>
          <w:szCs w:val="24"/>
        </w:rPr>
        <w:t xml:space="preserve">pension from the NFX </w:t>
      </w:r>
      <w:r w:rsidR="006A7100">
        <w:rPr>
          <w:rFonts w:ascii="Times New Roman" w:eastAsia="Calibri" w:hAnsi="Times New Roman" w:cs="Times New Roman"/>
          <w:sz w:val="24"/>
          <w:szCs w:val="24"/>
        </w:rPr>
        <w:t xml:space="preserve">Trading System </w:t>
      </w:r>
      <w:r w:rsidR="00C2620E">
        <w:rPr>
          <w:rFonts w:ascii="Times New Roman" w:eastAsia="Calibri" w:hAnsi="Times New Roman" w:cs="Times New Roman"/>
          <w:sz w:val="24"/>
          <w:szCs w:val="24"/>
        </w:rPr>
        <w:t>or</w:t>
      </w:r>
      <w:r>
        <w:rPr>
          <w:rFonts w:ascii="Times New Roman" w:eastAsia="Calibri" w:hAnsi="Times New Roman" w:cs="Times New Roman"/>
          <w:sz w:val="24"/>
          <w:szCs w:val="24"/>
        </w:rPr>
        <w:t xml:space="preserve"> a</w:t>
      </w:r>
      <w:r w:rsidR="00FB337A">
        <w:rPr>
          <w:rFonts w:ascii="Times New Roman" w:eastAsia="Calibri" w:hAnsi="Times New Roman" w:cs="Times New Roman"/>
          <w:sz w:val="24"/>
          <w:szCs w:val="24"/>
        </w:rPr>
        <w:t xml:space="preserve"> permanent revocation</w:t>
      </w:r>
      <w:r>
        <w:rPr>
          <w:rFonts w:ascii="Times New Roman" w:eastAsia="Calibri" w:hAnsi="Times New Roman" w:cs="Times New Roman"/>
          <w:sz w:val="24"/>
          <w:szCs w:val="24"/>
        </w:rPr>
        <w:t xml:space="preserve"> of a Futures Participant’s </w:t>
      </w:r>
      <w:r w:rsidR="00C4593A">
        <w:rPr>
          <w:rFonts w:ascii="Times New Roman" w:eastAsia="Calibri" w:hAnsi="Times New Roman" w:cs="Times New Roman"/>
          <w:sz w:val="24"/>
          <w:szCs w:val="24"/>
        </w:rPr>
        <w:t xml:space="preserve">membership </w:t>
      </w:r>
      <w:r w:rsidR="00A816F3">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NFX.  </w:t>
      </w:r>
      <w:r w:rsidR="00FB337A">
        <w:rPr>
          <w:rFonts w:ascii="Times New Roman" w:eastAsia="Calibri" w:hAnsi="Times New Roman" w:cs="Times New Roman"/>
          <w:sz w:val="24"/>
          <w:szCs w:val="24"/>
        </w:rPr>
        <w:t xml:space="preserve">The failure of a Futures Participant to inform NFX of such a Statutory Disqualification will constitute a violation of the NFX </w:t>
      </w:r>
      <w:r w:rsidR="00A816F3">
        <w:rPr>
          <w:rFonts w:ascii="Times New Roman" w:eastAsia="Calibri" w:hAnsi="Times New Roman" w:cs="Times New Roman"/>
          <w:sz w:val="24"/>
          <w:szCs w:val="24"/>
        </w:rPr>
        <w:t xml:space="preserve">Rulebook </w:t>
      </w:r>
      <w:r w:rsidR="00FB337A">
        <w:rPr>
          <w:rFonts w:ascii="Times New Roman" w:eastAsia="Calibri" w:hAnsi="Times New Roman" w:cs="Times New Roman"/>
          <w:sz w:val="24"/>
          <w:szCs w:val="24"/>
        </w:rPr>
        <w:t xml:space="preserve">and </w:t>
      </w:r>
      <w:r w:rsidR="00A816F3">
        <w:rPr>
          <w:rFonts w:ascii="Times New Roman" w:eastAsia="Calibri" w:hAnsi="Times New Roman" w:cs="Times New Roman"/>
          <w:sz w:val="24"/>
          <w:szCs w:val="24"/>
        </w:rPr>
        <w:t xml:space="preserve">potentially </w:t>
      </w:r>
      <w:r w:rsidR="00FB337A">
        <w:rPr>
          <w:rFonts w:ascii="Times New Roman" w:eastAsia="Calibri" w:hAnsi="Times New Roman" w:cs="Times New Roman"/>
          <w:sz w:val="24"/>
          <w:szCs w:val="24"/>
        </w:rPr>
        <w:t xml:space="preserve">subject the Futures Participant to further disciplinary action, including suspension of access to the </w:t>
      </w:r>
      <w:r w:rsidR="006A7100">
        <w:rPr>
          <w:rFonts w:ascii="Times New Roman" w:eastAsia="Calibri" w:hAnsi="Times New Roman" w:cs="Times New Roman"/>
          <w:sz w:val="24"/>
          <w:szCs w:val="24"/>
        </w:rPr>
        <w:t>Trading System</w:t>
      </w:r>
      <w:r w:rsidR="00FB337A">
        <w:rPr>
          <w:rFonts w:ascii="Times New Roman" w:eastAsia="Calibri" w:hAnsi="Times New Roman" w:cs="Times New Roman"/>
          <w:sz w:val="24"/>
          <w:szCs w:val="24"/>
        </w:rPr>
        <w:t xml:space="preserve">.  </w:t>
      </w:r>
    </w:p>
    <w:p w:rsidR="00634E21" w:rsidRDefault="00634E21" w:rsidP="00EB3D9D">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r>
    </w:p>
    <w:p w:rsidR="00EB3D9D" w:rsidRPr="00DF354C" w:rsidRDefault="00EB3D9D" w:rsidP="00EB3D9D">
      <w:pPr>
        <w:pStyle w:val="NoSpacing"/>
        <w:rPr>
          <w:rFonts w:ascii="Times New Roman" w:eastAsia="Calibri" w:hAnsi="Times New Roman" w:cs="Times New Roman"/>
          <w:b/>
          <w:sz w:val="24"/>
          <w:szCs w:val="24"/>
        </w:rPr>
      </w:pPr>
      <w:r w:rsidRPr="00DF354C">
        <w:rPr>
          <w:rFonts w:ascii="Times New Roman" w:eastAsia="Calibri" w:hAnsi="Times New Roman" w:cs="Times New Roman"/>
          <w:b/>
          <w:sz w:val="24"/>
          <w:szCs w:val="24"/>
        </w:rPr>
        <w:t>Chapter V, Trading Procedures &amp; Standards</w:t>
      </w:r>
    </w:p>
    <w:p w:rsidR="00DF354C" w:rsidRDefault="00DF354C" w:rsidP="00EB3D9D">
      <w:pPr>
        <w:pStyle w:val="NoSpacing"/>
        <w:rPr>
          <w:rFonts w:ascii="Times New Roman" w:eastAsia="Calibri" w:hAnsi="Times New Roman" w:cs="Times New Roman"/>
          <w:sz w:val="24"/>
          <w:szCs w:val="24"/>
        </w:rPr>
      </w:pPr>
    </w:p>
    <w:p w:rsidR="00C4593A" w:rsidRDefault="00DF354C" w:rsidP="00C2620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r>
      <w:r w:rsidR="00A00151">
        <w:rPr>
          <w:rFonts w:ascii="Times New Roman" w:eastAsia="Calibri" w:hAnsi="Times New Roman" w:cs="Times New Roman"/>
          <w:sz w:val="24"/>
          <w:szCs w:val="24"/>
        </w:rPr>
        <w:t xml:space="preserve">Section 4 of </w:t>
      </w:r>
      <w:r>
        <w:rPr>
          <w:rFonts w:ascii="Times New Roman" w:eastAsia="Calibri" w:hAnsi="Times New Roman" w:cs="Times New Roman"/>
          <w:sz w:val="24"/>
          <w:szCs w:val="24"/>
        </w:rPr>
        <w:t>Chapter V</w:t>
      </w:r>
      <w:r w:rsidR="00A001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being amended to align the rules regarding Direct Access </w:t>
      </w:r>
      <w:r w:rsidR="00D87B56">
        <w:rPr>
          <w:rFonts w:ascii="Times New Roman" w:eastAsia="Calibri" w:hAnsi="Times New Roman" w:cs="Times New Roman"/>
          <w:sz w:val="24"/>
          <w:szCs w:val="24"/>
        </w:rPr>
        <w:t xml:space="preserve">to the trading platform </w:t>
      </w:r>
      <w:r>
        <w:rPr>
          <w:rFonts w:ascii="Times New Roman" w:eastAsia="Calibri" w:hAnsi="Times New Roman" w:cs="Times New Roman"/>
          <w:sz w:val="24"/>
          <w:szCs w:val="24"/>
        </w:rPr>
        <w:t xml:space="preserve">by Authorized Customers </w:t>
      </w:r>
      <w:r w:rsidR="00721326">
        <w:rPr>
          <w:rFonts w:ascii="Times New Roman" w:eastAsia="Calibri" w:hAnsi="Times New Roman" w:cs="Times New Roman"/>
          <w:sz w:val="24"/>
          <w:szCs w:val="24"/>
        </w:rPr>
        <w:t>(AC</w:t>
      </w:r>
      <w:r w:rsidR="00A816F3">
        <w:rPr>
          <w:rFonts w:ascii="Times New Roman" w:eastAsia="Calibri" w:hAnsi="Times New Roman" w:cs="Times New Roman"/>
          <w:sz w:val="24"/>
          <w:szCs w:val="24"/>
        </w:rPr>
        <w:t>s</w:t>
      </w:r>
      <w:r w:rsidR="00721326">
        <w:rPr>
          <w:rFonts w:ascii="Times New Roman" w:eastAsia="Calibri" w:hAnsi="Times New Roman" w:cs="Times New Roman"/>
          <w:sz w:val="24"/>
          <w:szCs w:val="24"/>
        </w:rPr>
        <w:t xml:space="preserve">) </w:t>
      </w:r>
      <w:r w:rsidR="00D87B56">
        <w:rPr>
          <w:rFonts w:ascii="Times New Roman" w:eastAsia="Calibri" w:hAnsi="Times New Roman" w:cs="Times New Roman"/>
          <w:sz w:val="24"/>
          <w:szCs w:val="24"/>
        </w:rPr>
        <w:t xml:space="preserve">and Off-Exchange Reporting Brokers (ORBs) </w:t>
      </w:r>
      <w:r>
        <w:rPr>
          <w:rFonts w:ascii="Times New Roman" w:eastAsia="Calibri" w:hAnsi="Times New Roman" w:cs="Times New Roman"/>
          <w:sz w:val="24"/>
          <w:szCs w:val="24"/>
        </w:rPr>
        <w:t xml:space="preserve">with the rule governing membership </w:t>
      </w:r>
      <w:r w:rsidR="00C2620E">
        <w:rPr>
          <w:rFonts w:ascii="Times New Roman" w:eastAsia="Calibri" w:hAnsi="Times New Roman" w:cs="Times New Roman"/>
          <w:sz w:val="24"/>
          <w:szCs w:val="24"/>
        </w:rPr>
        <w:t xml:space="preserve">of Futures Participants </w:t>
      </w:r>
      <w:r w:rsidR="00A816F3">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NFX.  Under the previous </w:t>
      </w:r>
      <w:r w:rsidR="00C47488">
        <w:rPr>
          <w:rFonts w:ascii="Times New Roman" w:eastAsia="Calibri" w:hAnsi="Times New Roman" w:cs="Times New Roman"/>
          <w:sz w:val="24"/>
          <w:szCs w:val="24"/>
        </w:rPr>
        <w:t xml:space="preserve">draft of the </w:t>
      </w:r>
      <w:r>
        <w:rPr>
          <w:rFonts w:ascii="Times New Roman" w:eastAsia="Calibri" w:hAnsi="Times New Roman" w:cs="Times New Roman"/>
          <w:sz w:val="24"/>
          <w:szCs w:val="24"/>
        </w:rPr>
        <w:t xml:space="preserve">Direct Access rule, </w:t>
      </w:r>
      <w:r w:rsidR="00C47488">
        <w:rPr>
          <w:rFonts w:ascii="Times New Roman" w:eastAsia="Calibri" w:hAnsi="Times New Roman" w:cs="Times New Roman"/>
          <w:sz w:val="24"/>
          <w:szCs w:val="24"/>
        </w:rPr>
        <w:t xml:space="preserve">it might have been interpreted that </w:t>
      </w:r>
      <w:r>
        <w:rPr>
          <w:rFonts w:ascii="Times New Roman" w:eastAsia="Calibri" w:hAnsi="Times New Roman" w:cs="Times New Roman"/>
          <w:sz w:val="24"/>
          <w:szCs w:val="24"/>
        </w:rPr>
        <w:t xml:space="preserve">an </w:t>
      </w:r>
      <w:r w:rsidR="00721326">
        <w:rPr>
          <w:rFonts w:ascii="Times New Roman" w:eastAsia="Calibri" w:hAnsi="Times New Roman" w:cs="Times New Roman"/>
          <w:sz w:val="24"/>
          <w:szCs w:val="24"/>
        </w:rPr>
        <w:t xml:space="preserve">AC </w:t>
      </w:r>
      <w:r w:rsidR="00D87B56">
        <w:rPr>
          <w:rFonts w:ascii="Times New Roman" w:eastAsia="Calibri" w:hAnsi="Times New Roman" w:cs="Times New Roman"/>
          <w:sz w:val="24"/>
          <w:szCs w:val="24"/>
        </w:rPr>
        <w:t xml:space="preserve">or ORB </w:t>
      </w:r>
      <w:r>
        <w:rPr>
          <w:rFonts w:ascii="Times New Roman" w:eastAsia="Calibri" w:hAnsi="Times New Roman" w:cs="Times New Roman"/>
          <w:sz w:val="24"/>
          <w:szCs w:val="24"/>
        </w:rPr>
        <w:t>would be denied Direct Access to the trading system, or have their Direct Access revoked</w:t>
      </w:r>
      <w:r w:rsidR="00A00151">
        <w:rPr>
          <w:rFonts w:ascii="Times New Roman" w:eastAsia="Calibri" w:hAnsi="Times New Roman" w:cs="Times New Roman"/>
          <w:sz w:val="24"/>
          <w:szCs w:val="24"/>
        </w:rPr>
        <w:t>,</w:t>
      </w:r>
      <w:r>
        <w:rPr>
          <w:rFonts w:ascii="Times New Roman" w:eastAsia="Calibri" w:hAnsi="Times New Roman" w:cs="Times New Roman"/>
          <w:sz w:val="24"/>
          <w:szCs w:val="24"/>
        </w:rPr>
        <w:t xml:space="preserve"> in the event they were </w:t>
      </w:r>
      <w:r>
        <w:rPr>
          <w:rFonts w:ascii="Times New Roman" w:eastAsia="Calibri" w:hAnsi="Times New Roman" w:cs="Times New Roman"/>
          <w:sz w:val="24"/>
          <w:szCs w:val="24"/>
        </w:rPr>
        <w:lastRenderedPageBreak/>
        <w:t xml:space="preserve">presently enjoined by order, judgement or decree </w:t>
      </w:r>
      <w:r w:rsidRPr="00DF354C">
        <w:rPr>
          <w:rFonts w:ascii="Times New Roman" w:eastAsia="Calibri" w:hAnsi="Times New Roman" w:cs="Times New Roman"/>
          <w:sz w:val="24"/>
          <w:szCs w:val="24"/>
        </w:rPr>
        <w:t xml:space="preserve">of any court of competent jurisdiction or of the Commission or the Securities and Exchange Commission or of any state securities authority or agency from engaging in or continuing any conduct or practice in connection with the purchase or sale of any commodity, security, </w:t>
      </w:r>
      <w:r w:rsidR="00135496">
        <w:rPr>
          <w:rFonts w:ascii="Times New Roman" w:eastAsia="Calibri" w:hAnsi="Times New Roman" w:cs="Times New Roman"/>
          <w:sz w:val="24"/>
          <w:szCs w:val="24"/>
        </w:rPr>
        <w:t>o</w:t>
      </w:r>
      <w:r w:rsidRPr="00DF354C">
        <w:rPr>
          <w:rFonts w:ascii="Times New Roman" w:eastAsia="Calibri" w:hAnsi="Times New Roman" w:cs="Times New Roman"/>
          <w:sz w:val="24"/>
          <w:szCs w:val="24"/>
        </w:rPr>
        <w:t>ption or similar instrument.</w:t>
      </w:r>
      <w:r>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w:t>
      </w:r>
      <w:r w:rsidR="00502CF8">
        <w:rPr>
          <w:rFonts w:ascii="Times New Roman" w:eastAsia="Calibri" w:hAnsi="Times New Roman" w:cs="Times New Roman"/>
          <w:sz w:val="24"/>
          <w:szCs w:val="24"/>
        </w:rPr>
        <w:t>This language was drawn in large part from §</w:t>
      </w:r>
      <w:r w:rsidR="007F207D">
        <w:rPr>
          <w:rFonts w:ascii="Times New Roman" w:eastAsia="Calibri" w:hAnsi="Times New Roman" w:cs="Times New Roman"/>
          <w:sz w:val="24"/>
          <w:szCs w:val="24"/>
        </w:rPr>
        <w:t>8</w:t>
      </w:r>
      <w:r w:rsidR="00502CF8">
        <w:rPr>
          <w:rFonts w:ascii="Times New Roman" w:eastAsia="Calibri" w:hAnsi="Times New Roman" w:cs="Times New Roman"/>
          <w:sz w:val="24"/>
          <w:szCs w:val="24"/>
        </w:rPr>
        <w:t>a of the CEA</w:t>
      </w:r>
      <w:r w:rsidR="007F207D">
        <w:rPr>
          <w:rFonts w:ascii="Times New Roman" w:eastAsia="Calibri" w:hAnsi="Times New Roman" w:cs="Times New Roman"/>
          <w:sz w:val="24"/>
          <w:szCs w:val="24"/>
        </w:rPr>
        <w:t xml:space="preserve"> which </w:t>
      </w:r>
      <w:r w:rsidR="00502CF8">
        <w:rPr>
          <w:rFonts w:ascii="Times New Roman" w:eastAsia="Calibri" w:hAnsi="Times New Roman" w:cs="Times New Roman"/>
          <w:sz w:val="24"/>
          <w:szCs w:val="24"/>
        </w:rPr>
        <w:t>list</w:t>
      </w:r>
      <w:r w:rsidR="007F207D">
        <w:rPr>
          <w:rFonts w:ascii="Times New Roman" w:eastAsia="Calibri" w:hAnsi="Times New Roman" w:cs="Times New Roman"/>
          <w:sz w:val="24"/>
          <w:szCs w:val="24"/>
        </w:rPr>
        <w:t>s</w:t>
      </w:r>
      <w:r w:rsidR="00502CF8">
        <w:rPr>
          <w:rFonts w:ascii="Times New Roman" w:eastAsia="Calibri" w:hAnsi="Times New Roman" w:cs="Times New Roman"/>
          <w:sz w:val="24"/>
          <w:szCs w:val="24"/>
        </w:rPr>
        <w:t xml:space="preserve"> grounds for Statutory Disqualification.  The provision in the NFX rule however </w:t>
      </w:r>
      <w:r w:rsidR="00A816F3">
        <w:rPr>
          <w:rFonts w:ascii="Times New Roman" w:eastAsia="Calibri" w:hAnsi="Times New Roman" w:cs="Times New Roman"/>
          <w:sz w:val="24"/>
          <w:szCs w:val="24"/>
        </w:rPr>
        <w:t>may have been interpreted as being</w:t>
      </w:r>
      <w:r w:rsidR="00502CF8">
        <w:rPr>
          <w:rFonts w:ascii="Times New Roman" w:eastAsia="Calibri" w:hAnsi="Times New Roman" w:cs="Times New Roman"/>
          <w:sz w:val="24"/>
          <w:szCs w:val="24"/>
        </w:rPr>
        <w:t xml:space="preserve"> more limiting than the actual rule found in the CEA.  </w:t>
      </w:r>
      <w:r w:rsidR="00D87B56">
        <w:rPr>
          <w:rFonts w:ascii="Times New Roman" w:eastAsia="Calibri" w:hAnsi="Times New Roman" w:cs="Times New Roman"/>
          <w:sz w:val="24"/>
          <w:szCs w:val="24"/>
        </w:rPr>
        <w:t xml:space="preserve">Under </w:t>
      </w:r>
      <w:r w:rsidR="00502CF8">
        <w:rPr>
          <w:rFonts w:ascii="Times New Roman" w:eastAsia="Calibri" w:hAnsi="Times New Roman" w:cs="Times New Roman"/>
          <w:sz w:val="24"/>
          <w:szCs w:val="24"/>
        </w:rPr>
        <w:t xml:space="preserve">the NFX rule, </w:t>
      </w:r>
      <w:r w:rsidR="00891144">
        <w:rPr>
          <w:rFonts w:ascii="Times New Roman" w:eastAsia="Calibri" w:hAnsi="Times New Roman" w:cs="Times New Roman"/>
          <w:sz w:val="24"/>
          <w:szCs w:val="24"/>
        </w:rPr>
        <w:t xml:space="preserve">one could infer </w:t>
      </w:r>
      <w:r w:rsidR="00C47488">
        <w:rPr>
          <w:rFonts w:ascii="Times New Roman" w:eastAsia="Calibri" w:hAnsi="Times New Roman" w:cs="Times New Roman"/>
          <w:sz w:val="24"/>
          <w:szCs w:val="24"/>
        </w:rPr>
        <w:t xml:space="preserve">that </w:t>
      </w:r>
      <w:r w:rsidR="00C2620E">
        <w:rPr>
          <w:rFonts w:ascii="Times New Roman" w:eastAsia="Calibri" w:hAnsi="Times New Roman" w:cs="Times New Roman"/>
          <w:sz w:val="24"/>
          <w:szCs w:val="24"/>
        </w:rPr>
        <w:t xml:space="preserve">the </w:t>
      </w:r>
      <w:r w:rsidR="00A816F3">
        <w:rPr>
          <w:rFonts w:ascii="Times New Roman" w:eastAsia="Calibri" w:hAnsi="Times New Roman" w:cs="Times New Roman"/>
          <w:sz w:val="24"/>
          <w:szCs w:val="24"/>
        </w:rPr>
        <w:t xml:space="preserve">Exchange </w:t>
      </w:r>
      <w:r w:rsidR="00C2620E">
        <w:rPr>
          <w:rFonts w:ascii="Times New Roman" w:eastAsia="Calibri" w:hAnsi="Times New Roman" w:cs="Times New Roman"/>
          <w:sz w:val="24"/>
          <w:szCs w:val="24"/>
        </w:rPr>
        <w:t xml:space="preserve">had no choice but to deny or terminate an </w:t>
      </w:r>
      <w:r w:rsidR="00721326">
        <w:rPr>
          <w:rFonts w:ascii="Times New Roman" w:eastAsia="Calibri" w:hAnsi="Times New Roman" w:cs="Times New Roman"/>
          <w:sz w:val="24"/>
          <w:szCs w:val="24"/>
        </w:rPr>
        <w:t xml:space="preserve">AC’s </w:t>
      </w:r>
      <w:r w:rsidR="00D87B56">
        <w:rPr>
          <w:rFonts w:ascii="Times New Roman" w:eastAsia="Calibri" w:hAnsi="Times New Roman" w:cs="Times New Roman"/>
          <w:sz w:val="24"/>
          <w:szCs w:val="24"/>
        </w:rPr>
        <w:t xml:space="preserve">or ORB’s </w:t>
      </w:r>
      <w:r w:rsidR="00C2620E">
        <w:rPr>
          <w:rFonts w:ascii="Times New Roman" w:eastAsia="Calibri" w:hAnsi="Times New Roman" w:cs="Times New Roman"/>
          <w:sz w:val="24"/>
          <w:szCs w:val="24"/>
        </w:rPr>
        <w:t>access to the trading platform</w:t>
      </w:r>
      <w:r w:rsidR="00D87B56">
        <w:rPr>
          <w:rFonts w:ascii="Times New Roman" w:eastAsia="Calibri" w:hAnsi="Times New Roman" w:cs="Times New Roman"/>
          <w:sz w:val="24"/>
          <w:szCs w:val="24"/>
        </w:rPr>
        <w:t xml:space="preserve"> in the event th</w:t>
      </w:r>
      <w:r w:rsidR="008B0F71">
        <w:rPr>
          <w:rFonts w:ascii="Times New Roman" w:eastAsia="Calibri" w:hAnsi="Times New Roman" w:cs="Times New Roman"/>
          <w:sz w:val="24"/>
          <w:szCs w:val="24"/>
        </w:rPr>
        <w:t>is criteria was met</w:t>
      </w:r>
      <w:r w:rsidR="00C4593A">
        <w:rPr>
          <w:rFonts w:ascii="Times New Roman" w:eastAsia="Calibri" w:hAnsi="Times New Roman" w:cs="Times New Roman"/>
          <w:sz w:val="24"/>
          <w:szCs w:val="24"/>
        </w:rPr>
        <w:t xml:space="preserve">.  </w:t>
      </w:r>
      <w:r w:rsidR="00D87B56">
        <w:rPr>
          <w:rFonts w:ascii="Times New Roman" w:eastAsia="Calibri" w:hAnsi="Times New Roman" w:cs="Times New Roman"/>
          <w:sz w:val="24"/>
          <w:szCs w:val="24"/>
        </w:rPr>
        <w:t xml:space="preserve">In contrast, </w:t>
      </w:r>
      <w:r w:rsidR="00502CF8">
        <w:rPr>
          <w:rFonts w:ascii="Times New Roman" w:eastAsia="Calibri" w:hAnsi="Times New Roman" w:cs="Times New Roman"/>
          <w:sz w:val="24"/>
          <w:szCs w:val="24"/>
        </w:rPr>
        <w:t>under §</w:t>
      </w:r>
      <w:r w:rsidR="007F207D">
        <w:rPr>
          <w:rFonts w:ascii="Times New Roman" w:eastAsia="Calibri" w:hAnsi="Times New Roman" w:cs="Times New Roman"/>
          <w:sz w:val="24"/>
          <w:szCs w:val="24"/>
        </w:rPr>
        <w:t>8</w:t>
      </w:r>
      <w:r w:rsidR="00502CF8">
        <w:rPr>
          <w:rFonts w:ascii="Times New Roman" w:eastAsia="Calibri" w:hAnsi="Times New Roman" w:cs="Times New Roman"/>
          <w:sz w:val="24"/>
          <w:szCs w:val="24"/>
        </w:rPr>
        <w:t xml:space="preserve">a of the CEA, the Commission is given </w:t>
      </w:r>
      <w:r w:rsidR="007F207D">
        <w:rPr>
          <w:rFonts w:ascii="Times New Roman" w:eastAsia="Calibri" w:hAnsi="Times New Roman" w:cs="Times New Roman"/>
          <w:sz w:val="24"/>
          <w:szCs w:val="24"/>
        </w:rPr>
        <w:t xml:space="preserve">the authority </w:t>
      </w:r>
      <w:r w:rsidR="00502CF8">
        <w:rPr>
          <w:rFonts w:ascii="Times New Roman" w:eastAsia="Calibri" w:hAnsi="Times New Roman" w:cs="Times New Roman"/>
          <w:sz w:val="24"/>
          <w:szCs w:val="24"/>
        </w:rPr>
        <w:t xml:space="preserve">to use the presence of any of the enumerated criteria as grounds for denying registration, but denial is not mandatory.  </w:t>
      </w:r>
      <w:r w:rsidR="00A4276F">
        <w:rPr>
          <w:rFonts w:ascii="Times New Roman" w:eastAsia="Calibri" w:hAnsi="Times New Roman" w:cs="Times New Roman"/>
          <w:sz w:val="24"/>
          <w:szCs w:val="24"/>
        </w:rPr>
        <w:t>Similarly</w:t>
      </w:r>
      <w:r w:rsidR="00502CF8">
        <w:rPr>
          <w:rFonts w:ascii="Times New Roman" w:eastAsia="Calibri" w:hAnsi="Times New Roman" w:cs="Times New Roman"/>
          <w:sz w:val="24"/>
          <w:szCs w:val="24"/>
        </w:rPr>
        <w:t xml:space="preserve">, </w:t>
      </w:r>
      <w:r w:rsidR="00C2620E">
        <w:rPr>
          <w:rFonts w:ascii="Times New Roman" w:eastAsia="Calibri" w:hAnsi="Times New Roman" w:cs="Times New Roman"/>
          <w:sz w:val="24"/>
          <w:szCs w:val="24"/>
        </w:rPr>
        <w:t>the Exchange</w:t>
      </w:r>
      <w:r w:rsidR="00D87B56">
        <w:rPr>
          <w:rFonts w:ascii="Times New Roman" w:eastAsia="Calibri" w:hAnsi="Times New Roman" w:cs="Times New Roman"/>
          <w:sz w:val="24"/>
          <w:szCs w:val="24"/>
        </w:rPr>
        <w:t xml:space="preserve"> has great discretion </w:t>
      </w:r>
      <w:r w:rsidR="00C2620E">
        <w:rPr>
          <w:rFonts w:ascii="Times New Roman" w:eastAsia="Calibri" w:hAnsi="Times New Roman" w:cs="Times New Roman"/>
          <w:sz w:val="24"/>
          <w:szCs w:val="24"/>
        </w:rPr>
        <w:t xml:space="preserve">in dealing with </w:t>
      </w:r>
      <w:r w:rsidR="00D87B56">
        <w:rPr>
          <w:rFonts w:ascii="Times New Roman" w:eastAsia="Calibri" w:hAnsi="Times New Roman" w:cs="Times New Roman"/>
          <w:sz w:val="24"/>
          <w:szCs w:val="24"/>
        </w:rPr>
        <w:t>a</w:t>
      </w:r>
      <w:r w:rsidR="00C2620E">
        <w:rPr>
          <w:rFonts w:ascii="Times New Roman" w:eastAsia="Calibri" w:hAnsi="Times New Roman" w:cs="Times New Roman"/>
          <w:sz w:val="24"/>
          <w:szCs w:val="24"/>
        </w:rPr>
        <w:t xml:space="preserve"> Futures Participant that falls within one of </w:t>
      </w:r>
      <w:r w:rsidR="00502CF8">
        <w:rPr>
          <w:rFonts w:ascii="Times New Roman" w:eastAsia="Calibri" w:hAnsi="Times New Roman" w:cs="Times New Roman"/>
          <w:sz w:val="24"/>
          <w:szCs w:val="24"/>
        </w:rPr>
        <w:t xml:space="preserve">the Statutory Disqualification </w:t>
      </w:r>
      <w:r w:rsidR="00D87B56">
        <w:rPr>
          <w:rFonts w:ascii="Times New Roman" w:eastAsia="Calibri" w:hAnsi="Times New Roman" w:cs="Times New Roman"/>
          <w:sz w:val="24"/>
          <w:szCs w:val="24"/>
        </w:rPr>
        <w:t xml:space="preserve">categories.  </w:t>
      </w:r>
    </w:p>
    <w:p w:rsidR="00C4593A" w:rsidRDefault="00C4593A" w:rsidP="00C2620E">
      <w:pPr>
        <w:pStyle w:val="NoSpacing"/>
        <w:rPr>
          <w:rFonts w:ascii="Times New Roman" w:eastAsia="Calibri" w:hAnsi="Times New Roman" w:cs="Times New Roman"/>
          <w:sz w:val="24"/>
          <w:szCs w:val="24"/>
        </w:rPr>
      </w:pPr>
    </w:p>
    <w:p w:rsidR="00502CF8" w:rsidRDefault="00C4593A" w:rsidP="00721326">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order to </w:t>
      </w:r>
      <w:r w:rsidR="00C47488">
        <w:rPr>
          <w:rFonts w:ascii="Times New Roman" w:eastAsia="Calibri" w:hAnsi="Times New Roman" w:cs="Times New Roman"/>
          <w:sz w:val="24"/>
          <w:szCs w:val="24"/>
        </w:rPr>
        <w:t xml:space="preserve">provide clarity, and </w:t>
      </w:r>
      <w:r>
        <w:rPr>
          <w:rFonts w:ascii="Times New Roman" w:eastAsia="Calibri" w:hAnsi="Times New Roman" w:cs="Times New Roman"/>
          <w:sz w:val="24"/>
          <w:szCs w:val="24"/>
        </w:rPr>
        <w:t>give the Exchange greater discretion in deal</w:t>
      </w:r>
      <w:r w:rsidR="008B0F71">
        <w:rPr>
          <w:rFonts w:ascii="Times New Roman" w:eastAsia="Calibri" w:hAnsi="Times New Roman" w:cs="Times New Roman"/>
          <w:sz w:val="24"/>
          <w:szCs w:val="24"/>
        </w:rPr>
        <w:t>ing with these circumstances</w:t>
      </w:r>
      <w:r w:rsidR="007F207D">
        <w:rPr>
          <w:rFonts w:ascii="Times New Roman" w:eastAsia="Calibri" w:hAnsi="Times New Roman" w:cs="Times New Roman"/>
          <w:sz w:val="24"/>
          <w:szCs w:val="24"/>
        </w:rPr>
        <w:t xml:space="preserve"> for all market participant that trade on the platform</w:t>
      </w:r>
      <w:r w:rsidR="008B0F71">
        <w:rPr>
          <w:rFonts w:ascii="Times New Roman" w:eastAsia="Calibri" w:hAnsi="Times New Roman" w:cs="Times New Roman"/>
          <w:sz w:val="24"/>
          <w:szCs w:val="24"/>
        </w:rPr>
        <w:t xml:space="preserve">, </w:t>
      </w:r>
      <w:r w:rsidR="00502CF8">
        <w:rPr>
          <w:rFonts w:ascii="Times New Roman" w:eastAsia="Calibri" w:hAnsi="Times New Roman" w:cs="Times New Roman"/>
          <w:sz w:val="24"/>
          <w:szCs w:val="24"/>
        </w:rPr>
        <w:t xml:space="preserve">NFX </w:t>
      </w:r>
      <w:r w:rsidR="00D87B56">
        <w:rPr>
          <w:rFonts w:ascii="Times New Roman" w:eastAsia="Calibri" w:hAnsi="Times New Roman" w:cs="Times New Roman"/>
          <w:sz w:val="24"/>
          <w:szCs w:val="24"/>
        </w:rPr>
        <w:t xml:space="preserve">is amending Section 4 of Chapter V </w:t>
      </w:r>
      <w:r w:rsidR="00C47488">
        <w:rPr>
          <w:rFonts w:ascii="Times New Roman" w:eastAsia="Calibri" w:hAnsi="Times New Roman" w:cs="Times New Roman"/>
          <w:sz w:val="24"/>
          <w:szCs w:val="24"/>
        </w:rPr>
        <w:t>to make it clear that there is</w:t>
      </w:r>
      <w:r w:rsidR="00D87B56">
        <w:rPr>
          <w:rFonts w:ascii="Times New Roman" w:eastAsia="Calibri" w:hAnsi="Times New Roman" w:cs="Times New Roman"/>
          <w:sz w:val="24"/>
          <w:szCs w:val="24"/>
        </w:rPr>
        <w:t xml:space="preserve"> a similar standard when dealing with Futures Participants, </w:t>
      </w:r>
      <w:r w:rsidR="00721326">
        <w:rPr>
          <w:rFonts w:ascii="Times New Roman" w:eastAsia="Calibri" w:hAnsi="Times New Roman" w:cs="Times New Roman"/>
          <w:sz w:val="24"/>
          <w:szCs w:val="24"/>
        </w:rPr>
        <w:t xml:space="preserve">AC </w:t>
      </w:r>
      <w:r w:rsidR="00D87B56">
        <w:rPr>
          <w:rFonts w:ascii="Times New Roman" w:eastAsia="Calibri" w:hAnsi="Times New Roman" w:cs="Times New Roman"/>
          <w:sz w:val="24"/>
          <w:szCs w:val="24"/>
        </w:rPr>
        <w:t xml:space="preserve">and ORBs.  Now, </w:t>
      </w:r>
      <w:r w:rsidR="00C47488">
        <w:rPr>
          <w:rFonts w:ascii="Times New Roman" w:eastAsia="Calibri" w:hAnsi="Times New Roman" w:cs="Times New Roman"/>
          <w:sz w:val="24"/>
          <w:szCs w:val="24"/>
        </w:rPr>
        <w:t xml:space="preserve">it will be clear that </w:t>
      </w:r>
      <w:r w:rsidR="00D87B56">
        <w:rPr>
          <w:rFonts w:ascii="Times New Roman" w:eastAsia="Calibri" w:hAnsi="Times New Roman" w:cs="Times New Roman"/>
          <w:sz w:val="24"/>
          <w:szCs w:val="24"/>
        </w:rPr>
        <w:t xml:space="preserve">the Exchange </w:t>
      </w:r>
      <w:r w:rsidR="00C47488">
        <w:rPr>
          <w:rFonts w:ascii="Times New Roman" w:eastAsia="Calibri" w:hAnsi="Times New Roman" w:cs="Times New Roman"/>
          <w:sz w:val="24"/>
          <w:szCs w:val="24"/>
        </w:rPr>
        <w:t>has</w:t>
      </w:r>
      <w:r w:rsidR="00D87B56">
        <w:rPr>
          <w:rFonts w:ascii="Times New Roman" w:eastAsia="Calibri" w:hAnsi="Times New Roman" w:cs="Times New Roman"/>
          <w:sz w:val="24"/>
          <w:szCs w:val="24"/>
        </w:rPr>
        <w:t xml:space="preserve"> the discretion to analyze the situation and decide if a particular Futures Participant, </w:t>
      </w:r>
      <w:r w:rsidR="00721326">
        <w:rPr>
          <w:rFonts w:ascii="Times New Roman" w:eastAsia="Calibri" w:hAnsi="Times New Roman" w:cs="Times New Roman"/>
          <w:sz w:val="24"/>
          <w:szCs w:val="24"/>
        </w:rPr>
        <w:t xml:space="preserve">AC </w:t>
      </w:r>
      <w:r w:rsidR="00D87B56">
        <w:rPr>
          <w:rFonts w:ascii="Times New Roman" w:eastAsia="Calibri" w:hAnsi="Times New Roman" w:cs="Times New Roman"/>
          <w:sz w:val="24"/>
          <w:szCs w:val="24"/>
        </w:rPr>
        <w:t xml:space="preserve">or ORB should be prohibited from trading on the platform.  </w:t>
      </w:r>
      <w:r w:rsidR="00502CF8">
        <w:rPr>
          <w:rFonts w:ascii="Times New Roman" w:eastAsia="Calibri" w:hAnsi="Times New Roman" w:cs="Times New Roman"/>
          <w:sz w:val="24"/>
          <w:szCs w:val="24"/>
        </w:rPr>
        <w:t>This is the same level of discretion rested with the Commission by §</w:t>
      </w:r>
      <w:r w:rsidR="007F207D">
        <w:rPr>
          <w:rFonts w:ascii="Times New Roman" w:eastAsia="Calibri" w:hAnsi="Times New Roman" w:cs="Times New Roman"/>
          <w:sz w:val="24"/>
          <w:szCs w:val="24"/>
        </w:rPr>
        <w:t>8</w:t>
      </w:r>
      <w:r w:rsidR="00502CF8">
        <w:rPr>
          <w:rFonts w:ascii="Times New Roman" w:eastAsia="Calibri" w:hAnsi="Times New Roman" w:cs="Times New Roman"/>
          <w:sz w:val="24"/>
          <w:szCs w:val="24"/>
        </w:rPr>
        <w:t xml:space="preserve">a of the CEA.  </w:t>
      </w:r>
      <w:r w:rsidR="00C47488">
        <w:rPr>
          <w:rFonts w:ascii="Times New Roman" w:eastAsia="Calibri" w:hAnsi="Times New Roman" w:cs="Times New Roman"/>
          <w:sz w:val="24"/>
          <w:szCs w:val="24"/>
        </w:rPr>
        <w:t>It will also be made clear that t</w:t>
      </w:r>
      <w:r w:rsidR="00D87B56">
        <w:rPr>
          <w:rFonts w:ascii="Times New Roman" w:eastAsia="Calibri" w:hAnsi="Times New Roman" w:cs="Times New Roman"/>
          <w:sz w:val="24"/>
          <w:szCs w:val="24"/>
        </w:rPr>
        <w:t xml:space="preserve">he Exchange </w:t>
      </w:r>
      <w:r w:rsidR="00C47488">
        <w:rPr>
          <w:rFonts w:ascii="Times New Roman" w:eastAsia="Calibri" w:hAnsi="Times New Roman" w:cs="Times New Roman"/>
          <w:sz w:val="24"/>
          <w:szCs w:val="24"/>
        </w:rPr>
        <w:t>has</w:t>
      </w:r>
      <w:r w:rsidR="00D87B56">
        <w:rPr>
          <w:rFonts w:ascii="Times New Roman" w:eastAsia="Calibri" w:hAnsi="Times New Roman" w:cs="Times New Roman"/>
          <w:sz w:val="24"/>
          <w:szCs w:val="24"/>
        </w:rPr>
        <w:t xml:space="preserve"> discretion to craft an appropriate resolution based on the concerns raised by the Futures Participant, </w:t>
      </w:r>
      <w:r w:rsidR="00721326">
        <w:rPr>
          <w:rFonts w:ascii="Times New Roman" w:eastAsia="Calibri" w:hAnsi="Times New Roman" w:cs="Times New Roman"/>
          <w:sz w:val="24"/>
          <w:szCs w:val="24"/>
        </w:rPr>
        <w:t xml:space="preserve">AC </w:t>
      </w:r>
      <w:r w:rsidR="00D87B56">
        <w:rPr>
          <w:rFonts w:ascii="Times New Roman" w:eastAsia="Calibri" w:hAnsi="Times New Roman" w:cs="Times New Roman"/>
          <w:sz w:val="24"/>
          <w:szCs w:val="24"/>
        </w:rPr>
        <w:t xml:space="preserve">or ORB in question.   </w:t>
      </w:r>
    </w:p>
    <w:p w:rsidR="00502CF8" w:rsidRDefault="00502CF8" w:rsidP="00721326">
      <w:pPr>
        <w:pStyle w:val="NoSpacing"/>
        <w:ind w:firstLine="720"/>
        <w:rPr>
          <w:rFonts w:ascii="Times New Roman" w:eastAsia="Calibri" w:hAnsi="Times New Roman" w:cs="Times New Roman"/>
          <w:sz w:val="24"/>
          <w:szCs w:val="24"/>
        </w:rPr>
      </w:pPr>
    </w:p>
    <w:p w:rsidR="00C2620E" w:rsidRDefault="00502CF8" w:rsidP="00721326">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T</w:t>
      </w:r>
      <w:r w:rsidR="00C4593A">
        <w:rPr>
          <w:rFonts w:ascii="Times New Roman" w:eastAsia="Calibri" w:hAnsi="Times New Roman" w:cs="Times New Roman"/>
          <w:sz w:val="24"/>
          <w:szCs w:val="24"/>
        </w:rPr>
        <w:t xml:space="preserve">he failure of an </w:t>
      </w:r>
      <w:r w:rsidR="00721326">
        <w:rPr>
          <w:rFonts w:ascii="Times New Roman" w:eastAsia="Calibri" w:hAnsi="Times New Roman" w:cs="Times New Roman"/>
          <w:sz w:val="24"/>
          <w:szCs w:val="24"/>
        </w:rPr>
        <w:t xml:space="preserve">AC </w:t>
      </w:r>
      <w:r w:rsidR="00C4593A">
        <w:rPr>
          <w:rFonts w:ascii="Times New Roman" w:eastAsia="Calibri" w:hAnsi="Times New Roman" w:cs="Times New Roman"/>
          <w:sz w:val="24"/>
          <w:szCs w:val="24"/>
        </w:rPr>
        <w:t>to inform the Exchange that they fall within on</w:t>
      </w:r>
      <w:r w:rsidR="008B0F71">
        <w:rPr>
          <w:rFonts w:ascii="Times New Roman" w:eastAsia="Calibri" w:hAnsi="Times New Roman" w:cs="Times New Roman"/>
          <w:sz w:val="24"/>
          <w:szCs w:val="24"/>
        </w:rPr>
        <w:t>e</w:t>
      </w:r>
      <w:r w:rsidR="00C4593A">
        <w:rPr>
          <w:rFonts w:ascii="Times New Roman" w:eastAsia="Calibri" w:hAnsi="Times New Roman" w:cs="Times New Roman"/>
          <w:sz w:val="24"/>
          <w:szCs w:val="24"/>
        </w:rPr>
        <w:t xml:space="preserve"> of the §</w:t>
      </w:r>
      <w:r w:rsidR="007F207D">
        <w:rPr>
          <w:rFonts w:ascii="Times New Roman" w:eastAsia="Calibri" w:hAnsi="Times New Roman" w:cs="Times New Roman"/>
          <w:sz w:val="24"/>
          <w:szCs w:val="24"/>
        </w:rPr>
        <w:t>8</w:t>
      </w:r>
      <w:r w:rsidR="00C4593A">
        <w:rPr>
          <w:rFonts w:ascii="Times New Roman" w:eastAsia="Calibri" w:hAnsi="Times New Roman" w:cs="Times New Roman"/>
          <w:sz w:val="24"/>
          <w:szCs w:val="24"/>
        </w:rPr>
        <w:t>a Statuto</w:t>
      </w:r>
      <w:r w:rsidR="008B0F71">
        <w:rPr>
          <w:rFonts w:ascii="Times New Roman" w:eastAsia="Calibri" w:hAnsi="Times New Roman" w:cs="Times New Roman"/>
          <w:sz w:val="24"/>
          <w:szCs w:val="24"/>
        </w:rPr>
        <w:t>r</w:t>
      </w:r>
      <w:r w:rsidR="00C4593A">
        <w:rPr>
          <w:rFonts w:ascii="Times New Roman" w:eastAsia="Calibri" w:hAnsi="Times New Roman" w:cs="Times New Roman"/>
          <w:sz w:val="24"/>
          <w:szCs w:val="24"/>
        </w:rPr>
        <w:t xml:space="preserve">y Disqualification criteria will result in a violation of the NFX </w:t>
      </w:r>
      <w:r w:rsidR="00C47488">
        <w:rPr>
          <w:rFonts w:ascii="Times New Roman" w:eastAsia="Calibri" w:hAnsi="Times New Roman" w:cs="Times New Roman"/>
          <w:sz w:val="24"/>
          <w:szCs w:val="24"/>
        </w:rPr>
        <w:t xml:space="preserve">Rulebook </w:t>
      </w:r>
      <w:r w:rsidR="00C4593A">
        <w:rPr>
          <w:rFonts w:ascii="Times New Roman" w:eastAsia="Calibri" w:hAnsi="Times New Roman" w:cs="Times New Roman"/>
          <w:sz w:val="24"/>
          <w:szCs w:val="24"/>
        </w:rPr>
        <w:t xml:space="preserve">and </w:t>
      </w:r>
      <w:r w:rsidR="00C47488">
        <w:rPr>
          <w:rFonts w:ascii="Times New Roman" w:eastAsia="Calibri" w:hAnsi="Times New Roman" w:cs="Times New Roman"/>
          <w:sz w:val="24"/>
          <w:szCs w:val="24"/>
        </w:rPr>
        <w:t xml:space="preserve">potentially </w:t>
      </w:r>
      <w:r w:rsidR="00C4593A">
        <w:rPr>
          <w:rFonts w:ascii="Times New Roman" w:eastAsia="Calibri" w:hAnsi="Times New Roman" w:cs="Times New Roman"/>
          <w:sz w:val="24"/>
          <w:szCs w:val="24"/>
        </w:rPr>
        <w:t xml:space="preserve">subject the </w:t>
      </w:r>
      <w:r w:rsidR="00721326">
        <w:rPr>
          <w:rFonts w:ascii="Times New Roman" w:eastAsia="Calibri" w:hAnsi="Times New Roman" w:cs="Times New Roman"/>
          <w:sz w:val="24"/>
          <w:szCs w:val="24"/>
        </w:rPr>
        <w:t xml:space="preserve">AC </w:t>
      </w:r>
      <w:r w:rsidR="00C4593A">
        <w:rPr>
          <w:rFonts w:ascii="Times New Roman" w:eastAsia="Calibri" w:hAnsi="Times New Roman" w:cs="Times New Roman"/>
          <w:sz w:val="24"/>
          <w:szCs w:val="24"/>
        </w:rPr>
        <w:t xml:space="preserve">to further disciplinary action, including suspension or revocation of access to the trading platform. </w:t>
      </w:r>
      <w:r w:rsidR="008B0F71">
        <w:rPr>
          <w:rFonts w:ascii="Times New Roman" w:eastAsia="Calibri" w:hAnsi="Times New Roman" w:cs="Times New Roman"/>
          <w:sz w:val="24"/>
          <w:szCs w:val="24"/>
        </w:rPr>
        <w:t>Likewise, a Clearing Futures Participant that has approved an ORB to submit block trades or exchange for related position transactions must notify the Exchange immediately in the event an ORB meets any of the criteria listed in §</w:t>
      </w:r>
      <w:r w:rsidR="007F207D">
        <w:rPr>
          <w:rFonts w:ascii="Times New Roman" w:eastAsia="Calibri" w:hAnsi="Times New Roman" w:cs="Times New Roman"/>
          <w:sz w:val="24"/>
          <w:szCs w:val="24"/>
        </w:rPr>
        <w:t>8</w:t>
      </w:r>
      <w:r w:rsidR="006A7100">
        <w:rPr>
          <w:rFonts w:ascii="Times New Roman" w:eastAsia="Calibri" w:hAnsi="Times New Roman" w:cs="Times New Roman"/>
          <w:sz w:val="24"/>
          <w:szCs w:val="24"/>
        </w:rPr>
        <w:t>a of the CEA with respect to S</w:t>
      </w:r>
      <w:r w:rsidR="008B0F71">
        <w:rPr>
          <w:rFonts w:ascii="Times New Roman" w:eastAsia="Calibri" w:hAnsi="Times New Roman" w:cs="Times New Roman"/>
          <w:sz w:val="24"/>
          <w:szCs w:val="24"/>
        </w:rPr>
        <w:t xml:space="preserve">tatutory Disqualifications.  </w:t>
      </w:r>
    </w:p>
    <w:p w:rsidR="008B041F" w:rsidRPr="00E1206A" w:rsidRDefault="008B041F" w:rsidP="0008423C">
      <w:pPr>
        <w:pStyle w:val="Default"/>
        <w:ind w:left="2620"/>
        <w:rPr>
          <w:b/>
          <w:bCs/>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08423C" w:rsidRPr="00E1206A" w:rsidRDefault="0008423C" w:rsidP="0008423C">
      <w:pPr>
        <w:pStyle w:val="Default"/>
        <w:ind w:left="2620"/>
        <w:rPr>
          <w:color w:val="auto"/>
        </w:rPr>
      </w:pPr>
    </w:p>
    <w:p w:rsidR="0008423C" w:rsidRDefault="0008423C" w:rsidP="008B0F71">
      <w:pPr>
        <w:pStyle w:val="PlainText"/>
        <w:ind w:firstLine="1310"/>
        <w:rPr>
          <w:rFonts w:ascii="Times New Roman"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r w:rsidR="008B0F71">
        <w:rPr>
          <w:rFonts w:ascii="Times New Roman" w:hAnsi="Times New Roman"/>
          <w:sz w:val="24"/>
          <w:szCs w:val="24"/>
        </w:rPr>
        <w:t xml:space="preserve">  </w:t>
      </w:r>
    </w:p>
    <w:p w:rsidR="008B0F71" w:rsidRPr="00E1206A" w:rsidRDefault="008B0F71" w:rsidP="008B0F71">
      <w:pPr>
        <w:pStyle w:val="PlainText"/>
        <w:ind w:firstLine="1310"/>
        <w:rPr>
          <w:rFonts w:ascii="Times New Roman" w:eastAsia="Calibri" w:hAnsi="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lastRenderedPageBreak/>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r w:rsidRPr="00EB3D9D">
        <w:rPr>
          <w:rFonts w:ascii="Times New Roman" w:hAnsi="Times New Roman" w:cs="Times New Roman"/>
          <w:spacing w:val="-6"/>
          <w:sz w:val="24"/>
          <w:szCs w:val="24"/>
        </w:rPr>
        <w:t xml:space="preserve">Aravind Menon at (301) 978-8416 </w:t>
      </w:r>
      <w:r w:rsidRPr="00EB3D9D">
        <w:rPr>
          <w:rFonts w:ascii="Times New Roman" w:hAnsi="Times New Roman" w:cs="Times New Roman"/>
          <w:sz w:val="24"/>
          <w:szCs w:val="24"/>
        </w:rPr>
        <w:t>or</w:t>
      </w:r>
      <w:r w:rsidRPr="00EB3D9D">
        <w:rPr>
          <w:rFonts w:ascii="Times New Roman" w:hAnsi="Times New Roman" w:cs="Times New Roman"/>
          <w:spacing w:val="-6"/>
          <w:sz w:val="24"/>
          <w:szCs w:val="24"/>
        </w:rPr>
        <w:t xml:space="preserve"> </w:t>
      </w:r>
      <w:r w:rsidRPr="00EB3D9D">
        <w:rPr>
          <w:rFonts w:ascii="Times New Roman" w:hAnsi="Times New Roman" w:cs="Times New Roman"/>
          <w:sz w:val="24"/>
          <w:szCs w:val="24"/>
        </w:rPr>
        <w:t>aravind.menon</w:t>
      </w:r>
      <w:r w:rsidRPr="00E1206A">
        <w:rPr>
          <w:rFonts w:ascii="Times New Roman" w:hAnsi="Times New Roman" w:cs="Times New Roman"/>
          <w:sz w:val="24"/>
          <w:szCs w:val="24"/>
        </w:rPr>
        <w:t>@nasdaq.com</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Please</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refer to</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SR-NFX-201</w:t>
      </w:r>
      <w:r w:rsidR="00EB3D9D">
        <w:rPr>
          <w:rFonts w:ascii="Times New Roman" w:hAnsi="Times New Roman" w:cs="Times New Roman"/>
          <w:sz w:val="24"/>
          <w:szCs w:val="24"/>
        </w:rPr>
        <w:t>7-</w:t>
      </w:r>
      <w:r w:rsidR="00C47488">
        <w:rPr>
          <w:rFonts w:ascii="Times New Roman" w:hAnsi="Times New Roman" w:cs="Times New Roman"/>
          <w:sz w:val="24"/>
          <w:szCs w:val="24"/>
        </w:rPr>
        <w:t xml:space="preserve">07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rsidR="0008423C" w:rsidRPr="00E1206A" w:rsidRDefault="0008423C" w:rsidP="0008423C">
      <w:pPr>
        <w:pStyle w:val="NoSpacing"/>
        <w:keepNext/>
        <w:ind w:left="2880" w:firstLine="720"/>
        <w:rPr>
          <w:rFonts w:ascii="Times New Roman"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Daniel R. Carrigan</w:t>
      </w:r>
    </w:p>
    <w:p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08423C" w:rsidRPr="00E1206A" w:rsidRDefault="0008423C" w:rsidP="0008423C">
      <w:pPr>
        <w:spacing w:after="0" w:line="240" w:lineRule="auto"/>
        <w:rPr>
          <w:rFonts w:ascii="Times New Roman" w:hAnsi="Times New Roman" w:cs="Times New Roman"/>
          <w:sz w:val="24"/>
          <w:szCs w:val="24"/>
        </w:rPr>
      </w:pPr>
    </w:p>
    <w:p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w:t>
      </w:r>
      <w:r w:rsidR="000140AE">
        <w:rPr>
          <w:rFonts w:ascii="Times New Roman" w:hAnsi="Times New Roman" w:cs="Times New Roman"/>
          <w:sz w:val="24"/>
          <w:szCs w:val="24"/>
        </w:rPr>
        <w:t>NFX Rulebook Chapters II, III and V</w:t>
      </w: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F0" w:rsidRDefault="00B54BF0" w:rsidP="0008423C">
      <w:pPr>
        <w:spacing w:after="0" w:line="240" w:lineRule="auto"/>
      </w:pPr>
      <w:r>
        <w:separator/>
      </w:r>
    </w:p>
  </w:endnote>
  <w:endnote w:type="continuationSeparator" w:id="0">
    <w:p w:rsidR="00B54BF0" w:rsidRDefault="00B54BF0"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F0" w:rsidRDefault="00B54BF0" w:rsidP="0008423C">
      <w:pPr>
        <w:spacing w:after="0" w:line="240" w:lineRule="auto"/>
      </w:pPr>
      <w:r>
        <w:separator/>
      </w:r>
    </w:p>
  </w:footnote>
  <w:footnote w:type="continuationSeparator" w:id="0">
    <w:p w:rsidR="00B54BF0" w:rsidRDefault="00B54BF0" w:rsidP="0008423C">
      <w:pPr>
        <w:spacing w:after="0" w:line="240" w:lineRule="auto"/>
      </w:pPr>
      <w:r>
        <w:continuationSeparator/>
      </w:r>
    </w:p>
  </w:footnote>
  <w:footnote w:id="1">
    <w:p w:rsidR="00397500" w:rsidRDefault="00397500">
      <w:pPr>
        <w:pStyle w:val="FootnoteText"/>
        <w:rPr>
          <w:rFonts w:ascii="Times New Roman" w:hAnsi="Times New Roman" w:cs="Times New Roman"/>
        </w:rPr>
      </w:pPr>
      <w:r w:rsidRPr="00397500">
        <w:rPr>
          <w:rStyle w:val="FootnoteReference"/>
          <w:rFonts w:ascii="Times New Roman" w:hAnsi="Times New Roman" w:cs="Times New Roman"/>
        </w:rPr>
        <w:footnoteRef/>
      </w:r>
      <w:r w:rsidRPr="00397500">
        <w:rPr>
          <w:rFonts w:ascii="Times New Roman" w:hAnsi="Times New Roman" w:cs="Times New Roman"/>
        </w:rPr>
        <w:t xml:space="preserve"> </w:t>
      </w:r>
      <w:r w:rsidR="007F207D">
        <w:rPr>
          <w:rFonts w:ascii="Times New Roman" w:hAnsi="Times New Roman" w:cs="Times New Roman"/>
        </w:rPr>
        <w:t>See</w:t>
      </w:r>
      <w:r w:rsidRPr="00397500">
        <w:rPr>
          <w:rFonts w:ascii="Times New Roman" w:hAnsi="Times New Roman" w:cs="Times New Roman"/>
        </w:rPr>
        <w:t xml:space="preserve"> </w:t>
      </w:r>
      <w:r w:rsidR="007F207D">
        <w:rPr>
          <w:rFonts w:ascii="Times New Roman" w:hAnsi="Times New Roman" w:cs="Times New Roman"/>
        </w:rPr>
        <w:t>§8a of the Commodity Exchange Act</w:t>
      </w:r>
      <w:r w:rsidRPr="00397500">
        <w:rPr>
          <w:rFonts w:ascii="Times New Roman" w:hAnsi="Times New Roman" w:cs="Times New Roman"/>
        </w:rPr>
        <w:t xml:space="preserve">, listing factors for statutory disqualification from </w:t>
      </w:r>
      <w:r w:rsidR="00850673">
        <w:rPr>
          <w:rFonts w:ascii="Times New Roman" w:hAnsi="Times New Roman" w:cs="Times New Roman"/>
        </w:rPr>
        <w:t xml:space="preserve">registration with the CFTC.  </w:t>
      </w:r>
    </w:p>
    <w:p w:rsidR="00397500" w:rsidRDefault="00397500">
      <w:pPr>
        <w:pStyle w:val="FootnoteText"/>
      </w:pPr>
    </w:p>
  </w:footnote>
  <w:footnote w:id="2">
    <w:p w:rsidR="00DF354C" w:rsidRPr="00DF354C" w:rsidRDefault="00DF354C">
      <w:pPr>
        <w:pStyle w:val="FootnoteText"/>
        <w:rPr>
          <w:rFonts w:ascii="Times New Roman" w:hAnsi="Times New Roman" w:cs="Times New Roman"/>
        </w:rPr>
      </w:pPr>
      <w:r w:rsidRPr="00DF354C">
        <w:rPr>
          <w:rStyle w:val="FootnoteReference"/>
          <w:rFonts w:ascii="Times New Roman" w:hAnsi="Times New Roman" w:cs="Times New Roman"/>
        </w:rPr>
        <w:footnoteRef/>
      </w:r>
      <w:r w:rsidRPr="00DF354C">
        <w:rPr>
          <w:rFonts w:ascii="Times New Roman" w:hAnsi="Times New Roman" w:cs="Times New Roman"/>
        </w:rPr>
        <w:t xml:space="preserve"> See NFX Rulebook, Chapter V, Section 4 Direct Access.  </w:t>
      </w:r>
      <w:r w:rsidR="00D87B56">
        <w:rPr>
          <w:rFonts w:ascii="Times New Roman" w:hAnsi="Times New Roman" w:cs="Times New Roman"/>
        </w:rPr>
        <w:t xml:space="preserve">The categories listed in this rule was based on the Statutory Disqualifications </w:t>
      </w:r>
      <w:r w:rsidR="00A4276F">
        <w:rPr>
          <w:rFonts w:ascii="Times New Roman" w:hAnsi="Times New Roman" w:cs="Times New Roman"/>
        </w:rPr>
        <w:t xml:space="preserve">found in §8a of the </w:t>
      </w:r>
      <w:r w:rsidR="00D87B56">
        <w:rPr>
          <w:rFonts w:ascii="Times New Roman" w:hAnsi="Times New Roman" w:cs="Times New Roman"/>
        </w:rPr>
        <w:t xml:space="preserve">CEA.  </w:t>
      </w:r>
    </w:p>
    <w:p w:rsidR="00DF354C" w:rsidRDefault="00DF35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86F51">
      <w:rPr>
        <w:rFonts w:ascii="Times New Roman" w:hAnsi="Times New Roman" w:cs="Times New Roman"/>
        <w:noProof/>
        <w:sz w:val="20"/>
        <w:szCs w:val="20"/>
      </w:rPr>
      <w:t>March 3, 2017</w:t>
    </w:r>
    <w:r>
      <w:rPr>
        <w:rFonts w:ascii="Times New Roman" w:hAnsi="Times New Roman" w:cs="Times New Roman"/>
        <w:sz w:val="20"/>
        <w:szCs w:val="20"/>
      </w:rPr>
      <w:fldChar w:fldCharType="end"/>
    </w:r>
  </w:p>
  <w:p w:rsidR="00850673"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A816F3">
      <w:rPr>
        <w:rFonts w:ascii="Times New Roman" w:hAnsi="Times New Roman" w:cs="Times New Roman"/>
        <w:sz w:val="20"/>
        <w:szCs w:val="20"/>
      </w:rPr>
      <w:t>7</w:t>
    </w:r>
    <w:r w:rsidRPr="00C54BB6">
      <w:rPr>
        <w:rFonts w:ascii="Times New Roman" w:hAnsi="Times New Roman" w:cs="Times New Roman"/>
        <w:sz w:val="20"/>
        <w:szCs w:val="20"/>
      </w:rPr>
      <w:t>-</w:t>
    </w:r>
    <w:r w:rsidR="00850673">
      <w:rPr>
        <w:rFonts w:ascii="Times New Roman" w:hAnsi="Times New Roman" w:cs="Times New Roman"/>
        <w:sz w:val="20"/>
        <w:szCs w:val="20"/>
      </w:rPr>
      <w:t>07</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86F51">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2" w:rsidRDefault="00E12802" w:rsidP="00E12802">
    <w:pPr>
      <w:pStyle w:val="Header"/>
      <w:jc w:val="right"/>
    </w:pPr>
  </w:p>
  <w:p w:rsidR="00E12802" w:rsidRDefault="00E12802" w:rsidP="00E12802">
    <w:pPr>
      <w:pStyle w:val="Header"/>
      <w:jc w:val="right"/>
    </w:pPr>
  </w:p>
  <w:p w:rsidR="00E12802" w:rsidRDefault="00E12802" w:rsidP="00E12802">
    <w:pPr>
      <w:pStyle w:val="Header"/>
      <w:jc w:val="right"/>
    </w:pPr>
  </w:p>
  <w:p w:rsidR="00E12802" w:rsidRDefault="00E12802" w:rsidP="00E12802">
    <w:pPr>
      <w:pStyle w:val="Header"/>
      <w:jc w:val="right"/>
    </w:pPr>
  </w:p>
  <w:p w:rsidR="00E12802" w:rsidRPr="00CF4B16" w:rsidRDefault="00E12802" w:rsidP="00E12802">
    <w:pPr>
      <w:pStyle w:val="LetterheadAddress"/>
      <w:ind w:left="6550" w:firstLine="20"/>
      <w:rPr>
        <w:sz w:val="20"/>
      </w:rPr>
    </w:pPr>
    <w:r w:rsidRPr="00CF4B16">
      <w:rPr>
        <w:sz w:val="20"/>
      </w:rPr>
      <w:t>Nasdaq Futures, Inc.</w:t>
    </w:r>
  </w:p>
  <w:p w:rsidR="00E12802" w:rsidRPr="00CF4B16" w:rsidRDefault="00E12802" w:rsidP="00E12802">
    <w:pPr>
      <w:pStyle w:val="LetterheadAddress"/>
      <w:ind w:left="6550" w:firstLine="20"/>
      <w:rPr>
        <w:sz w:val="20"/>
      </w:rPr>
    </w:pPr>
    <w:r w:rsidRPr="00CF4B16">
      <w:rPr>
        <w:sz w:val="20"/>
      </w:rPr>
      <w:t>1900 Market Street</w:t>
    </w:r>
  </w:p>
  <w:p w:rsidR="00E12802" w:rsidRPr="00CF4B16" w:rsidRDefault="00E12802" w:rsidP="00E12802">
    <w:pPr>
      <w:pStyle w:val="LetterheadAddress"/>
      <w:ind w:left="6550" w:firstLine="20"/>
      <w:rPr>
        <w:sz w:val="20"/>
      </w:rPr>
    </w:pPr>
    <w:r w:rsidRPr="00CF4B16">
      <w:rPr>
        <w:sz w:val="20"/>
      </w:rPr>
      <w:t>Philadelphia, PA 19103 / USA</w:t>
    </w:r>
  </w:p>
  <w:p w:rsidR="00E12802" w:rsidRDefault="00E12802" w:rsidP="00E12802">
    <w:pPr>
      <w:spacing w:before="120" w:after="0"/>
      <w:ind w:left="6550" w:firstLine="2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12802" w:rsidRDefault="00E12802" w:rsidP="00E12802">
    <w:pPr>
      <w:pStyle w:val="Header"/>
      <w:ind w:firstLine="6120"/>
    </w:pPr>
    <w:r w:rsidRPr="002E383E">
      <w:rPr>
        <w:noProof/>
      </w:rPr>
      <w:drawing>
        <wp:anchor distT="0" distB="0" distL="114300" distR="114300" simplePos="0" relativeHeight="251659264" behindDoc="0" locked="1" layoutInCell="1" allowOverlap="1" wp14:anchorId="347B099B" wp14:editId="347B099C">
          <wp:simplePos x="0" y="0"/>
          <wp:positionH relativeFrom="column">
            <wp:posOffset>3596640</wp:posOffset>
          </wp:positionH>
          <wp:positionV relativeFrom="page">
            <wp:posOffset>335280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18"/>
    <w:rsid w:val="00006B62"/>
    <w:rsid w:val="00010CB6"/>
    <w:rsid w:val="000140AE"/>
    <w:rsid w:val="0008423C"/>
    <w:rsid w:val="000E26AE"/>
    <w:rsid w:val="000E415C"/>
    <w:rsid w:val="0012529D"/>
    <w:rsid w:val="00135496"/>
    <w:rsid w:val="00154FD5"/>
    <w:rsid w:val="001F3107"/>
    <w:rsid w:val="00204EC5"/>
    <w:rsid w:val="00253701"/>
    <w:rsid w:val="002C0A34"/>
    <w:rsid w:val="002C5B30"/>
    <w:rsid w:val="002C669B"/>
    <w:rsid w:val="00317C2C"/>
    <w:rsid w:val="003523C2"/>
    <w:rsid w:val="00397500"/>
    <w:rsid w:val="003D40B8"/>
    <w:rsid w:val="003F2417"/>
    <w:rsid w:val="004965FA"/>
    <w:rsid w:val="004A53F9"/>
    <w:rsid w:val="004B0524"/>
    <w:rsid w:val="004C6722"/>
    <w:rsid w:val="004D7E5D"/>
    <w:rsid w:val="00502CF8"/>
    <w:rsid w:val="00543CA2"/>
    <w:rsid w:val="005A08AE"/>
    <w:rsid w:val="005E3020"/>
    <w:rsid w:val="005F3337"/>
    <w:rsid w:val="00634E21"/>
    <w:rsid w:val="00682A97"/>
    <w:rsid w:val="006A7100"/>
    <w:rsid w:val="006B3A2F"/>
    <w:rsid w:val="006B5F08"/>
    <w:rsid w:val="007076E9"/>
    <w:rsid w:val="00721326"/>
    <w:rsid w:val="00727909"/>
    <w:rsid w:val="007854AD"/>
    <w:rsid w:val="007958C5"/>
    <w:rsid w:val="007C7601"/>
    <w:rsid w:val="007E6703"/>
    <w:rsid w:val="007F207D"/>
    <w:rsid w:val="00812A63"/>
    <w:rsid w:val="00821537"/>
    <w:rsid w:val="0082421C"/>
    <w:rsid w:val="008321A8"/>
    <w:rsid w:val="0083533B"/>
    <w:rsid w:val="00846BAF"/>
    <w:rsid w:val="00850673"/>
    <w:rsid w:val="00891144"/>
    <w:rsid w:val="00893E15"/>
    <w:rsid w:val="008B041F"/>
    <w:rsid w:val="008B0F71"/>
    <w:rsid w:val="008C3F5C"/>
    <w:rsid w:val="009225BF"/>
    <w:rsid w:val="00941D25"/>
    <w:rsid w:val="0096726E"/>
    <w:rsid w:val="009D0582"/>
    <w:rsid w:val="00A00151"/>
    <w:rsid w:val="00A4276F"/>
    <w:rsid w:val="00A80A5D"/>
    <w:rsid w:val="00A816F3"/>
    <w:rsid w:val="00AC45F9"/>
    <w:rsid w:val="00AD7CB9"/>
    <w:rsid w:val="00B223B3"/>
    <w:rsid w:val="00B53FAF"/>
    <w:rsid w:val="00B54BF0"/>
    <w:rsid w:val="00B6532A"/>
    <w:rsid w:val="00B86F51"/>
    <w:rsid w:val="00BF3AF0"/>
    <w:rsid w:val="00C00CED"/>
    <w:rsid w:val="00C2620E"/>
    <w:rsid w:val="00C4068B"/>
    <w:rsid w:val="00C4593A"/>
    <w:rsid w:val="00C47488"/>
    <w:rsid w:val="00C83A70"/>
    <w:rsid w:val="00CA52C3"/>
    <w:rsid w:val="00CA6E45"/>
    <w:rsid w:val="00CB53DA"/>
    <w:rsid w:val="00CD4999"/>
    <w:rsid w:val="00D0050D"/>
    <w:rsid w:val="00D326A7"/>
    <w:rsid w:val="00D327C6"/>
    <w:rsid w:val="00D60246"/>
    <w:rsid w:val="00D70718"/>
    <w:rsid w:val="00D87B56"/>
    <w:rsid w:val="00DF354C"/>
    <w:rsid w:val="00E1206A"/>
    <w:rsid w:val="00E12802"/>
    <w:rsid w:val="00E34482"/>
    <w:rsid w:val="00E74C83"/>
    <w:rsid w:val="00E75844"/>
    <w:rsid w:val="00E934D6"/>
    <w:rsid w:val="00EB3D9D"/>
    <w:rsid w:val="00EC432B"/>
    <w:rsid w:val="00F02F13"/>
    <w:rsid w:val="00F20122"/>
    <w:rsid w:val="00F452FD"/>
    <w:rsid w:val="00F86B2E"/>
    <w:rsid w:val="00F93853"/>
    <w:rsid w:val="00FB3245"/>
    <w:rsid w:val="00FB337A"/>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BalloonText">
    <w:name w:val="Balloon Text"/>
    <w:basedOn w:val="Normal"/>
    <w:link w:val="BalloonTextChar"/>
    <w:uiPriority w:val="99"/>
    <w:semiHidden/>
    <w:unhideWhenUsed/>
    <w:rsid w:val="00B8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BalloonText">
    <w:name w:val="Balloon Text"/>
    <w:basedOn w:val="Normal"/>
    <w:link w:val="BalloonTextChar"/>
    <w:uiPriority w:val="99"/>
    <w:semiHidden/>
    <w:unhideWhenUsed/>
    <w:rsid w:val="00B8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a3045f4b-61fb-43d8-aaa6-b3d895243ba2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2017-03-03T21:57:07+00:00</Document_x0020_Date>
    <Document_x0020_No xmlns="4b47aac5-4c46-444f-8595-ce09b406fc61">29499</Document_x0020_No>
  </documentManagement>
</p:properties>
</file>

<file path=customXml/itemProps1.xml><?xml version="1.0" encoding="utf-8"?>
<ds:datastoreItem xmlns:ds="http://schemas.openxmlformats.org/officeDocument/2006/customXml" ds:itemID="{B47399D9-32F0-46FF-B889-793E2FC9C7D7}"/>
</file>

<file path=customXml/itemProps2.xml><?xml version="1.0" encoding="utf-8"?>
<ds:datastoreItem xmlns:ds="http://schemas.openxmlformats.org/officeDocument/2006/customXml" ds:itemID="{F9901860-37A0-4F81-A30F-AE28D7392572}"/>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0252FEDF-7649-40FF-8D7B-E906D13A2E46}"/>
</file>

<file path=customXml/itemProps5.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Aravind Menon</dc:creator>
  <cp:lastModifiedBy>Tosin Osoko</cp:lastModifiedBy>
  <cp:revision>2</cp:revision>
  <cp:lastPrinted>2017-03-03T18:29:00Z</cp:lastPrinted>
  <dcterms:created xsi:type="dcterms:W3CDTF">2017-03-03T20:00:00Z</dcterms:created>
  <dcterms:modified xsi:type="dcterms:W3CDTF">2017-03-03T20:00:00Z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3537600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