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Default="008717EF" w:rsidP="008717EF">
      <w:pPr>
        <w:spacing w:before="120" w:after="0"/>
        <w:ind w:left="6550" w:hanging="6550"/>
        <w:rPr>
          <w:rFonts w:ascii="Times New Roman" w:eastAsia="Calibri" w:hAnsi="Times New Roman"/>
          <w:sz w:val="24"/>
          <w:szCs w:val="24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FF">
        <w:rPr>
          <w:rFonts w:ascii="Times New Roman" w:eastAsia="Calibri" w:hAnsi="Times New Roman" w:cs="Times New Roman"/>
          <w:sz w:val="24"/>
          <w:szCs w:val="24"/>
        </w:rPr>
        <w:t>March 2</w:t>
      </w:r>
      <w:r w:rsidR="00FF4EF2">
        <w:rPr>
          <w:rFonts w:ascii="Times New Roman" w:eastAsia="Calibri" w:hAnsi="Times New Roman" w:cs="Times New Roman"/>
          <w:sz w:val="24"/>
          <w:szCs w:val="24"/>
        </w:rPr>
        <w:t>, 2017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8717EF" w:rsidRPr="00151B94" w:rsidRDefault="008717EF" w:rsidP="008717EF">
      <w:pPr>
        <w:spacing w:before="120" w:after="0"/>
        <w:ind w:left="6550"/>
        <w:rPr>
          <w:sz w:val="18"/>
          <w:szCs w:val="18"/>
        </w:rPr>
      </w:pP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 xml:space="preserve">asdaq Futures, </w:t>
      </w:r>
      <w:proofErr w:type="gramStart"/>
      <w:r w:rsidRPr="00151B94">
        <w:rPr>
          <w:sz w:val="18"/>
          <w:szCs w:val="18"/>
        </w:rPr>
        <w:t>Inc.</w:t>
      </w:r>
      <w:proofErr w:type="gramEnd"/>
    </w:p>
    <w:p w:rsidR="008717EF" w:rsidRPr="00E1206A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51B94">
        <w:rPr>
          <w:rFonts w:cs="Times New Roman"/>
          <w:sz w:val="18"/>
          <w:szCs w:val="18"/>
        </w:rPr>
        <w:t>business.nasdaq.com/futures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C26B7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00F1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72D00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180303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</w:p>
    <w:p w:rsidR="008D2C12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C26B7B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DE235E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DE235E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DE235E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E235E">
        <w:rPr>
          <w:rFonts w:ascii="Times New Roman" w:eastAsia="Calibri" w:hAnsi="Times New Roman" w:cs="Times New Roman"/>
          <w:sz w:val="24"/>
          <w:szCs w:val="24"/>
        </w:rPr>
        <w:t>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35E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>
        <w:rPr>
          <w:rFonts w:ascii="Times New Roman" w:eastAsia="Calibri" w:hAnsi="Times New Roman" w:cs="Times New Roman"/>
          <w:sz w:val="24"/>
          <w:szCs w:val="24"/>
        </w:rPr>
        <w:t>d</w:t>
      </w:r>
      <w:r w:rsidRPr="00DE235E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0D3824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(“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Exchang</w:t>
      </w:r>
      <w:r w:rsidRPr="000D3824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="0085416B" w:rsidRPr="000D382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0D3824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6D1B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180303">
        <w:rPr>
          <w:rFonts w:ascii="Times New Roman" w:eastAsia="Calibri" w:hAnsi="Times New Roman" w:cs="Times New Roman"/>
          <w:sz w:val="24"/>
          <w:szCs w:val="24"/>
        </w:rPr>
        <w:t>February 12</w:t>
      </w:r>
      <w:r w:rsidR="002A2EE7">
        <w:rPr>
          <w:rFonts w:ascii="Times New Roman" w:eastAsia="Calibri" w:hAnsi="Times New Roman" w:cs="Times New Roman"/>
          <w:sz w:val="24"/>
          <w:szCs w:val="24"/>
        </w:rPr>
        <w:t>, 201</w:t>
      </w:r>
      <w:r w:rsidR="00180303">
        <w:rPr>
          <w:rFonts w:ascii="Times New Roman" w:eastAsia="Calibri" w:hAnsi="Times New Roman" w:cs="Times New Roman"/>
          <w:sz w:val="24"/>
          <w:szCs w:val="24"/>
        </w:rPr>
        <w:t>8</w:t>
      </w:r>
      <w:r w:rsidRPr="000D3824">
        <w:rPr>
          <w:rFonts w:ascii="Times New Roman" w:eastAsia="Calibri" w:hAnsi="Times New Roman" w:cs="Times New Roman"/>
          <w:sz w:val="24"/>
          <w:szCs w:val="24"/>
        </w:rPr>
        <w:t>, the Exchan</w:t>
      </w:r>
      <w:r w:rsidRPr="002A6D1B">
        <w:rPr>
          <w:rFonts w:ascii="Times New Roman" w:eastAsia="Calibri" w:hAnsi="Times New Roman" w:cs="Times New Roman"/>
          <w:sz w:val="24"/>
          <w:szCs w:val="24"/>
        </w:rPr>
        <w:t>ge issued Futures Trader Alert #201</w:t>
      </w:r>
      <w:r w:rsidR="00180303">
        <w:rPr>
          <w:rFonts w:ascii="Times New Roman" w:eastAsia="Calibri" w:hAnsi="Times New Roman" w:cs="Times New Roman"/>
          <w:sz w:val="24"/>
          <w:szCs w:val="24"/>
        </w:rPr>
        <w:t>8</w:t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80303">
        <w:rPr>
          <w:rFonts w:ascii="Times New Roman" w:eastAsia="Calibri" w:hAnsi="Times New Roman" w:cs="Times New Roman"/>
          <w:sz w:val="24"/>
          <w:szCs w:val="24"/>
        </w:rPr>
        <w:t>7</w:t>
      </w:r>
      <w:r w:rsidRPr="002A6D1B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>
        <w:rPr>
          <w:rFonts w:ascii="Times New Roman" w:eastAsia="Calibri" w:hAnsi="Times New Roman" w:cs="Times New Roman"/>
          <w:sz w:val="24"/>
          <w:szCs w:val="24"/>
        </w:rPr>
        <w:t>months in</w:t>
      </w:r>
      <w:r w:rsidR="002A6D1B" w:rsidRPr="002A6D1B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r w:rsidR="00180303" w:rsidRPr="00180303">
        <w:rPr>
          <w:rFonts w:ascii="Times New Roman" w:eastAsia="Calibri" w:hAnsi="Times New Roman" w:cs="Times New Roman"/>
          <w:sz w:val="24"/>
          <w:szCs w:val="24"/>
        </w:rPr>
        <w:t>ERCOT Power Futures Contracts</w:t>
      </w:r>
      <w:r w:rsidRPr="002A6D1B">
        <w:rPr>
          <w:rFonts w:ascii="Times New Roman" w:eastAsia="Calibri" w:hAnsi="Times New Roman" w:cs="Times New Roman"/>
          <w:sz w:val="24"/>
          <w:szCs w:val="24"/>
        </w:rPr>
        <w:t>,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180303">
        <w:rPr>
          <w:rFonts w:ascii="Times New Roman" w:eastAsia="Times New Roman" w:hAnsi="Times New Roman" w:cs="Times New Roman"/>
          <w:sz w:val="24"/>
          <w:szCs w:val="24"/>
        </w:rPr>
        <w:t>February 22</w:t>
      </w:r>
      <w:r w:rsidR="00180303" w:rsidRPr="001803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, for trade date </w:t>
      </w:r>
      <w:r w:rsidR="00180303">
        <w:rPr>
          <w:rFonts w:ascii="Times New Roman" w:eastAsia="Times New Roman" w:hAnsi="Times New Roman" w:cs="Times New Roman"/>
          <w:sz w:val="24"/>
          <w:szCs w:val="24"/>
        </w:rPr>
        <w:t>February 23</w:t>
      </w:r>
      <w:r w:rsidR="00180303" w:rsidRPr="001803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80303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39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The trading months for the new contract, which were previ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ously certified pursuant to Commission Rule 40.2 on </w:t>
      </w:r>
      <w:r w:rsidR="00180303">
        <w:rPr>
          <w:rFonts w:ascii="Times New Roman" w:eastAsia="Times New Roman" w:hAnsi="Times New Roman" w:cs="Times New Roman"/>
          <w:sz w:val="24"/>
          <w:szCs w:val="24"/>
        </w:rPr>
        <w:t>February 7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8030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382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39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4628"/>
        <w:gridCol w:w="1912"/>
        <w:gridCol w:w="1396"/>
      </w:tblGrid>
      <w:tr w:rsidR="00A206D2" w:rsidRPr="00A206D2" w:rsidTr="00DA5C74">
        <w:trPr>
          <w:tblHeader/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450EE" w:rsidRDefault="00A206D2" w:rsidP="00A20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Rulebook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</w:r>
            <w:r w:rsidRPr="00F450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Appendix A Chapter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Name of Energy Futures Contract and Trading Symbol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450EE" w:rsidRDefault="00A206D2" w:rsidP="00A20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Number of Contract Months Listed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450EE" w:rsidRDefault="00A206D2" w:rsidP="00A20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First and Last Months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North 345 KV Hub Real-Time Off-Peak Mini Weekend 2X16 Financial Futures (XPCQ)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321D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North 345 KV Hub Real-Time Off-Peak Mini Weekend 2X16 Financial Futures - 80 MWh (XPIQ)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North 345 KV Hub Real-Time Off-Peak Mini Weekend 2X16 Financial Futures - 16MWh (XPMQ)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321F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NFX ERCOT North 345 KV Hub Real-Time Off-Peak 7x8 Financial Futures (XPBQ)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321G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NFX ERCOT North 345 KV Hub Real-Time Off-Peak Mini 7x8 Financial Futures - 5MWh (XPFQ)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321H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NFX ERCOT North 345 KV Hub Real-Time Off-Peak Mini 7x8 Financial Futures - 1MWh (XPOQ)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Houston 345KV Hub Real-Time Off-Peak Weekend 2x16 Financial Futures (XPLQ)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322D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Houston 345KV Hub Real-Time Off-Peak Mini Weekend 2x16 Financial Futures - 80 MWh (XPHQ)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Houston 345KV Hub Real-Time Off-Peak Mini Weekend 2x16 Financial Futures - 16 MWh (XPUQ)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322F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Houston 345KV Hub Real-Time Off-Peak 7X8 Financial Futures (XPKQ)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Houston 345KV Hub Real-Time Off-Peak Mini 7X8 Financial Futures - 5 MWh (XPVQ)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322H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Houston 345KV Hub Real-Time Off-Peak Mini 7X8 Financial Futures - 1 MWh (XPNQ)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494FE5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94FE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494FE5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94FE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South 345KV Hub Real-Time Off-Peak Weekend 2x16 Financial Futures (YFSQ)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494FE5" w:rsidRDefault="00494FE5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94FE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323D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494FE5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94FE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South 345KV Hub Real-Time Off-Peak Mini Weekend 2x16 Financial Futures - 80 MWh (YFIQ)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494FE5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94FE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494FE5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94FE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South 345KV Hub Real-Time Off-Peak Mini Weekend 2x16 Financial Futures - 16 MWh (YFNQ)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323F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South 345KV Hub Real-Time Off-Peak 7X8 Financial Futures (XOKQ)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South 345KV Hub Real-Time Off-Peak Mini 7X8 Financial Futures - 5 MWh (XOVQ)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323H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South 345KV Hub Real-Time Off-Peak Mini 7X8 Financial Futures - 1 MWh (XOEQ)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West 345KV Hub Real-Time Off-Peak Weekend 2x16 Financial Futures (YGYQ)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324D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West 345KV Hub Real-Time Off-Peak Mini Weekend 2x16 Financial Futures - 80 MWh (YGFQ)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West 345KV Hub Real-Time Off-Peak Mini Weekend 2x16 Financial Futures - 16 MWh (YGOQ)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324F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West 345KV Hub Real-Time Off-Peak 7X8 Financial Futures (YFTQ)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West 345KV Hub Real-Time Off-Peak Mini 7X8 Financial Futures - 5 MWh (YFFQ)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  <w:tr w:rsidR="00A206D2" w:rsidRPr="00A206D2" w:rsidTr="00DA5C74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324H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NFX ERCOT West 345KV Hub Real-Time Off-Peak Mini 7X8 Financial Futures - 1 MWh (YFOQ)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6D2" w:rsidRPr="00F450EE" w:rsidRDefault="00A206D2" w:rsidP="00D76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Mar. 2018,</w:t>
            </w:r>
            <w:r w:rsidRPr="00F450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Dec. 2021</w:t>
            </w:r>
          </w:p>
        </w:tc>
      </w:tr>
    </w:tbl>
    <w:p w:rsidR="00FA574E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p w:rsidR="002B56C0" w:rsidRPr="0013104F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C26B7B">
        <w:rPr>
          <w:rFonts w:ascii="Times New Roman" w:hAnsi="Times New Roman" w:cs="Times New Roman"/>
          <w:sz w:val="24"/>
          <w:szCs w:val="24"/>
        </w:rPr>
        <w:t>Please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refer to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SR-NFX-201</w:t>
      </w:r>
      <w:r w:rsidR="0068501D">
        <w:rPr>
          <w:rFonts w:ascii="Times New Roman" w:hAnsi="Times New Roman" w:cs="Times New Roman"/>
          <w:sz w:val="24"/>
          <w:szCs w:val="24"/>
        </w:rPr>
        <w:t>8</w:t>
      </w:r>
      <w:r w:rsidRPr="00C26B7B">
        <w:rPr>
          <w:rFonts w:ascii="Times New Roman" w:hAnsi="Times New Roman" w:cs="Times New Roman"/>
          <w:sz w:val="24"/>
          <w:szCs w:val="24"/>
        </w:rPr>
        <w:t>-</w:t>
      </w:r>
      <w:r w:rsidR="0068501D">
        <w:rPr>
          <w:rFonts w:ascii="Times New Roman" w:hAnsi="Times New Roman" w:cs="Times New Roman"/>
          <w:sz w:val="24"/>
          <w:szCs w:val="24"/>
        </w:rPr>
        <w:t>17</w:t>
      </w:r>
      <w:r w:rsidR="007C4348">
        <w:rPr>
          <w:rFonts w:ascii="Times New Roman" w:hAnsi="Times New Roman" w:cs="Times New Roman"/>
          <w:sz w:val="24"/>
          <w:szCs w:val="24"/>
        </w:rPr>
        <w:t xml:space="preserve"> </w:t>
      </w:r>
      <w:r w:rsidRPr="00C26B7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13104F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21AC14" wp14:editId="7DD364E9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hAnsi="Times New Roman"/>
          <w:sz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Daniel R. </w:t>
      </w:r>
      <w:proofErr w:type="spellStart"/>
      <w:r w:rsidRPr="0013104F">
        <w:rPr>
          <w:rFonts w:ascii="Times New Roman" w:eastAsia="Calibri" w:hAnsi="Times New Roman" w:cs="Times New Roman"/>
          <w:sz w:val="24"/>
          <w:szCs w:val="24"/>
        </w:rPr>
        <w:t>Carrigan</w:t>
      </w:r>
      <w:proofErr w:type="spellEnd"/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Sect="005444C0">
      <w:headerReference w:type="default" r:id="rId13"/>
      <w:footerReference w:type="first" r:id="rId14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FA" w:rsidRDefault="00A205FA">
      <w:r>
        <w:separator/>
      </w:r>
    </w:p>
  </w:endnote>
  <w:endnote w:type="continuationSeparator" w:id="0">
    <w:p w:rsidR="00A205FA" w:rsidRDefault="00A2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B7C211FF-665A-4D19-99A6-4A442A843795}"/>
    <w:embedBold r:id="rId2" w:fontKey="{7047B21B-BFFA-4615-AB91-4B714F8E8DBB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FA" w:rsidRDefault="00A205FA">
      <w:r>
        <w:separator/>
      </w:r>
    </w:p>
  </w:footnote>
  <w:footnote w:type="continuationSeparator" w:id="0">
    <w:p w:rsidR="00A205FA" w:rsidRDefault="00A205FA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180303">
        <w:rPr>
          <w:rFonts w:ascii="Times New Roman" w:hAnsi="Times New Roman" w:cs="Times New Roman"/>
        </w:rPr>
        <w:t>8</w:t>
      </w:r>
      <w:r w:rsidRPr="005A2000">
        <w:rPr>
          <w:rFonts w:ascii="Times New Roman" w:hAnsi="Times New Roman" w:cs="Times New Roman"/>
        </w:rPr>
        <w:t>-</w:t>
      </w:r>
      <w:r w:rsidR="00180303">
        <w:rPr>
          <w:rFonts w:ascii="Times New Roman" w:hAnsi="Times New Roman" w:cs="Times New Roman"/>
        </w:rPr>
        <w:t>06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94FE5">
      <w:rPr>
        <w:rFonts w:ascii="Times New Roman" w:hAnsi="Times New Roman" w:cs="Times New Roman"/>
        <w:noProof/>
        <w:sz w:val="20"/>
        <w:szCs w:val="20"/>
      </w:rPr>
      <w:t>March 6,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68501D">
      <w:rPr>
        <w:rFonts w:ascii="Times New Roman" w:hAnsi="Times New Roman" w:cs="Times New Roman"/>
        <w:sz w:val="20"/>
        <w:szCs w:val="20"/>
      </w:rPr>
      <w:t>8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68501D">
      <w:rPr>
        <w:rFonts w:ascii="Times New Roman" w:hAnsi="Times New Roman" w:cs="Times New Roman"/>
        <w:sz w:val="20"/>
        <w:szCs w:val="20"/>
      </w:rPr>
      <w:t>17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494FE5">
      <w:rPr>
        <w:rFonts w:ascii="Times New Roman" w:hAnsi="Times New Roman" w:cs="Times New Roman"/>
        <w:noProof/>
        <w:sz w:val="20"/>
        <w:szCs w:val="20"/>
      </w:rPr>
      <w:t>3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10152"/>
    <w:rsid w:val="000141C6"/>
    <w:rsid w:val="00016944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1719"/>
    <w:rsid w:val="00095F3F"/>
    <w:rsid w:val="000A0779"/>
    <w:rsid w:val="000A0FF7"/>
    <w:rsid w:val="000A3874"/>
    <w:rsid w:val="000A762C"/>
    <w:rsid w:val="000B0B22"/>
    <w:rsid w:val="000B0F2E"/>
    <w:rsid w:val="000B5E2C"/>
    <w:rsid w:val="000C411D"/>
    <w:rsid w:val="000D02B9"/>
    <w:rsid w:val="000D1939"/>
    <w:rsid w:val="000D3824"/>
    <w:rsid w:val="000D4A76"/>
    <w:rsid w:val="000D6BF4"/>
    <w:rsid w:val="000E35C4"/>
    <w:rsid w:val="000E7A11"/>
    <w:rsid w:val="000F3BC3"/>
    <w:rsid w:val="0011314A"/>
    <w:rsid w:val="001265C8"/>
    <w:rsid w:val="00135BE1"/>
    <w:rsid w:val="00143693"/>
    <w:rsid w:val="001521A5"/>
    <w:rsid w:val="00153179"/>
    <w:rsid w:val="00165602"/>
    <w:rsid w:val="001746B9"/>
    <w:rsid w:val="00180303"/>
    <w:rsid w:val="0018088D"/>
    <w:rsid w:val="00197F73"/>
    <w:rsid w:val="001A2BBF"/>
    <w:rsid w:val="001B4FAC"/>
    <w:rsid w:val="001B6ADA"/>
    <w:rsid w:val="001C4306"/>
    <w:rsid w:val="001D02FB"/>
    <w:rsid w:val="001D4C1F"/>
    <w:rsid w:val="001E53F3"/>
    <w:rsid w:val="001F1793"/>
    <w:rsid w:val="001F5E55"/>
    <w:rsid w:val="001F7DF3"/>
    <w:rsid w:val="002010FF"/>
    <w:rsid w:val="0021084F"/>
    <w:rsid w:val="00210BE0"/>
    <w:rsid w:val="002230A7"/>
    <w:rsid w:val="00224146"/>
    <w:rsid w:val="00230791"/>
    <w:rsid w:val="00232FFF"/>
    <w:rsid w:val="0024176E"/>
    <w:rsid w:val="00242C21"/>
    <w:rsid w:val="00243744"/>
    <w:rsid w:val="00250841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05F0"/>
    <w:rsid w:val="003A1E6B"/>
    <w:rsid w:val="003A6274"/>
    <w:rsid w:val="003C46F3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39C2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94FE5"/>
    <w:rsid w:val="004B4800"/>
    <w:rsid w:val="004C1038"/>
    <w:rsid w:val="004C595C"/>
    <w:rsid w:val="004D3DF2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BD3"/>
    <w:rsid w:val="00674E96"/>
    <w:rsid w:val="0067686C"/>
    <w:rsid w:val="00682E52"/>
    <w:rsid w:val="0068501D"/>
    <w:rsid w:val="00687FED"/>
    <w:rsid w:val="006970D0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4B8D"/>
    <w:rsid w:val="0079548F"/>
    <w:rsid w:val="00796FBD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A2D43"/>
    <w:rsid w:val="009B3774"/>
    <w:rsid w:val="009C7535"/>
    <w:rsid w:val="009C7C2A"/>
    <w:rsid w:val="009D4226"/>
    <w:rsid w:val="009D691D"/>
    <w:rsid w:val="009D7164"/>
    <w:rsid w:val="009D7434"/>
    <w:rsid w:val="009E7DC6"/>
    <w:rsid w:val="009F7A70"/>
    <w:rsid w:val="00A01B4B"/>
    <w:rsid w:val="00A03815"/>
    <w:rsid w:val="00A03BA1"/>
    <w:rsid w:val="00A06C10"/>
    <w:rsid w:val="00A137D7"/>
    <w:rsid w:val="00A205FA"/>
    <w:rsid w:val="00A206D2"/>
    <w:rsid w:val="00A238E0"/>
    <w:rsid w:val="00A3596F"/>
    <w:rsid w:val="00A35B1F"/>
    <w:rsid w:val="00A3713A"/>
    <w:rsid w:val="00A43066"/>
    <w:rsid w:val="00A568CC"/>
    <w:rsid w:val="00A60EAF"/>
    <w:rsid w:val="00A62A66"/>
    <w:rsid w:val="00A72D00"/>
    <w:rsid w:val="00A84816"/>
    <w:rsid w:val="00A85786"/>
    <w:rsid w:val="00A863E3"/>
    <w:rsid w:val="00A87D38"/>
    <w:rsid w:val="00A87F46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6B7B"/>
    <w:rsid w:val="00C32763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039"/>
    <w:rsid w:val="00CB7A5C"/>
    <w:rsid w:val="00CC2030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3780"/>
    <w:rsid w:val="00D86D6F"/>
    <w:rsid w:val="00D94689"/>
    <w:rsid w:val="00D960A9"/>
    <w:rsid w:val="00D97F5B"/>
    <w:rsid w:val="00DA1551"/>
    <w:rsid w:val="00DA1AFC"/>
    <w:rsid w:val="00DA4A81"/>
    <w:rsid w:val="00DA5C74"/>
    <w:rsid w:val="00DA5E8D"/>
    <w:rsid w:val="00DA6428"/>
    <w:rsid w:val="00DB1B21"/>
    <w:rsid w:val="00DB3E7B"/>
    <w:rsid w:val="00DC305C"/>
    <w:rsid w:val="00DD389D"/>
    <w:rsid w:val="00DF59B1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41fbb431-0c68-4514-8748-a08fcd7ac0e7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2018-03-06T21:12:29+00:00</Document_x0020_Date>
    <Document_x0020_No xmlns="4b47aac5-4c46-444f-8595-ce09b406fc61">38277</Document_x0020_No>
  </documentManagement>
</p:properties>
</file>

<file path=customXml/itemProps1.xml><?xml version="1.0" encoding="utf-8"?>
<ds:datastoreItem xmlns:ds="http://schemas.openxmlformats.org/officeDocument/2006/customXml" ds:itemID="{D308DE71-58E7-441F-8AD0-29BA44A54100}"/>
</file>

<file path=customXml/itemProps2.xml><?xml version="1.0" encoding="utf-8"?>
<ds:datastoreItem xmlns:ds="http://schemas.openxmlformats.org/officeDocument/2006/customXml" ds:itemID="{E783C8BD-5888-4579-9D37-7413391A9BA1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214EBDA0-5860-4C2C-B60E-B2333529D8CC}"/>
</file>

<file path=customXml/itemProps5.xml><?xml version="1.0" encoding="utf-8"?>
<ds:datastoreItem xmlns:ds="http://schemas.openxmlformats.org/officeDocument/2006/customXml" ds:itemID="{EF15CA83-F73B-409E-94A8-CA292E015980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11</TotalTime>
  <Pages>3</Pages>
  <Words>668</Words>
  <Characters>3808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Notification</dc:title>
  <dc:creator>Shari Bradford</dc:creator>
  <cp:lastModifiedBy>Christopher Cull</cp:lastModifiedBy>
  <cp:revision>6</cp:revision>
  <cp:lastPrinted>2017-11-20T20:09:00Z</cp:lastPrinted>
  <dcterms:created xsi:type="dcterms:W3CDTF">2018-03-01T21:26:00Z</dcterms:created>
  <dcterms:modified xsi:type="dcterms:W3CDTF">2018-03-06T21:07:00Z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5223100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