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16" w:rsidRPr="005A4D0A" w:rsidRDefault="00992578" w:rsidP="005A4D0A">
      <w:pPr>
        <w:pStyle w:val="Heading1"/>
        <w:rPr>
          <w:color w:val="0070C0"/>
          <w:sz w:val="24"/>
          <w:szCs w:val="24"/>
        </w:rPr>
      </w:pPr>
      <w:r w:rsidRPr="00151B94">
        <w:rPr>
          <w:sz w:val="18"/>
          <w:szCs w:val="18"/>
        </w:rPr>
        <w:drawing>
          <wp:anchor distT="0" distB="0" distL="114300" distR="114300" simplePos="0" relativeHeight="251659776" behindDoc="0" locked="1" layoutInCell="1" allowOverlap="1" wp14:anchorId="30690815" wp14:editId="3C7FFEF1">
            <wp:simplePos x="0" y="0"/>
            <wp:positionH relativeFrom="margin">
              <wp:posOffset>-42545</wp:posOffset>
            </wp:positionH>
            <wp:positionV relativeFrom="page">
              <wp:posOffset>593725</wp:posOffset>
            </wp:positionV>
            <wp:extent cx="1673225" cy="4743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F3">
        <w:br/>
      </w:r>
      <w:r w:rsidR="0070721F" w:rsidRPr="005A4D0A">
        <w:rPr>
          <w:bCs w:val="0"/>
          <w:cap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60F35" wp14:editId="37D1D876">
                <wp:simplePos x="0" y="0"/>
                <wp:positionH relativeFrom="column">
                  <wp:posOffset>1821180</wp:posOffset>
                </wp:positionH>
                <wp:positionV relativeFrom="paragraph">
                  <wp:posOffset>-568325</wp:posOffset>
                </wp:positionV>
                <wp:extent cx="457200" cy="457200"/>
                <wp:effectExtent l="0" t="0" r="0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18C38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143.4pt;margin-top:-44.75pt;width:36pt;height:3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" fillcolor="#bfbfbf [2412]" stroked="f" strokeweight="2pt"/>
            </w:pict>
          </mc:Fallback>
        </mc:AlternateContent>
      </w:r>
      <w:r w:rsidR="0070721F" w:rsidRPr="005A4D0A">
        <w:rPr>
          <w:bCs w:val="0"/>
          <w:cap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A6DFE" wp14:editId="649A8163">
                <wp:simplePos x="0" y="0"/>
                <wp:positionH relativeFrom="column">
                  <wp:posOffset>2277110</wp:posOffset>
                </wp:positionH>
                <wp:positionV relativeFrom="paragraph">
                  <wp:posOffset>-568325</wp:posOffset>
                </wp:positionV>
                <wp:extent cx="128016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36" w:rsidRPr="00E46DD2" w:rsidRDefault="00153E4C" w:rsidP="00DB64F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 xml:space="preserve">    </w:t>
                            </w:r>
                            <w:r w:rsidR="00C53136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>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3A6DFE" id="Rectangle 8" o:spid="_x0000_s1026" style="position:absolute;left:0;text-align:left;margin-left:179.3pt;margin-top:-44.75pt;width:100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" fillcolor="#bfbfbf [2412]" stroked="f" strokeweight="2pt">
                <v:textbox inset="0,0,0,0">
                  <w:txbxContent>
                    <w:p w:rsidR="00C53136" w:rsidRPr="00E46DD2" w:rsidRDefault="00153E4C" w:rsidP="00DB64FC">
                      <w:pP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 xml:space="preserve">    </w:t>
                      </w:r>
                      <w:r w:rsidR="00C53136"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>Futures</w:t>
                      </w:r>
                    </w:p>
                  </w:txbxContent>
                </v:textbox>
              </v:rect>
            </w:pict>
          </mc:Fallback>
        </mc:AlternateContent>
      </w:r>
      <w:r w:rsidR="00C20E2D" w:rsidRPr="005A4D0A">
        <w:rPr>
          <w:color w:val="0070C0"/>
          <w:sz w:val="24"/>
          <w:szCs w:val="24"/>
        </w:rPr>
        <w:t>April 1</w:t>
      </w:r>
      <w:r w:rsidR="00E502D5" w:rsidRPr="005A4D0A">
        <w:rPr>
          <w:color w:val="0070C0"/>
          <w:sz w:val="24"/>
          <w:szCs w:val="24"/>
        </w:rPr>
        <w:t>,</w:t>
      </w:r>
      <w:r w:rsidR="002E4D16" w:rsidRPr="005A4D0A">
        <w:rPr>
          <w:color w:val="0070C0"/>
          <w:sz w:val="24"/>
          <w:szCs w:val="24"/>
        </w:rPr>
        <w:t xml:space="preserve"> </w:t>
      </w:r>
      <w:r w:rsidR="00C20E2D" w:rsidRPr="005A4D0A">
        <w:rPr>
          <w:color w:val="0070C0"/>
          <w:sz w:val="24"/>
          <w:szCs w:val="24"/>
        </w:rPr>
        <w:t>2019</w:t>
      </w:r>
    </w:p>
    <w:p w:rsidR="005A4D0A" w:rsidRDefault="005A4D0A" w:rsidP="005A4D0A">
      <w:pPr>
        <w:pStyle w:val="Heading1"/>
        <w:jc w:val="center"/>
        <w:rPr>
          <w:color w:val="0070C0"/>
        </w:rPr>
      </w:pPr>
      <w:r>
        <w:rPr>
          <w:color w:val="0070C0"/>
        </w:rPr>
        <w:t>Exhibit A SR-NFX-2019-08</w:t>
      </w:r>
    </w:p>
    <w:p w:rsidR="00B96CA1" w:rsidRDefault="004524C3" w:rsidP="00CE70D4">
      <w:pPr>
        <w:pStyle w:val="Heading1"/>
      </w:pPr>
      <w:r>
        <w:rPr>
          <w:color w:val="0070C0"/>
        </w:rPr>
        <w:t xml:space="preserve">designated </w:t>
      </w:r>
      <w:r w:rsidR="001F2E63">
        <w:rPr>
          <w:color w:val="0070C0"/>
        </w:rPr>
        <w:t>market maker</w:t>
      </w:r>
      <w:r w:rsidR="006A61EE">
        <w:rPr>
          <w:color w:val="0070C0"/>
        </w:rPr>
        <w:t xml:space="preserve"> PROGRAM FOR</w:t>
      </w:r>
      <w:r w:rsidR="001F2E63">
        <w:rPr>
          <w:color w:val="0070C0"/>
        </w:rPr>
        <w:t xml:space="preserve"> </w:t>
      </w:r>
      <w:r w:rsidR="00236B16">
        <w:rPr>
          <w:color w:val="0070C0"/>
        </w:rPr>
        <w:t>Treasury</w:t>
      </w:r>
      <w:r w:rsidR="00AC51E0">
        <w:rPr>
          <w:color w:val="0070C0"/>
        </w:rPr>
        <w:t xml:space="preserve"> futures</w:t>
      </w:r>
      <w:r w:rsidR="001F2E63">
        <w:rPr>
          <w:color w:val="0070C0"/>
        </w:rPr>
        <w:t xml:space="preserve"> </w:t>
      </w:r>
      <w:r w:rsidR="002E4D16" w:rsidRPr="004441F4">
        <w:rPr>
          <w:color w:val="0070C0"/>
        </w:rPr>
        <w:t>Products</w:t>
      </w:r>
    </w:p>
    <w:p w:rsidR="00234EC8" w:rsidRDefault="00234EC8" w:rsidP="00CE56C7">
      <w:pPr>
        <w:pStyle w:val="Subhead1Style"/>
        <w:jc w:val="both"/>
        <w:rPr>
          <w:color w:val="0070C0"/>
        </w:rPr>
      </w:pPr>
    </w:p>
    <w:p w:rsidR="001B6CC7" w:rsidRPr="004441F4" w:rsidRDefault="006A642C" w:rsidP="00CE56C7">
      <w:pPr>
        <w:pStyle w:val="Subhead1Style"/>
        <w:jc w:val="both"/>
        <w:rPr>
          <w:color w:val="0070C0"/>
        </w:rPr>
      </w:pPr>
      <w:r>
        <w:rPr>
          <w:color w:val="0070C0"/>
        </w:rPr>
        <w:t>Introduction</w:t>
      </w:r>
    </w:p>
    <w:p w:rsidR="008F0308" w:rsidRDefault="008D54A2" w:rsidP="002E4D16">
      <w:pPr>
        <w:pStyle w:val="MainText"/>
      </w:pPr>
      <w:r>
        <w:t>Nasdaq Futures, Inc.</w:t>
      </w:r>
      <w:r w:rsidR="00FD64DA">
        <w:t xml:space="preserve"> (NFX</w:t>
      </w:r>
      <w:r w:rsidR="00E502D5">
        <w:t xml:space="preserve"> or </w:t>
      </w:r>
      <w:r w:rsidR="00153E4C">
        <w:t xml:space="preserve">the </w:t>
      </w:r>
      <w:r w:rsidR="00E502D5">
        <w:t>Exchange</w:t>
      </w:r>
      <w:r w:rsidR="00FD64DA">
        <w:t>)</w:t>
      </w:r>
      <w:r>
        <w:t xml:space="preserve">, </w:t>
      </w:r>
      <w:r w:rsidR="00153E4C">
        <w:t xml:space="preserve">the </w:t>
      </w:r>
      <w:r w:rsidR="009C40D5">
        <w:t>d</w:t>
      </w:r>
      <w:r w:rsidR="00FC5A7D">
        <w:t xml:space="preserve">esignated </w:t>
      </w:r>
      <w:r w:rsidR="009C40D5">
        <w:t>c</w:t>
      </w:r>
      <w:r w:rsidR="00FC5A7D">
        <w:t xml:space="preserve">ontract </w:t>
      </w:r>
      <w:r w:rsidR="009C40D5">
        <w:t>m</w:t>
      </w:r>
      <w:r w:rsidR="00FC5A7D">
        <w:t xml:space="preserve">arket </w:t>
      </w:r>
      <w:r>
        <w:t>owned by Nasdaq</w:t>
      </w:r>
      <w:r w:rsidR="00C304A6">
        <w:t>,</w:t>
      </w:r>
      <w:r w:rsidR="00FD64DA">
        <w:t xml:space="preserve"> </w:t>
      </w:r>
      <w:r w:rsidR="009C40D5">
        <w:t>is establishing</w:t>
      </w:r>
      <w:r w:rsidR="00FD64DA">
        <w:t xml:space="preserve"> a new Designated</w:t>
      </w:r>
      <w:r w:rsidR="00184D0F">
        <w:t xml:space="preserve"> Market Maker (DMM) program </w:t>
      </w:r>
      <w:r w:rsidR="00FD64DA">
        <w:t xml:space="preserve">which will </w:t>
      </w:r>
      <w:r w:rsidR="009C40D5">
        <w:t>commence on</w:t>
      </w:r>
      <w:r w:rsidR="00B9655B">
        <w:t xml:space="preserve"> trade date </w:t>
      </w:r>
      <w:r w:rsidR="00236B16">
        <w:t>April 1</w:t>
      </w:r>
      <w:r w:rsidR="0082496D">
        <w:t>, 201</w:t>
      </w:r>
      <w:r w:rsidR="00634675">
        <w:t>9</w:t>
      </w:r>
      <w:r w:rsidR="0082496D">
        <w:t xml:space="preserve"> for</w:t>
      </w:r>
      <w:r w:rsidR="00AC51E0">
        <w:t xml:space="preserve"> NFX </w:t>
      </w:r>
      <w:r w:rsidR="00236B16">
        <w:t xml:space="preserve">U.S. </w:t>
      </w:r>
      <w:r w:rsidR="00236B16" w:rsidRPr="00236B16">
        <w:t>DV01 Treasury</w:t>
      </w:r>
      <w:r w:rsidR="00AC51E0">
        <w:t xml:space="preserve"> Futures</w:t>
      </w:r>
      <w:r w:rsidR="00153E4C">
        <w:t xml:space="preserve"> Products</w:t>
      </w:r>
      <w:r w:rsidR="009C40D5">
        <w:t xml:space="preserve"> (</w:t>
      </w:r>
      <w:r w:rsidR="00236B16">
        <w:t>Treasury</w:t>
      </w:r>
      <w:r w:rsidR="00603751">
        <w:t xml:space="preserve"> </w:t>
      </w:r>
      <w:r w:rsidR="009C40D5">
        <w:t>Products)</w:t>
      </w:r>
      <w:r w:rsidR="009C40D5">
        <w:rPr>
          <w:rStyle w:val="FootnoteReference"/>
        </w:rPr>
        <w:footnoteReference w:id="1"/>
      </w:r>
      <w:r w:rsidR="009C40D5">
        <w:t xml:space="preserve"> and will continue </w:t>
      </w:r>
      <w:r w:rsidR="0082496D">
        <w:t xml:space="preserve">until </w:t>
      </w:r>
      <w:r w:rsidR="006A61EE">
        <w:t xml:space="preserve">March </w:t>
      </w:r>
      <w:r w:rsidR="00AC51E0">
        <w:t>31</w:t>
      </w:r>
      <w:r w:rsidR="0082496D">
        <w:t>, 20</w:t>
      </w:r>
      <w:r w:rsidR="006A61EE">
        <w:t>20</w:t>
      </w:r>
      <w:r w:rsidR="009C40D5">
        <w:t>.</w:t>
      </w:r>
    </w:p>
    <w:p w:rsidR="008F0308" w:rsidRDefault="008F0308" w:rsidP="002E4D16">
      <w:pPr>
        <w:pStyle w:val="MainText"/>
      </w:pPr>
      <w:bookmarkStart w:id="0" w:name="_GoBack"/>
      <w:bookmarkEnd w:id="0"/>
    </w:p>
    <w:p w:rsidR="008F0308" w:rsidRDefault="008F0308" w:rsidP="002E4D16">
      <w:pPr>
        <w:pStyle w:val="MainText"/>
      </w:pPr>
      <w:r>
        <w:t>The purpose of the program</w:t>
      </w:r>
      <w:r w:rsidR="00847A64">
        <w:t xml:space="preserve"> is to support liquidity </w:t>
      </w:r>
      <w:r w:rsidR="00D30E75">
        <w:t xml:space="preserve">in </w:t>
      </w:r>
      <w:r w:rsidR="009C40D5">
        <w:t xml:space="preserve">the </w:t>
      </w:r>
      <w:r w:rsidR="00236B16">
        <w:t>Treasury</w:t>
      </w:r>
      <w:r w:rsidR="00603751">
        <w:t xml:space="preserve"> </w:t>
      </w:r>
      <w:r w:rsidR="009C40D5">
        <w:t xml:space="preserve">Products by recruiting DMMs to maintain </w:t>
      </w:r>
      <w:r w:rsidR="00D30E75">
        <w:t xml:space="preserve">competitive bid/ask spreads </w:t>
      </w:r>
      <w:r w:rsidR="00C304A6">
        <w:t>a</w:t>
      </w:r>
      <w:r w:rsidR="00D30E75">
        <w:t xml:space="preserve">cross the forward </w:t>
      </w:r>
      <w:r w:rsidR="00A72524">
        <w:t xml:space="preserve">Contract </w:t>
      </w:r>
      <w:r w:rsidR="00D30E75">
        <w:t>curves</w:t>
      </w:r>
      <w:r w:rsidR="003B6651">
        <w:t xml:space="preserve">, </w:t>
      </w:r>
      <w:r w:rsidR="00FE0A68">
        <w:t xml:space="preserve">in </w:t>
      </w:r>
      <w:r w:rsidR="00C304A6">
        <w:t>I</w:t>
      </w:r>
      <w:r w:rsidR="00FE0A68">
        <w:t>ntra-</w:t>
      </w:r>
      <w:r w:rsidR="00C304A6">
        <w:t>C</w:t>
      </w:r>
      <w:r w:rsidR="00FE0A68">
        <w:t xml:space="preserve">ommodity </w:t>
      </w:r>
      <w:r w:rsidR="00C304A6">
        <w:t>(T</w:t>
      </w:r>
      <w:r w:rsidR="00FE0A68">
        <w:t>ime</w:t>
      </w:r>
      <w:r w:rsidR="00C304A6">
        <w:t>)</w:t>
      </w:r>
      <w:r w:rsidR="00FE0A68">
        <w:t xml:space="preserve"> </w:t>
      </w:r>
      <w:r w:rsidR="00C304A6">
        <w:t>S</w:t>
      </w:r>
      <w:r w:rsidR="00FE0A68">
        <w:t xml:space="preserve">preads, and </w:t>
      </w:r>
      <w:r w:rsidR="009C40D5">
        <w:t xml:space="preserve">in </w:t>
      </w:r>
      <w:r w:rsidR="00C304A6">
        <w:t>I</w:t>
      </w:r>
      <w:r w:rsidR="00FE0A68">
        <w:t>nter-</w:t>
      </w:r>
      <w:r w:rsidR="00C304A6">
        <w:t>C</w:t>
      </w:r>
      <w:r w:rsidR="00FE0A68">
        <w:t xml:space="preserve">ommodity </w:t>
      </w:r>
      <w:r w:rsidR="00C304A6">
        <w:t>S</w:t>
      </w:r>
      <w:r w:rsidR="00FE0A68">
        <w:t>preads</w:t>
      </w:r>
      <w:r w:rsidR="0072132B">
        <w:t xml:space="preserve"> (Yield Curve Spreads)</w:t>
      </w:r>
      <w:r w:rsidR="003B6651">
        <w:t xml:space="preserve">. </w:t>
      </w:r>
      <w:r w:rsidR="00C304A6">
        <w:t xml:space="preserve"> </w:t>
      </w:r>
    </w:p>
    <w:p w:rsidR="00A355BE" w:rsidRPr="004441F4" w:rsidRDefault="00A355BE" w:rsidP="00A355BE">
      <w:pPr>
        <w:pStyle w:val="Subhead1Style"/>
        <w:jc w:val="both"/>
        <w:rPr>
          <w:color w:val="0070C0"/>
        </w:rPr>
      </w:pPr>
      <w:r>
        <w:rPr>
          <w:color w:val="0070C0"/>
        </w:rPr>
        <w:t>Program Design</w:t>
      </w:r>
    </w:p>
    <w:p w:rsidR="00457757" w:rsidRDefault="002D115D" w:rsidP="002E4D16">
      <w:pPr>
        <w:pStyle w:val="MainText"/>
      </w:pPr>
      <w:r>
        <w:t xml:space="preserve">The </w:t>
      </w:r>
      <w:r w:rsidR="00A355BE">
        <w:t>NFX</w:t>
      </w:r>
      <w:r w:rsidR="006F1E0F">
        <w:t xml:space="preserve"> </w:t>
      </w:r>
      <w:r w:rsidR="00A355BE">
        <w:t xml:space="preserve">Designated Market Maker program </w:t>
      </w:r>
      <w:r w:rsidR="006F1E0F">
        <w:t>objective</w:t>
      </w:r>
      <w:r w:rsidR="003B6651">
        <w:t>s</w:t>
      </w:r>
      <w:r w:rsidR="006F1E0F">
        <w:t xml:space="preserve"> </w:t>
      </w:r>
      <w:r w:rsidR="003B6651">
        <w:t>are</w:t>
      </w:r>
      <w:r w:rsidR="00457757">
        <w:t>:</w:t>
      </w:r>
    </w:p>
    <w:p w:rsidR="003B6651" w:rsidRDefault="006F1E0F" w:rsidP="002E4D16">
      <w:pPr>
        <w:pStyle w:val="MainText"/>
      </w:pPr>
      <w:r>
        <w:t xml:space="preserve"> </w:t>
      </w:r>
    </w:p>
    <w:p w:rsidR="003B6651" w:rsidRDefault="002D115D" w:rsidP="00CE70D4">
      <w:pPr>
        <w:pStyle w:val="MainText"/>
        <w:numPr>
          <w:ilvl w:val="0"/>
          <w:numId w:val="10"/>
        </w:numPr>
      </w:pPr>
      <w:r>
        <w:t>To f</w:t>
      </w:r>
      <w:r w:rsidR="003B6651">
        <w:t xml:space="preserve">acilitate competitive bid/ask spreads in the most liquid </w:t>
      </w:r>
      <w:r w:rsidR="00A355BE">
        <w:t>C</w:t>
      </w:r>
      <w:r w:rsidR="003B6651">
        <w:t xml:space="preserve">ontracts and </w:t>
      </w:r>
      <w:r w:rsidR="00A355BE">
        <w:t>expiries</w:t>
      </w:r>
      <w:r w:rsidR="003B6651">
        <w:t xml:space="preserve"> (front </w:t>
      </w:r>
      <w:r w:rsidR="00C20E2D">
        <w:t>two</w:t>
      </w:r>
      <w:r w:rsidR="0082496D">
        <w:t xml:space="preserve"> </w:t>
      </w:r>
      <w:r w:rsidR="00C20E2D">
        <w:t>months</w:t>
      </w:r>
      <w:r w:rsidR="003B6651">
        <w:t>)</w:t>
      </w:r>
      <w:r w:rsidR="00086C16">
        <w:t>;</w:t>
      </w:r>
    </w:p>
    <w:p w:rsidR="003B6651" w:rsidRDefault="002D115D" w:rsidP="00CE70D4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9D1E12">
        <w:t>s</w:t>
      </w:r>
      <w:r w:rsidR="003B6651">
        <w:t>ufficient</w:t>
      </w:r>
      <w:r w:rsidR="006F1E0F">
        <w:t xml:space="preserve"> dept</w:t>
      </w:r>
      <w:r w:rsidR="003B6651">
        <w:t>h</w:t>
      </w:r>
      <w:r w:rsidR="006F1E0F">
        <w:t xml:space="preserve"> in the most liquid </w:t>
      </w:r>
      <w:r w:rsidR="00A355BE">
        <w:t>C</w:t>
      </w:r>
      <w:r w:rsidR="006F1E0F">
        <w:t xml:space="preserve">ontracts and </w:t>
      </w:r>
      <w:r w:rsidR="00A355BE">
        <w:t>expiries</w:t>
      </w:r>
      <w:r w:rsidR="00086C16">
        <w:t xml:space="preserve"> (</w:t>
      </w:r>
      <w:r w:rsidR="00C20E2D">
        <w:t>front two months</w:t>
      </w:r>
      <w:r w:rsidR="00086C16">
        <w:t>);</w:t>
      </w:r>
    </w:p>
    <w:p w:rsidR="009D1E12" w:rsidRDefault="002D115D" w:rsidP="009D1E12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3B6651">
        <w:t xml:space="preserve">competitive bid/ask spreads for </w:t>
      </w:r>
      <w:r w:rsidR="00A355BE">
        <w:t>Intra-Commodity (T</w:t>
      </w:r>
      <w:r w:rsidR="003B6651">
        <w:t>ime</w:t>
      </w:r>
      <w:r w:rsidR="00A355BE">
        <w:t>)</w:t>
      </w:r>
      <w:r w:rsidR="003B6651">
        <w:t xml:space="preserve"> </w:t>
      </w:r>
      <w:r w:rsidR="00A355BE">
        <w:t>S</w:t>
      </w:r>
      <w:r w:rsidR="003B6651">
        <w:t>preads</w:t>
      </w:r>
      <w:r w:rsidR="00DC1EAD">
        <w:t xml:space="preserve"> (Rolls)</w:t>
      </w:r>
      <w:r w:rsidR="003B6651">
        <w:t xml:space="preserve"> up to </w:t>
      </w:r>
      <w:r w:rsidR="00CB51DD">
        <w:t>two months</w:t>
      </w:r>
      <w:r w:rsidR="006D3781">
        <w:t>;</w:t>
      </w:r>
    </w:p>
    <w:p w:rsidR="006D3781" w:rsidRDefault="006D3781" w:rsidP="002E4D16">
      <w:pPr>
        <w:pStyle w:val="MainText"/>
      </w:pPr>
    </w:p>
    <w:p w:rsidR="008B188F" w:rsidRDefault="00E71823" w:rsidP="008B188F">
      <w:pPr>
        <w:pStyle w:val="MainText"/>
      </w:pPr>
      <w:r>
        <w:t>NFX</w:t>
      </w:r>
      <w:r w:rsidR="00830EFA">
        <w:t xml:space="preserve"> acknowledges that</w:t>
      </w:r>
      <w:r w:rsidR="00F00013">
        <w:t xml:space="preserve"> </w:t>
      </w:r>
      <w:r w:rsidR="00603751">
        <w:t>DMMs</w:t>
      </w:r>
      <w:r w:rsidR="00830EFA">
        <w:t xml:space="preserve"> might have different </w:t>
      </w:r>
      <w:r>
        <w:t xml:space="preserve">areas of </w:t>
      </w:r>
      <w:r w:rsidR="00830EFA">
        <w:t>focus along the forward curve, as well as different capabilities to manage physical deliveries</w:t>
      </w:r>
      <w:r w:rsidR="00AF74EF">
        <w:t xml:space="preserve"> in U.S. Treasuries</w:t>
      </w:r>
      <w:r w:rsidR="00830EFA">
        <w:t xml:space="preserve">. </w:t>
      </w:r>
      <w:r>
        <w:t xml:space="preserve"> </w:t>
      </w:r>
    </w:p>
    <w:p w:rsidR="008B188F" w:rsidRDefault="008B188F" w:rsidP="008B188F">
      <w:pPr>
        <w:pStyle w:val="MainText"/>
      </w:pPr>
    </w:p>
    <w:p w:rsidR="00A019C3" w:rsidRPr="002E4D16" w:rsidRDefault="005765F7" w:rsidP="002E4D16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>DMM B</w:t>
      </w:r>
      <w:r w:rsidR="002E4D16" w:rsidRPr="002E4D16">
        <w:rPr>
          <w:color w:val="0070C0"/>
        </w:rPr>
        <w:t>enefits</w:t>
      </w:r>
    </w:p>
    <w:p w:rsidR="00D57D36" w:rsidRDefault="007D3A70" w:rsidP="00254900">
      <w:pPr>
        <w:pStyle w:val="MainText"/>
        <w:rPr>
          <w:rStyle w:val="Hyperlink"/>
          <w:color w:val="auto"/>
          <w:u w:val="none"/>
        </w:rPr>
      </w:pPr>
      <w:r>
        <w:t xml:space="preserve">DMMs </w:t>
      </w:r>
      <w:r w:rsidR="00533DD0">
        <w:t>will be</w:t>
      </w:r>
      <w:r w:rsidR="00D57D36">
        <w:t xml:space="preserve"> </w:t>
      </w:r>
      <w:r w:rsidR="00533DD0">
        <w:t xml:space="preserve">able to use all functionality in the </w:t>
      </w:r>
      <w:r w:rsidR="00D57D36">
        <w:t>NFX T</w:t>
      </w:r>
      <w:r w:rsidR="00533DD0">
        <w:t xml:space="preserve">rading </w:t>
      </w:r>
      <w:r w:rsidR="00D57D36">
        <w:t>System</w:t>
      </w:r>
      <w:r w:rsidR="007E42B1">
        <w:t>.</w:t>
      </w:r>
      <w:r w:rsidR="00541214">
        <w:t xml:space="preserve">  </w:t>
      </w:r>
      <w:r w:rsidR="007E42B1">
        <w:t>T</w:t>
      </w:r>
      <w:r w:rsidR="00533DD0">
        <w:t xml:space="preserve">he DMM will be able to use both </w:t>
      </w:r>
      <w:r w:rsidR="00D57D36">
        <w:t>O</w:t>
      </w:r>
      <w:r w:rsidR="00533DD0">
        <w:t xml:space="preserve">rders as well as </w:t>
      </w:r>
      <w:r w:rsidR="00D57D36">
        <w:t>Q</w:t>
      </w:r>
      <w:r w:rsidR="00533DD0">
        <w:t>uotes.</w:t>
      </w:r>
      <w:r w:rsidR="00D57D36">
        <w:t xml:space="preserve">  Mass Quotes, </w:t>
      </w:r>
      <w:r w:rsidR="00287A10">
        <w:t>Mass Quote</w:t>
      </w:r>
      <w:r w:rsidR="00D57D36" w:rsidRPr="00D57D36">
        <w:t xml:space="preserve"> Protection (M</w:t>
      </w:r>
      <w:r w:rsidR="00287A10">
        <w:t>Q</w:t>
      </w:r>
      <w:r w:rsidR="00D57D36" w:rsidRPr="00D57D36">
        <w:t>P) and Self-Match Prevention functionality</w:t>
      </w:r>
      <w:r w:rsidR="00D57D36">
        <w:t xml:space="preserve"> is also available.  An</w:t>
      </w:r>
      <w:r w:rsidR="00D57D36" w:rsidRPr="00D57D36">
        <w:t xml:space="preserve"> explanatory reference guide for these key concepts and services provided by NFX</w:t>
      </w:r>
      <w:r w:rsidR="00D57D36">
        <w:t xml:space="preserve"> may be found here:</w:t>
      </w:r>
      <w:r w:rsidR="00395DFE">
        <w:t xml:space="preserve"> </w:t>
      </w:r>
      <w:hyperlink r:id="rId9" w:history="1">
        <w:r w:rsidR="00546C1D" w:rsidRPr="00546C1D">
          <w:rPr>
            <w:rStyle w:val="Hyperlink"/>
            <w:color w:val="auto"/>
          </w:rPr>
          <w:t>business.nasdaq.com/futures</w:t>
        </w:r>
      </w:hyperlink>
      <w:r w:rsidR="00546C1D" w:rsidRPr="00546C1D">
        <w:rPr>
          <w:rStyle w:val="Hyperlink"/>
          <w:color w:val="auto"/>
          <w:u w:val="none"/>
        </w:rPr>
        <w:t>.</w:t>
      </w:r>
    </w:p>
    <w:p w:rsidR="0028327F" w:rsidRDefault="0028327F" w:rsidP="00254900">
      <w:pPr>
        <w:pStyle w:val="MainText"/>
        <w:rPr>
          <w:rStyle w:val="Hyperlink"/>
          <w:color w:val="auto"/>
          <w:u w:val="none"/>
        </w:rPr>
      </w:pPr>
    </w:p>
    <w:p w:rsidR="0028327F" w:rsidRDefault="0028327F" w:rsidP="00254900">
      <w:pPr>
        <w:pStyle w:val="MainTex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DMMs who meet the assessment metrics contained below will qualify for reduced fees as outlined in the Fee Schedule.  The hig</w:t>
      </w:r>
      <w:r w:rsidR="00961834">
        <w:rPr>
          <w:rStyle w:val="Hyperlink"/>
          <w:color w:val="auto"/>
          <w:u w:val="none"/>
        </w:rPr>
        <w:t>h</w:t>
      </w:r>
      <w:r>
        <w:rPr>
          <w:rStyle w:val="Hyperlink"/>
          <w:color w:val="auto"/>
          <w:u w:val="none"/>
        </w:rPr>
        <w:t xml:space="preserve">est performing DMMs that are also trading participants on </w:t>
      </w:r>
      <w:proofErr w:type="gramStart"/>
      <w:r>
        <w:rPr>
          <w:rStyle w:val="Hyperlink"/>
          <w:color w:val="auto"/>
          <w:u w:val="none"/>
        </w:rPr>
        <w:t>Nasdaq’s</w:t>
      </w:r>
      <w:proofErr w:type="gramEnd"/>
      <w:r>
        <w:rPr>
          <w:rStyle w:val="Hyperlink"/>
          <w:color w:val="auto"/>
          <w:u w:val="none"/>
        </w:rPr>
        <w:t xml:space="preserve"> Fixed Income </w:t>
      </w:r>
      <w:r w:rsidR="00961834">
        <w:rPr>
          <w:rStyle w:val="Hyperlink"/>
          <w:color w:val="auto"/>
          <w:u w:val="none"/>
        </w:rPr>
        <w:t xml:space="preserve">(“NFI”) </w:t>
      </w:r>
      <w:r>
        <w:rPr>
          <w:rStyle w:val="Hyperlink"/>
          <w:color w:val="auto"/>
          <w:u w:val="none"/>
        </w:rPr>
        <w:t xml:space="preserve">platform will in addition be able to compete for </w:t>
      </w:r>
      <w:r w:rsidR="00961834">
        <w:rPr>
          <w:rStyle w:val="Hyperlink"/>
          <w:color w:val="auto"/>
          <w:u w:val="none"/>
        </w:rPr>
        <w:t xml:space="preserve">trading credits towards trading activity on NFI.  DMMs should contact their NFI Sales </w:t>
      </w:r>
      <w:proofErr w:type="spellStart"/>
      <w:r w:rsidR="00961834">
        <w:rPr>
          <w:rStyle w:val="Hyperlink"/>
          <w:color w:val="auto"/>
          <w:u w:val="none"/>
        </w:rPr>
        <w:t>Representitive</w:t>
      </w:r>
      <w:proofErr w:type="spellEnd"/>
      <w:r w:rsidR="00961834">
        <w:rPr>
          <w:rStyle w:val="Hyperlink"/>
          <w:color w:val="auto"/>
          <w:u w:val="none"/>
        </w:rPr>
        <w:t xml:space="preserve"> for further information.</w:t>
      </w:r>
    </w:p>
    <w:p w:rsidR="002505AE" w:rsidRPr="004441F4" w:rsidRDefault="00770A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lastRenderedPageBreak/>
        <w:t xml:space="preserve">DMM </w:t>
      </w:r>
      <w:r w:rsidR="004441F4" w:rsidRPr="004441F4">
        <w:rPr>
          <w:color w:val="0070C0"/>
        </w:rPr>
        <w:t xml:space="preserve">Assessment Metrics </w:t>
      </w:r>
    </w:p>
    <w:p w:rsidR="008D54A2" w:rsidRDefault="00EF18F3" w:rsidP="000102AF">
      <w:pPr>
        <w:pStyle w:val="MainText"/>
      </w:pPr>
      <w:r>
        <w:t>DMMs must be</w:t>
      </w:r>
      <w:r w:rsidR="00D73854">
        <w:t xml:space="preserve"> </w:t>
      </w:r>
      <w:r w:rsidR="00770AE2">
        <w:t xml:space="preserve">NFX </w:t>
      </w:r>
      <w:r w:rsidR="00803924">
        <w:t>Futures Participant</w:t>
      </w:r>
      <w:r w:rsidR="007E42B1">
        <w:t>s</w:t>
      </w:r>
      <w:r w:rsidR="00803924">
        <w:t xml:space="preserve"> or </w:t>
      </w:r>
      <w:r w:rsidR="004D0641">
        <w:t>a</w:t>
      </w:r>
      <w:r w:rsidR="00D73854">
        <w:t>n NFX</w:t>
      </w:r>
      <w:r w:rsidR="004D0641">
        <w:t xml:space="preserve"> Futures Participant’s </w:t>
      </w:r>
      <w:r w:rsidR="00803924">
        <w:t xml:space="preserve">Authorized Customer </w:t>
      </w:r>
      <w:r w:rsidR="007E42B1">
        <w:t xml:space="preserve">capable of </w:t>
      </w:r>
      <w:r w:rsidR="00541214">
        <w:t>executing transactions</w:t>
      </w:r>
      <w:r w:rsidR="00803924">
        <w:t xml:space="preserve"> on </w:t>
      </w:r>
      <w:r w:rsidR="00D73854">
        <w:t xml:space="preserve">the </w:t>
      </w:r>
      <w:r w:rsidR="00C12229">
        <w:t>NFX</w:t>
      </w:r>
      <w:r w:rsidR="00D73854">
        <w:t xml:space="preserve"> Trading System</w:t>
      </w:r>
      <w:r w:rsidR="00803924">
        <w:t xml:space="preserve">.  </w:t>
      </w:r>
      <w:r w:rsidR="00FE6FBE">
        <w:t xml:space="preserve">Firms will automatically qualify for the program </w:t>
      </w:r>
      <w:r w:rsidR="00A82952">
        <w:t xml:space="preserve">at any time during the program term </w:t>
      </w:r>
      <w:r w:rsidR="00FE6FBE">
        <w:t>if they meet the following criteria:</w:t>
      </w:r>
    </w:p>
    <w:p w:rsidR="008D54A2" w:rsidRDefault="008D54A2" w:rsidP="008D54A2">
      <w:pPr>
        <w:pStyle w:val="MainText"/>
      </w:pPr>
    </w:p>
    <w:p w:rsidR="00803924" w:rsidRDefault="00803924" w:rsidP="008D54A2">
      <w:pPr>
        <w:pStyle w:val="Subhead2Style"/>
      </w:pPr>
      <w:r>
        <w:t>Continuous Quote Market Making</w:t>
      </w:r>
    </w:p>
    <w:p w:rsidR="007E42B1" w:rsidRDefault="007E42B1" w:rsidP="008D54A2">
      <w:pPr>
        <w:pStyle w:val="Subhead2Style"/>
      </w:pPr>
    </w:p>
    <w:p w:rsidR="00803924" w:rsidRDefault="003F2F6F" w:rsidP="00803924">
      <w:pPr>
        <w:pStyle w:val="Bullets"/>
      </w:pPr>
      <w:r>
        <w:t xml:space="preserve">Provide liquidity in front two </w:t>
      </w:r>
      <w:r w:rsidR="00AF74EF">
        <w:t>C</w:t>
      </w:r>
      <w:r w:rsidR="004D09B1">
        <w:t>ontract</w:t>
      </w:r>
      <w:r w:rsidR="00AF74EF">
        <w:t xml:space="preserve"> month</w:t>
      </w:r>
      <w:r w:rsidR="004D09B1">
        <w:t>s</w:t>
      </w:r>
      <w:r>
        <w:t xml:space="preserve"> and the Intra-Commodity Spread </w:t>
      </w:r>
      <w:r w:rsidR="004D09B1">
        <w:t xml:space="preserve">(Roll) </w:t>
      </w:r>
      <w:r>
        <w:t>between them</w:t>
      </w:r>
      <w:r w:rsidR="007E42B1">
        <w:t>;</w:t>
      </w:r>
      <w:r w:rsidR="00395DFE">
        <w:t xml:space="preserve"> </w:t>
      </w:r>
      <w:r w:rsidR="00FE2C49">
        <w:t xml:space="preserve"> </w:t>
      </w:r>
    </w:p>
    <w:p w:rsidR="00803924" w:rsidRDefault="003F2F6F" w:rsidP="00803924">
      <w:pPr>
        <w:pStyle w:val="Bullets"/>
      </w:pPr>
      <w:r>
        <w:t>Quote availability for 80% of the time between 7:30AM and 5</w:t>
      </w:r>
      <w:r w:rsidR="00DC1EAD">
        <w:t xml:space="preserve">:00 </w:t>
      </w:r>
      <w:r>
        <w:t>PM EPT each day</w:t>
      </w:r>
      <w:r w:rsidR="007E42B1">
        <w:t>;</w:t>
      </w:r>
    </w:p>
    <w:p w:rsidR="004D09B1" w:rsidRDefault="004D09B1" w:rsidP="00803924">
      <w:pPr>
        <w:pStyle w:val="Bullets"/>
      </w:pPr>
      <w:r>
        <w:t>Quote availability for 90% of the time between 2:55PM and 3:05 PM EPT each day;</w:t>
      </w:r>
    </w:p>
    <w:p w:rsidR="00803924" w:rsidRDefault="004D09B1" w:rsidP="00803924">
      <w:pPr>
        <w:pStyle w:val="Bullets"/>
        <w:jc w:val="both"/>
      </w:pPr>
      <w:r>
        <w:t xml:space="preserve">Maximum </w:t>
      </w:r>
      <w:r w:rsidR="00803924">
        <w:t>size of spread between bid and ask price</w:t>
      </w:r>
      <w:r w:rsidR="003F2F6F">
        <w:t xml:space="preserve"> according to the table below</w:t>
      </w:r>
      <w:r w:rsidR="00803924">
        <w:t>;</w:t>
      </w:r>
    </w:p>
    <w:p w:rsidR="003F2F6F" w:rsidRDefault="00803924" w:rsidP="004D09B1">
      <w:pPr>
        <w:pStyle w:val="Bullets"/>
        <w:jc w:val="both"/>
      </w:pPr>
      <w:r>
        <w:t xml:space="preserve">Minimum volume in the symmetrical bid and ask of the </w:t>
      </w:r>
      <w:r w:rsidR="004F00E6">
        <w:t>Q</w:t>
      </w:r>
      <w:r>
        <w:t>uotes</w:t>
      </w:r>
      <w:r w:rsidR="003F2F6F">
        <w:t xml:space="preserve"> according to the table below</w:t>
      </w:r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2F6F" w:rsidTr="003F2F6F"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Contract Tenor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center"/>
            </w:pPr>
            <w:r>
              <w:t>Front Month Maximum Bid/Ask</w:t>
            </w:r>
          </w:p>
        </w:tc>
        <w:tc>
          <w:tcPr>
            <w:tcW w:w="1870" w:type="dxa"/>
          </w:tcPr>
          <w:p w:rsidR="003F2F6F" w:rsidRPr="003F2F6F" w:rsidRDefault="003F2F6F" w:rsidP="003F2F6F">
            <w:pPr>
              <w:pStyle w:val="Bullets"/>
              <w:numPr>
                <w:ilvl w:val="0"/>
                <w:numId w:val="0"/>
              </w:numPr>
              <w:jc w:val="center"/>
            </w:pPr>
            <w:r w:rsidRPr="003F2F6F">
              <w:t>Back Month</w:t>
            </w:r>
            <w:r>
              <w:t xml:space="preserve"> Max</w:t>
            </w:r>
            <w:r w:rsidRPr="003F2F6F">
              <w:t>imum Bid/Ask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center"/>
            </w:pPr>
            <w:r>
              <w:t>Front Month Minimum Quote Size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center"/>
            </w:pPr>
            <w:r>
              <w:t>Back Month Minimum Quote Size</w:t>
            </w:r>
          </w:p>
        </w:tc>
      </w:tr>
      <w:tr w:rsidR="003F2F6F" w:rsidTr="003F2F6F"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2Y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.004 (.4bp)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.006 (.6bp)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40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20</w:t>
            </w:r>
          </w:p>
        </w:tc>
      </w:tr>
      <w:tr w:rsidR="003F2F6F" w:rsidTr="003F2F6F"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5Y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.004 (.4bp)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.006 (.6bp)</w:t>
            </w:r>
          </w:p>
        </w:tc>
        <w:tc>
          <w:tcPr>
            <w:tcW w:w="1870" w:type="dxa"/>
          </w:tcPr>
          <w:p w:rsidR="004D09B1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</w:tr>
      <w:tr w:rsidR="003F2F6F" w:rsidTr="003F2F6F"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10Y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.004 (.4bp)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.006 (.6bp)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</w:tr>
      <w:tr w:rsidR="003F2F6F" w:rsidTr="003F2F6F"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30Y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.004 (.4bp)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.006 (.6bp)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</w:tr>
      <w:tr w:rsidR="003F2F6F" w:rsidTr="003F2F6F">
        <w:tc>
          <w:tcPr>
            <w:tcW w:w="1870" w:type="dxa"/>
          </w:tcPr>
          <w:p w:rsidR="003F2F6F" w:rsidRDefault="003F2F6F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Rolls (Front vs Back)</w:t>
            </w:r>
          </w:p>
        </w:tc>
        <w:tc>
          <w:tcPr>
            <w:tcW w:w="1870" w:type="dxa"/>
          </w:tcPr>
          <w:p w:rsidR="003F2F6F" w:rsidRDefault="004D09B1" w:rsidP="006A61EE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.00</w:t>
            </w:r>
            <w:r w:rsidR="006A61EE">
              <w:t>4</w:t>
            </w:r>
            <w:r>
              <w:t xml:space="preserve"> (.</w:t>
            </w:r>
            <w:r w:rsidR="006A61EE">
              <w:t>4</w:t>
            </w:r>
            <w:r>
              <w:t>bp)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N/A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Same as Front Month</w:t>
            </w:r>
          </w:p>
        </w:tc>
        <w:tc>
          <w:tcPr>
            <w:tcW w:w="1870" w:type="dxa"/>
          </w:tcPr>
          <w:p w:rsidR="003F2F6F" w:rsidRDefault="004D09B1" w:rsidP="003F2F6F">
            <w:pPr>
              <w:pStyle w:val="Bullets"/>
              <w:numPr>
                <w:ilvl w:val="0"/>
                <w:numId w:val="0"/>
              </w:numPr>
              <w:jc w:val="both"/>
            </w:pPr>
            <w:r>
              <w:t>N/A</w:t>
            </w:r>
          </w:p>
        </w:tc>
      </w:tr>
    </w:tbl>
    <w:p w:rsidR="004D09B1" w:rsidRDefault="004D09B1" w:rsidP="003F2F6F">
      <w:pPr>
        <w:pStyle w:val="Bullets"/>
        <w:numPr>
          <w:ilvl w:val="0"/>
          <w:numId w:val="0"/>
        </w:numPr>
        <w:jc w:val="both"/>
      </w:pPr>
    </w:p>
    <w:p w:rsidR="00114726" w:rsidRPr="00AC51E0" w:rsidRDefault="00395DFE" w:rsidP="00AC51E0">
      <w:pPr>
        <w:pStyle w:val="Subhead2Style"/>
        <w:rPr>
          <w:b w:val="0"/>
          <w:color w:val="auto"/>
        </w:rPr>
      </w:pPr>
      <w:r w:rsidRPr="00CE70D4">
        <w:rPr>
          <w:b w:val="0"/>
        </w:rPr>
        <w:t xml:space="preserve">An explanatory </w:t>
      </w:r>
      <w:r w:rsidR="00474734">
        <w:rPr>
          <w:b w:val="0"/>
        </w:rPr>
        <w:t>“General R</w:t>
      </w:r>
      <w:r w:rsidRPr="00CE70D4">
        <w:rPr>
          <w:b w:val="0"/>
        </w:rPr>
        <w:t xml:space="preserve">eference </w:t>
      </w:r>
      <w:r w:rsidR="00474734">
        <w:rPr>
          <w:b w:val="0"/>
        </w:rPr>
        <w:t>G</w:t>
      </w:r>
      <w:r w:rsidRPr="00CE70D4">
        <w:rPr>
          <w:b w:val="0"/>
        </w:rPr>
        <w:t>uide</w:t>
      </w:r>
      <w:r w:rsidR="00474734">
        <w:rPr>
          <w:b w:val="0"/>
        </w:rPr>
        <w:t>”</w:t>
      </w:r>
      <w:r>
        <w:rPr>
          <w:b w:val="0"/>
        </w:rPr>
        <w:t xml:space="preserve"> describing Order types may be found here: </w:t>
      </w:r>
      <w:hyperlink r:id="rId10" w:history="1">
        <w:r w:rsidR="00474734" w:rsidRPr="00474734">
          <w:rPr>
            <w:rStyle w:val="Hyperlink"/>
            <w:b w:val="0"/>
            <w:color w:val="auto"/>
          </w:rPr>
          <w:t>business.nasdaq.com/futures</w:t>
        </w:r>
      </w:hyperlink>
    </w:p>
    <w:p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Supervision of Market Maker Performance</w:t>
      </w:r>
    </w:p>
    <w:p w:rsidR="00ED25CD" w:rsidRDefault="00E14AD7" w:rsidP="00ED25CD">
      <w:pPr>
        <w:pStyle w:val="Subhead1Style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NFX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 xml:space="preserve">shall monitor </w:t>
      </w:r>
      <w:r>
        <w:rPr>
          <w:b w:val="0"/>
          <w:color w:val="000000"/>
          <w:sz w:val="20"/>
        </w:rPr>
        <w:t>Order Book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>activity to</w:t>
      </w:r>
      <w:r w:rsidR="00C10E22">
        <w:rPr>
          <w:b w:val="0"/>
          <w:color w:val="000000"/>
          <w:sz w:val="20"/>
        </w:rPr>
        <w:t xml:space="preserve"> ensure that </w:t>
      </w:r>
      <w:r w:rsidR="007E42B1">
        <w:rPr>
          <w:b w:val="0"/>
          <w:color w:val="000000"/>
          <w:sz w:val="20"/>
        </w:rPr>
        <w:t xml:space="preserve">DMMs </w:t>
      </w:r>
      <w:r w:rsidR="006C14EA">
        <w:rPr>
          <w:b w:val="0"/>
          <w:color w:val="000000"/>
          <w:sz w:val="20"/>
        </w:rPr>
        <w:t xml:space="preserve">selected for the program </w:t>
      </w:r>
      <w:r w:rsidR="00C10E22">
        <w:rPr>
          <w:b w:val="0"/>
          <w:color w:val="000000"/>
          <w:sz w:val="20"/>
        </w:rPr>
        <w:t xml:space="preserve">comply </w:t>
      </w:r>
      <w:r w:rsidR="007E42B1">
        <w:rPr>
          <w:b w:val="0"/>
          <w:color w:val="000000"/>
          <w:sz w:val="20"/>
        </w:rPr>
        <w:t xml:space="preserve">with </w:t>
      </w:r>
      <w:proofErr w:type="spellStart"/>
      <w:r w:rsidR="007E42B1">
        <w:rPr>
          <w:b w:val="0"/>
          <w:color w:val="000000"/>
          <w:sz w:val="20"/>
        </w:rPr>
        <w:t>the</w:t>
      </w:r>
      <w:r w:rsidR="00FE6FBE">
        <w:rPr>
          <w:b w:val="0"/>
          <w:color w:val="000000"/>
          <w:sz w:val="20"/>
        </w:rPr>
        <w:t>criteria</w:t>
      </w:r>
      <w:proofErr w:type="spellEnd"/>
      <w:r w:rsidR="00ED25CD" w:rsidRPr="0038058E">
        <w:rPr>
          <w:b w:val="0"/>
          <w:color w:val="000000"/>
          <w:sz w:val="20"/>
        </w:rPr>
        <w:t xml:space="preserve"> under this program</w:t>
      </w:r>
      <w:r w:rsidR="007E42B1">
        <w:rPr>
          <w:b w:val="0"/>
          <w:color w:val="000000"/>
          <w:sz w:val="20"/>
        </w:rPr>
        <w:t>.</w:t>
      </w:r>
      <w:r w:rsidR="00ED25CD" w:rsidRPr="0038058E">
        <w:rPr>
          <w:b w:val="0"/>
          <w:color w:val="000000"/>
          <w:sz w:val="20"/>
        </w:rPr>
        <w:t xml:space="preserve">  Please note the following:</w:t>
      </w:r>
    </w:p>
    <w:p w:rsidR="00ED25CD" w:rsidRPr="0038058E" w:rsidRDefault="00ED25CD" w:rsidP="00ED25CD">
      <w:pPr>
        <w:pStyle w:val="Bullets"/>
        <w:jc w:val="both"/>
      </w:pPr>
      <w:r w:rsidRPr="0038058E">
        <w:t>I</w:t>
      </w:r>
      <w:r w:rsidR="00FC7E2A">
        <w:t xml:space="preserve">f Quote </w:t>
      </w:r>
      <w:r w:rsidRPr="0038058E">
        <w:t xml:space="preserve">volume </w:t>
      </w:r>
      <w:r w:rsidR="00FC7E2A">
        <w:t xml:space="preserve">is </w:t>
      </w:r>
      <w:r w:rsidRPr="0038058E">
        <w:t xml:space="preserve">asymmetrical (the volume on the </w:t>
      </w:r>
      <w:r w:rsidR="00E14AD7">
        <w:t>b</w:t>
      </w:r>
      <w:r w:rsidRPr="0038058E">
        <w:t xml:space="preserve">id </w:t>
      </w:r>
      <w:r w:rsidR="00AA1299">
        <w:t>/</w:t>
      </w:r>
      <w:r w:rsidRPr="0038058E">
        <w:t xml:space="preserve"> </w:t>
      </w:r>
      <w:r w:rsidR="00E14AD7">
        <w:t>a</w:t>
      </w:r>
      <w:r w:rsidRPr="0038058E">
        <w:t xml:space="preserve">sk not being equal), then the lower volume will be the measured volume of the </w:t>
      </w:r>
      <w:r w:rsidR="00AA1299">
        <w:t>Q</w:t>
      </w:r>
      <w:r w:rsidR="00AA1299" w:rsidRPr="0038058E">
        <w:t>uote</w:t>
      </w:r>
      <w:r w:rsidR="00F40D45">
        <w:t>.</w:t>
      </w:r>
    </w:p>
    <w:p w:rsidR="00ED25CD" w:rsidRDefault="006C14EA" w:rsidP="002F6EF2">
      <w:pPr>
        <w:pStyle w:val="Bullets"/>
        <w:jc w:val="both"/>
      </w:pPr>
      <w:r>
        <w:t xml:space="preserve">Time </w:t>
      </w:r>
      <w:r w:rsidR="00ED25CD" w:rsidRPr="0038058E">
        <w:t xml:space="preserve">spent meeting quoting obligations will not carry over from one </w:t>
      </w:r>
      <w:r w:rsidR="00F40D45">
        <w:t>trading session</w:t>
      </w:r>
      <w:r w:rsidR="00ED25CD" w:rsidRPr="0038058E">
        <w:t xml:space="preserve"> to the next</w:t>
      </w:r>
      <w:r>
        <w:t>.</w:t>
      </w:r>
      <w:r w:rsidR="00E96BA4">
        <w:t xml:space="preserve">  </w:t>
      </w:r>
      <w:r w:rsidR="00EE5D93">
        <w:t>DMM time c</w:t>
      </w:r>
      <w:r>
        <w:t>ommitments</w:t>
      </w:r>
      <w:r w:rsidR="00EE5D93">
        <w:t xml:space="preserve"> </w:t>
      </w:r>
      <w:r w:rsidR="00ED25CD" w:rsidRPr="0038058E">
        <w:t xml:space="preserve">must be met on each and every </w:t>
      </w:r>
      <w:r>
        <w:t>trading day.</w:t>
      </w:r>
    </w:p>
    <w:p w:rsidR="00F31DD7" w:rsidRPr="004441F4" w:rsidRDefault="00920B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 xml:space="preserve">DMM </w:t>
      </w:r>
      <w:r w:rsidR="00FE6FBE">
        <w:rPr>
          <w:color w:val="0070C0"/>
        </w:rPr>
        <w:t>Application Process</w:t>
      </w:r>
    </w:p>
    <w:p w:rsidR="00BF7DEE" w:rsidRDefault="00212914" w:rsidP="00BF7DEE">
      <w:pPr>
        <w:pStyle w:val="MainText"/>
      </w:pPr>
      <w:r>
        <w:t xml:space="preserve">  </w:t>
      </w:r>
    </w:p>
    <w:p w:rsidR="00BF7DEE" w:rsidRDefault="00BF7DEE" w:rsidP="00BF7DEE">
      <w:pPr>
        <w:pStyle w:val="Subhead2Style"/>
      </w:pPr>
      <w:r w:rsidRPr="0038058E">
        <w:t>Eligibility</w:t>
      </w:r>
    </w:p>
    <w:p w:rsidR="00BF7DEE" w:rsidRPr="00CE70D4" w:rsidRDefault="00FE6FBE">
      <w:pPr>
        <w:pStyle w:val="MainText"/>
        <w:rPr>
          <w:highlight w:val="yellow"/>
        </w:rPr>
      </w:pPr>
      <w:r>
        <w:t>A</w:t>
      </w:r>
      <w:r w:rsidR="00BF7DEE">
        <w:t xml:space="preserve">ll </w:t>
      </w:r>
      <w:r w:rsidR="00187640">
        <w:t xml:space="preserve">NFX </w:t>
      </w:r>
      <w:r w:rsidR="00BF7DEE">
        <w:t xml:space="preserve">Futures Participants, </w:t>
      </w:r>
      <w:r w:rsidR="006C14EA">
        <w:t>as well as</w:t>
      </w:r>
      <w:r w:rsidR="00BF7DEE">
        <w:t xml:space="preserve"> Authorized Customers of Futures Participants</w:t>
      </w:r>
      <w:r>
        <w:t>, are eligible for the program</w:t>
      </w:r>
      <w:r w:rsidR="00813C2C">
        <w:t>.</w:t>
      </w:r>
      <w:r w:rsidR="00BF7DEE">
        <w:t xml:space="preserve"> </w:t>
      </w:r>
      <w:r w:rsidR="00AF74EF">
        <w:t xml:space="preserve"> </w:t>
      </w:r>
      <w:r>
        <w:t xml:space="preserve">No application is necessary.  Any firm meeting the assessment </w:t>
      </w:r>
      <w:proofErr w:type="spellStart"/>
      <w:r>
        <w:t>metics</w:t>
      </w:r>
      <w:proofErr w:type="spellEnd"/>
      <w:r>
        <w:t xml:space="preserve"> will automatically qualify for the reduced fee outlined in the Fee Schedule.</w:t>
      </w:r>
    </w:p>
    <w:p w:rsidR="00BF7DEE" w:rsidRDefault="00BF7DEE" w:rsidP="00BF7DEE">
      <w:pPr>
        <w:pStyle w:val="MainText"/>
      </w:pPr>
    </w:p>
    <w:p w:rsidR="00BF7DEE" w:rsidRPr="0038058E" w:rsidRDefault="00BF7DEE" w:rsidP="00BF7DEE">
      <w:pPr>
        <w:pStyle w:val="Subhead2Style"/>
      </w:pPr>
      <w:r w:rsidRPr="0038058E">
        <w:t xml:space="preserve">Trader </w:t>
      </w:r>
      <w:r>
        <w:t>L</w:t>
      </w:r>
      <w:r w:rsidRPr="0038058E">
        <w:t>ist</w:t>
      </w:r>
    </w:p>
    <w:p w:rsidR="00BF7DEE" w:rsidRDefault="00BF7DEE" w:rsidP="00BF7DEE">
      <w:pPr>
        <w:pStyle w:val="MainText"/>
      </w:pPr>
      <w:r>
        <w:t>DMM</w:t>
      </w:r>
      <w:r w:rsidR="00FE6FBE">
        <w:t>s are</w:t>
      </w:r>
      <w:r>
        <w:t xml:space="preserve"> required to provide a </w:t>
      </w:r>
      <w:r w:rsidR="00E21846">
        <w:t xml:space="preserve">list </w:t>
      </w:r>
      <w:r w:rsidR="006C14EA">
        <w:t xml:space="preserve">of the Authorized Traders </w:t>
      </w:r>
      <w:r>
        <w:t>who will be responsible for quoting and e</w:t>
      </w:r>
      <w:r w:rsidR="00F930FB">
        <w:t>xecuting trades under this DMM p</w:t>
      </w:r>
      <w:r>
        <w:t>rogram.</w:t>
      </w:r>
    </w:p>
    <w:p w:rsidR="003B6C82" w:rsidRDefault="003B6C82" w:rsidP="00BF7DEE">
      <w:pPr>
        <w:pStyle w:val="MainText"/>
      </w:pPr>
    </w:p>
    <w:p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Qualifying Business</w:t>
      </w:r>
    </w:p>
    <w:p w:rsidR="002505AE" w:rsidRDefault="008B188F" w:rsidP="002505AE">
      <w:pPr>
        <w:pStyle w:val="MainText"/>
      </w:pPr>
      <w:r>
        <w:t>Only Orders</w:t>
      </w:r>
      <w:r w:rsidR="002505AE">
        <w:t xml:space="preserve"> </w:t>
      </w:r>
      <w:r w:rsidR="000B5973">
        <w:t xml:space="preserve">in the central limit order book </w:t>
      </w:r>
      <w:r w:rsidR="002505AE">
        <w:t>made by the DMM</w:t>
      </w:r>
      <w:r w:rsidR="00CA5414">
        <w:t>’s Auth</w:t>
      </w:r>
      <w:r w:rsidR="000B5973">
        <w:t>or</w:t>
      </w:r>
      <w:r w:rsidR="00CA5414">
        <w:t>ized Trader</w:t>
      </w:r>
      <w:r w:rsidR="000B5973">
        <w:t>s</w:t>
      </w:r>
      <w:r w:rsidR="002505AE">
        <w:t xml:space="preserve"> will qualify towards </w:t>
      </w:r>
      <w:r w:rsidR="000B5973">
        <w:t xml:space="preserve">the </w:t>
      </w:r>
      <w:r w:rsidR="002505AE">
        <w:t>DMM</w:t>
      </w:r>
      <w:r w:rsidR="000B5973">
        <w:t>’s</w:t>
      </w:r>
      <w:r w:rsidR="002505AE">
        <w:t xml:space="preserve"> quoting </w:t>
      </w:r>
      <w:r w:rsidR="0028327F">
        <w:t>criteria</w:t>
      </w:r>
      <w:r w:rsidR="002505AE">
        <w:t>.</w:t>
      </w:r>
      <w:r w:rsidR="00B20B70">
        <w:t xml:space="preserve"> </w:t>
      </w:r>
      <w:r w:rsidR="002505AE">
        <w:t xml:space="preserve"> If a </w:t>
      </w:r>
      <w:r w:rsidR="00AF74EF">
        <w:t>bid/ask q</w:t>
      </w:r>
      <w:r w:rsidR="002505AE">
        <w:t>uote is asymmetrical,</w:t>
      </w:r>
      <w:r w:rsidR="00B136F2">
        <w:t xml:space="preserve"> </w:t>
      </w:r>
      <w:r w:rsidR="002505AE">
        <w:t xml:space="preserve">then the lower volume will be used by </w:t>
      </w:r>
      <w:r w:rsidR="00B20B70">
        <w:t xml:space="preserve">NFX </w:t>
      </w:r>
      <w:r w:rsidR="0069356E">
        <w:t xml:space="preserve">in </w:t>
      </w:r>
      <w:r w:rsidR="002505AE">
        <w:t xml:space="preserve">assessing </w:t>
      </w:r>
      <w:r w:rsidR="000B5973">
        <w:t xml:space="preserve">the DMM’s compliance with </w:t>
      </w:r>
      <w:r w:rsidR="0028327F">
        <w:t xml:space="preserve">the </w:t>
      </w:r>
      <w:r w:rsidR="002505AE">
        <w:t xml:space="preserve">quoting </w:t>
      </w:r>
      <w:proofErr w:type="spellStart"/>
      <w:r w:rsidR="0028327F">
        <w:t>citeria</w:t>
      </w:r>
      <w:proofErr w:type="spellEnd"/>
      <w:r w:rsidR="00AF74EF">
        <w:t xml:space="preserve"> in Section 2</w:t>
      </w:r>
      <w:r w:rsidR="002505AE">
        <w:t>.</w:t>
      </w:r>
    </w:p>
    <w:p w:rsidR="0028327F" w:rsidRDefault="0028327F" w:rsidP="0028327F">
      <w:pPr>
        <w:pStyle w:val="MainText"/>
      </w:pPr>
    </w:p>
    <w:p w:rsidR="0038058E" w:rsidRDefault="0038058E" w:rsidP="0028327F">
      <w:pPr>
        <w:pStyle w:val="MainText"/>
      </w:pPr>
      <w:r w:rsidRPr="0028327F">
        <w:t xml:space="preserve">If a DMM fails to </w:t>
      </w:r>
      <w:r w:rsidR="0028327F" w:rsidRPr="0028327F">
        <w:t xml:space="preserve">meet the </w:t>
      </w:r>
      <w:r w:rsidRPr="0028327F">
        <w:t>quot</w:t>
      </w:r>
      <w:r w:rsidR="0028327F" w:rsidRPr="0028327F">
        <w:t>ing criteria in any given trading day, the DMM will not qualify for the reduced fee outlined in the Fee Schedule for that day.</w:t>
      </w:r>
      <w:r w:rsidR="0028327F">
        <w:t xml:space="preserve">  However, a DMM will remain eligible to receive the reduced fee on any future day that the program is in operation.</w:t>
      </w:r>
    </w:p>
    <w:p w:rsidR="0028327F" w:rsidRDefault="0028327F" w:rsidP="0028327F">
      <w:pPr>
        <w:pStyle w:val="MainText"/>
      </w:pPr>
    </w:p>
    <w:p w:rsidR="00F31DD7" w:rsidRDefault="0038058E" w:rsidP="00F80465">
      <w:pPr>
        <w:pStyle w:val="MainText"/>
      </w:pPr>
      <w:r>
        <w:t>If a DMM makes any changes to its trading or clearing arrangements</w:t>
      </w:r>
      <w:r w:rsidR="00EF18F3">
        <w:t>, its</w:t>
      </w:r>
      <w:r w:rsidR="003413C8">
        <w:t xml:space="preserve"> Auth</w:t>
      </w:r>
      <w:r w:rsidR="000B5973">
        <w:t>o</w:t>
      </w:r>
      <w:r w:rsidR="003413C8">
        <w:t>rized Traders</w:t>
      </w:r>
      <w:r>
        <w:t>, Clearing</w:t>
      </w:r>
      <w:r w:rsidR="003413C8">
        <w:t xml:space="preserve"> Futures</w:t>
      </w:r>
      <w:r>
        <w:t xml:space="preserve"> Participant, or any other </w:t>
      </w:r>
      <w:r w:rsidR="000B5973">
        <w:t xml:space="preserve">aspects of its </w:t>
      </w:r>
      <w:r w:rsidR="00A97B67">
        <w:t>operations reasonably</w:t>
      </w:r>
      <w:r>
        <w:t xml:space="preserve"> required by </w:t>
      </w:r>
      <w:r w:rsidR="00884C01">
        <w:t xml:space="preserve">NFX </w:t>
      </w:r>
      <w:r>
        <w:t xml:space="preserve">to manage this </w:t>
      </w:r>
      <w:r w:rsidR="000B5973">
        <w:t>DMM</w:t>
      </w:r>
      <w:r>
        <w:t xml:space="preserve"> </w:t>
      </w:r>
      <w:r w:rsidR="003413C8">
        <w:t>program</w:t>
      </w:r>
      <w:r>
        <w:t xml:space="preserve">, then it is the responsibility of the DMM to notify </w:t>
      </w:r>
      <w:r w:rsidR="00A97B67">
        <w:t xml:space="preserve">NFX </w:t>
      </w:r>
      <w:r>
        <w:t xml:space="preserve">of those changes in advance </w:t>
      </w:r>
      <w:r w:rsidR="000B5973">
        <w:t xml:space="preserve">in order </w:t>
      </w:r>
      <w:r>
        <w:t>to ensure continuity of the DMM</w:t>
      </w:r>
      <w:r w:rsidR="000B5973">
        <w:t>’s</w:t>
      </w:r>
      <w:r w:rsidR="00DA4EDA">
        <w:t xml:space="preserve"> benefits.</w:t>
      </w:r>
    </w:p>
    <w:p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Administration of Exchange and Clearing Fee Charges</w:t>
      </w:r>
      <w:r w:rsidR="0028327F">
        <w:rPr>
          <w:color w:val="0070C0"/>
        </w:rPr>
        <w:t xml:space="preserve"> and</w:t>
      </w:r>
      <w:r w:rsidRPr="004441F4">
        <w:rPr>
          <w:color w:val="0070C0"/>
        </w:rPr>
        <w:t xml:space="preserve"> Rebates</w:t>
      </w:r>
    </w:p>
    <w:p w:rsidR="008F1D8F" w:rsidRDefault="00971724" w:rsidP="00AC4716">
      <w:pPr>
        <w:pStyle w:val="MainText"/>
      </w:pPr>
      <w:r>
        <w:t xml:space="preserve">As stated above, </w:t>
      </w:r>
      <w:r w:rsidR="008E594A">
        <w:t xml:space="preserve">execution or clearing fees will be charged by the Exchange or the Clearing Corporation for any transactions in </w:t>
      </w:r>
      <w:r w:rsidR="00236B16">
        <w:t>Treasury</w:t>
      </w:r>
      <w:r w:rsidR="008E594A">
        <w:t xml:space="preserve"> Products during the term of the program.</w:t>
      </w:r>
    </w:p>
    <w:p w:rsidR="003E4D41" w:rsidRPr="00E21846" w:rsidRDefault="003E4D41" w:rsidP="00F80465">
      <w:pPr>
        <w:pStyle w:val="MainText"/>
      </w:pPr>
    </w:p>
    <w:p w:rsidR="00971724" w:rsidRDefault="00C92F0A" w:rsidP="00F80465">
      <w:pPr>
        <w:pStyle w:val="MainText"/>
      </w:pPr>
      <w:r>
        <w:t xml:space="preserve">NFX </w:t>
      </w:r>
      <w:r w:rsidR="0038058E">
        <w:t>reserves the right in its absolute discretion to terminate this</w:t>
      </w:r>
      <w:r w:rsidR="007D3A70">
        <w:t xml:space="preserve"> DMM</w:t>
      </w:r>
      <w:r w:rsidR="0038058E">
        <w:t xml:space="preserve"> program by way of </w:t>
      </w:r>
      <w:r>
        <w:t>a Futures Trader Alert announcing it has filed with the CFTC for termination</w:t>
      </w:r>
      <w:r w:rsidR="007C5DFD">
        <w:t xml:space="preserve"> of the program</w:t>
      </w:r>
      <w:r w:rsidR="0038058E">
        <w:t xml:space="preserve">, and may announce </w:t>
      </w:r>
      <w:r w:rsidR="007C5DFD">
        <w:t>an</w:t>
      </w:r>
      <w:r w:rsidR="0038058E">
        <w:t xml:space="preserve">other market maker program in the future that may include the </w:t>
      </w:r>
      <w:r w:rsidR="00236B16">
        <w:t>Treasury</w:t>
      </w:r>
      <w:r w:rsidR="00971724">
        <w:t xml:space="preserve"> </w:t>
      </w:r>
      <w:r w:rsidR="0038058E">
        <w:t xml:space="preserve">Products </w:t>
      </w:r>
      <w:r w:rsidR="00971724">
        <w:t>that are the subject of</w:t>
      </w:r>
      <w:r w:rsidR="0038058E">
        <w:t xml:space="preserve"> this </w:t>
      </w:r>
      <w:r w:rsidR="007D3A70">
        <w:t>DMM</w:t>
      </w:r>
      <w:r w:rsidR="0038058E">
        <w:t xml:space="preserve"> program.</w:t>
      </w: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p w:rsidR="00EE53DA" w:rsidRDefault="00EE53DA" w:rsidP="00F80465">
      <w:pPr>
        <w:pStyle w:val="MainText"/>
      </w:pPr>
    </w:p>
    <w:sectPr w:rsidR="00EE53DA" w:rsidSect="00AC51E0">
      <w:footerReference w:type="default" r:id="rId11"/>
      <w:footerReference w:type="first" r:id="rId12"/>
      <w:type w:val="continuous"/>
      <w:pgSz w:w="12240" w:h="15840" w:code="9"/>
      <w:pgMar w:top="1890" w:right="1080" w:bottom="1224" w:left="1800" w:header="720" w:footer="4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D6" w:rsidRPr="00AA0BB5" w:rsidRDefault="00F11CD6" w:rsidP="00A4177D">
      <w:pPr>
        <w:spacing w:line="240" w:lineRule="auto"/>
        <w:rPr>
          <w:spacing w:val="-4"/>
        </w:rPr>
      </w:pPr>
      <w:r>
        <w:separator/>
      </w:r>
    </w:p>
  </w:endnote>
  <w:endnote w:type="continuationSeparator" w:id="0">
    <w:p w:rsidR="00F11CD6" w:rsidRPr="00AA0BB5" w:rsidRDefault="00F11CD6" w:rsidP="00A4177D">
      <w:pPr>
        <w:spacing w:line="240" w:lineRule="auto"/>
        <w:rPr>
          <w:spacing w:val="-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STAR Q Medium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:rsidTr="00F17EAE">
      <w:tc>
        <w:tcPr>
          <w:tcW w:w="7470" w:type="dxa"/>
        </w:tcPr>
        <w:p w:rsidR="00C53136" w:rsidRPr="00FD43D0" w:rsidRDefault="00C53136" w:rsidP="00661735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661735">
            <w:rPr>
              <w:rFonts w:ascii="Calibri" w:hAnsi="Calibri"/>
              <w:color w:val="7F7F7F" w:themeColor="text1" w:themeTint="80"/>
              <w:sz w:val="14"/>
              <w:szCs w:val="14"/>
            </w:rPr>
            <w:t>9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</w:t>
          </w:r>
          <w:r w:rsidR="00114726"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</w:t>
          </w:r>
          <w:proofErr w:type="gramStart"/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. </w:t>
          </w:r>
          <w:proofErr w:type="gramEnd"/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7216" behindDoc="0" locked="1" layoutInCell="1" allowOverlap="1" wp14:anchorId="48E29507" wp14:editId="73D02C4A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4" name="Picture 4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0" w:type="dxa"/>
        </w:tcPr>
        <w:p w:rsidR="00C53136" w:rsidRPr="00D8751F" w:rsidRDefault="00C53136" w:rsidP="00D8751F">
          <w:pPr>
            <w:pStyle w:val="Footer"/>
            <w:spacing w:before="120"/>
            <w:jc w:val="right"/>
            <w:rPr>
              <w:rFonts w:ascii="Calibri" w:hAnsi="Calibri"/>
              <w:sz w:val="20"/>
              <w:szCs w:val="20"/>
            </w:rPr>
          </w:pP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begin"/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instrText xml:space="preserve">PAGE  </w:instrTex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separate"/>
          </w:r>
          <w:r w:rsidR="005A4D0A">
            <w:rPr>
              <w:rStyle w:val="PageNumber"/>
              <w:rFonts w:ascii="Calibri" w:hAnsi="Calibri"/>
              <w:noProof/>
              <w:sz w:val="20"/>
              <w:szCs w:val="20"/>
            </w:rPr>
            <w:t>3</w: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C53136" w:rsidRPr="00D8751F" w:rsidRDefault="00C53136" w:rsidP="00D87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36" w:rsidRPr="00DF39AA" w:rsidRDefault="00C53136" w:rsidP="006C6364">
    <w:pPr>
      <w:pStyle w:val="Footer"/>
      <w:framePr w:wrap="around" w:vAnchor="text" w:hAnchor="margin" w:xAlign="right" w:y="1"/>
      <w:spacing w:before="120"/>
      <w:rPr>
        <w:rStyle w:val="PageNumber"/>
        <w:rFonts w:ascii="Calibri" w:hAnsi="Calibri"/>
        <w:sz w:val="20"/>
        <w:szCs w:val="20"/>
      </w:rPr>
    </w:pPr>
    <w:r w:rsidRPr="00DF39AA">
      <w:rPr>
        <w:rStyle w:val="PageNumber"/>
        <w:rFonts w:ascii="Calibri" w:hAnsi="Calibri"/>
        <w:sz w:val="20"/>
        <w:szCs w:val="20"/>
      </w:rPr>
      <w:fldChar w:fldCharType="begin"/>
    </w:r>
    <w:r w:rsidRPr="00DF39AA">
      <w:rPr>
        <w:rStyle w:val="PageNumber"/>
        <w:rFonts w:ascii="Calibri" w:hAnsi="Calibri"/>
        <w:sz w:val="20"/>
        <w:szCs w:val="20"/>
      </w:rPr>
      <w:instrText xml:space="preserve">PAGE  </w:instrText>
    </w:r>
    <w:r w:rsidRPr="00DF39AA">
      <w:rPr>
        <w:rStyle w:val="PageNumber"/>
        <w:rFonts w:ascii="Calibri" w:hAnsi="Calibri"/>
        <w:sz w:val="20"/>
        <w:szCs w:val="20"/>
      </w:rPr>
      <w:fldChar w:fldCharType="separate"/>
    </w:r>
    <w:r w:rsidR="005A4D0A">
      <w:rPr>
        <w:rStyle w:val="PageNumber"/>
        <w:rFonts w:ascii="Calibri" w:hAnsi="Calibri"/>
        <w:noProof/>
        <w:sz w:val="20"/>
        <w:szCs w:val="20"/>
      </w:rPr>
      <w:t>1</w:t>
    </w:r>
    <w:r w:rsidRPr="00DF39AA">
      <w:rPr>
        <w:rStyle w:val="PageNumber"/>
        <w:rFonts w:ascii="Calibri" w:hAnsi="Calibri"/>
        <w:sz w:val="20"/>
        <w:szCs w:val="20"/>
      </w:rPr>
      <w:fldChar w:fldCharType="end"/>
    </w:r>
  </w:p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:rsidTr="00DF39AA">
      <w:tc>
        <w:tcPr>
          <w:tcW w:w="7470" w:type="dxa"/>
        </w:tcPr>
        <w:p w:rsidR="00C53136" w:rsidRPr="00FD43D0" w:rsidRDefault="00C53136" w:rsidP="00AF58E2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AF58E2">
            <w:rPr>
              <w:rFonts w:ascii="Calibri" w:hAnsi="Calibri"/>
              <w:color w:val="7F7F7F" w:themeColor="text1" w:themeTint="80"/>
              <w:sz w:val="14"/>
              <w:szCs w:val="14"/>
            </w:rPr>
            <w:t>9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</w:t>
          </w:r>
          <w:proofErr w:type="gramStart"/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. </w:t>
          </w:r>
          <w:proofErr w:type="gramEnd"/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8240" behindDoc="0" locked="1" layoutInCell="1" allowOverlap="1" wp14:anchorId="2ABE5D16" wp14:editId="176001EF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5" name="Picture 5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 </w:t>
          </w:r>
        </w:p>
      </w:tc>
      <w:tc>
        <w:tcPr>
          <w:tcW w:w="2610" w:type="dxa"/>
        </w:tcPr>
        <w:p w:rsidR="00C53136" w:rsidRDefault="00C53136" w:rsidP="001F30DB">
          <w:pPr>
            <w:pStyle w:val="QXFooter"/>
            <w:tabs>
              <w:tab w:val="left" w:pos="-198"/>
            </w:tabs>
            <w:spacing w:before="120" w:line="240" w:lineRule="auto"/>
            <w:ind w:left="0" w:right="-691"/>
            <w:rPr>
              <w:bCs/>
              <w:spacing w:val="-4"/>
            </w:rPr>
          </w:pPr>
        </w:p>
      </w:tc>
    </w:tr>
  </w:tbl>
  <w:p w:rsidR="00C53136" w:rsidRPr="003D6F12" w:rsidRDefault="00C53136" w:rsidP="00A34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D6" w:rsidRPr="00AA0BB5" w:rsidRDefault="00F11CD6" w:rsidP="00A4177D">
      <w:pPr>
        <w:spacing w:line="240" w:lineRule="auto"/>
        <w:rPr>
          <w:spacing w:val="-4"/>
        </w:rPr>
      </w:pPr>
      <w:r>
        <w:separator/>
      </w:r>
    </w:p>
  </w:footnote>
  <w:footnote w:type="continuationSeparator" w:id="0">
    <w:p w:rsidR="00F11CD6" w:rsidRPr="00AA0BB5" w:rsidRDefault="00F11CD6" w:rsidP="00A4177D">
      <w:pPr>
        <w:spacing w:line="240" w:lineRule="auto"/>
        <w:rPr>
          <w:spacing w:val="-4"/>
        </w:rPr>
      </w:pPr>
      <w:r>
        <w:continuationSeparator/>
      </w:r>
    </w:p>
  </w:footnote>
  <w:footnote w:id="1">
    <w:p w:rsidR="009C40D5" w:rsidRPr="009C40D5" w:rsidRDefault="009C40D5" w:rsidP="009C40D5">
      <w:pPr>
        <w:pStyle w:val="FootnoteText"/>
        <w:rPr>
          <w:rFonts w:ascii="Times New Roman" w:hAnsi="Times New Roman"/>
        </w:rPr>
      </w:pPr>
      <w:r w:rsidRPr="009C40D5">
        <w:rPr>
          <w:rStyle w:val="FootnoteReference"/>
          <w:rFonts w:ascii="Times New Roman" w:hAnsi="Times New Roman"/>
        </w:rPr>
        <w:footnoteRef/>
      </w:r>
      <w:r w:rsidRPr="009C40D5">
        <w:rPr>
          <w:rFonts w:ascii="Times New Roman" w:hAnsi="Times New Roman"/>
        </w:rPr>
        <w:t xml:space="preserve"> </w:t>
      </w:r>
      <w:hyperlink r:id="rId1" w:history="1">
        <w:r w:rsidRPr="00443FD5">
          <w:rPr>
            <w:rStyle w:val="Hyperlink"/>
            <w:rFonts w:ascii="Calibri" w:hAnsi="Calibri"/>
            <w:color w:val="auto"/>
          </w:rPr>
          <w:t xml:space="preserve">See </w:t>
        </w:r>
        <w:r w:rsidR="00C55308" w:rsidRPr="00443FD5">
          <w:rPr>
            <w:rStyle w:val="Hyperlink"/>
            <w:rFonts w:ascii="Calibri" w:hAnsi="Calibri"/>
            <w:color w:val="auto"/>
          </w:rPr>
          <w:t>NFX Rulebook Appendix A – Listed Contracts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E0"/>
    <w:multiLevelType w:val="hybridMultilevel"/>
    <w:tmpl w:val="6B5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F16"/>
    <w:multiLevelType w:val="hybridMultilevel"/>
    <w:tmpl w:val="EE9469E0"/>
    <w:lvl w:ilvl="0" w:tplc="7FCEA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300"/>
    <w:multiLevelType w:val="hybridMultilevel"/>
    <w:tmpl w:val="235CDD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AD15EA"/>
    <w:multiLevelType w:val="hybridMultilevel"/>
    <w:tmpl w:val="6A4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1CE"/>
    <w:multiLevelType w:val="hybridMultilevel"/>
    <w:tmpl w:val="8940D094"/>
    <w:lvl w:ilvl="0" w:tplc="B6B498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06C49F9"/>
    <w:multiLevelType w:val="hybridMultilevel"/>
    <w:tmpl w:val="3A3A169E"/>
    <w:lvl w:ilvl="0" w:tplc="9EFA82A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4EE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926200F"/>
    <w:multiLevelType w:val="multilevel"/>
    <w:tmpl w:val="896C7AC4"/>
    <w:styleLink w:val="CurrentList1"/>
    <w:lvl w:ilvl="0">
      <w:start w:val="1"/>
      <w:numFmt w:val="bullet"/>
      <w:pStyle w:val="QXBulletedLists"/>
      <w:lvlText w:val=""/>
      <w:lvlJc w:val="left"/>
      <w:pPr>
        <w:ind w:left="648" w:hanging="360"/>
      </w:pPr>
      <w:rPr>
        <w:rFonts w:ascii="Symbol" w:hAnsi="Symbol" w:hint="default"/>
        <w:b w:val="0"/>
        <w:bCs w:val="0"/>
        <w:i w:val="0"/>
        <w:iCs w:val="0"/>
        <w:color w:val="0094B3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E687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513B0"/>
    <w:multiLevelType w:val="multilevel"/>
    <w:tmpl w:val="896C7AC4"/>
    <w:numStyleLink w:val="CurrentList1"/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proofState w:spelling="clean" w:grammar="clean"/>
  <w:trackRevisions/>
  <w:doNotTrackFormatting/>
  <w:defaultTabStop w:val="720"/>
  <w:drawingGridHorizontalSpacing w:val="115"/>
  <w:drawingGridVerticalSpacing w:val="187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D"/>
    <w:rsid w:val="00002C80"/>
    <w:rsid w:val="000032B7"/>
    <w:rsid w:val="000035B2"/>
    <w:rsid w:val="00003883"/>
    <w:rsid w:val="000102AF"/>
    <w:rsid w:val="0001061C"/>
    <w:rsid w:val="00013F2E"/>
    <w:rsid w:val="00024771"/>
    <w:rsid w:val="000250D4"/>
    <w:rsid w:val="000251F4"/>
    <w:rsid w:val="00034537"/>
    <w:rsid w:val="00035D5A"/>
    <w:rsid w:val="0004091A"/>
    <w:rsid w:val="00042BF0"/>
    <w:rsid w:val="000441CE"/>
    <w:rsid w:val="00044FB4"/>
    <w:rsid w:val="00046B3F"/>
    <w:rsid w:val="00050FDE"/>
    <w:rsid w:val="00055A9C"/>
    <w:rsid w:val="0007056F"/>
    <w:rsid w:val="00073C06"/>
    <w:rsid w:val="00073F6A"/>
    <w:rsid w:val="000815A0"/>
    <w:rsid w:val="00084719"/>
    <w:rsid w:val="0008520B"/>
    <w:rsid w:val="00086C16"/>
    <w:rsid w:val="000910B7"/>
    <w:rsid w:val="00097801"/>
    <w:rsid w:val="000A4907"/>
    <w:rsid w:val="000B0D9D"/>
    <w:rsid w:val="000B51A3"/>
    <w:rsid w:val="000B5973"/>
    <w:rsid w:val="000B7F32"/>
    <w:rsid w:val="000C07E1"/>
    <w:rsid w:val="000C0868"/>
    <w:rsid w:val="000C65B9"/>
    <w:rsid w:val="000E0865"/>
    <w:rsid w:val="000E20C2"/>
    <w:rsid w:val="000F04E0"/>
    <w:rsid w:val="00103B83"/>
    <w:rsid w:val="00105BFB"/>
    <w:rsid w:val="00114726"/>
    <w:rsid w:val="00114E59"/>
    <w:rsid w:val="00116C6E"/>
    <w:rsid w:val="0012748C"/>
    <w:rsid w:val="00136E82"/>
    <w:rsid w:val="001375FD"/>
    <w:rsid w:val="001427A9"/>
    <w:rsid w:val="00142E6A"/>
    <w:rsid w:val="00145384"/>
    <w:rsid w:val="001522B5"/>
    <w:rsid w:val="001539E0"/>
    <w:rsid w:val="00153E4C"/>
    <w:rsid w:val="00156F5F"/>
    <w:rsid w:val="00166CA3"/>
    <w:rsid w:val="00173540"/>
    <w:rsid w:val="00173EA4"/>
    <w:rsid w:val="00174A40"/>
    <w:rsid w:val="00175587"/>
    <w:rsid w:val="00181495"/>
    <w:rsid w:val="00184D0F"/>
    <w:rsid w:val="00187640"/>
    <w:rsid w:val="00190DD7"/>
    <w:rsid w:val="00196B47"/>
    <w:rsid w:val="001B3826"/>
    <w:rsid w:val="001B4E18"/>
    <w:rsid w:val="001B6CC7"/>
    <w:rsid w:val="001D3D70"/>
    <w:rsid w:val="001F2E63"/>
    <w:rsid w:val="001F30DB"/>
    <w:rsid w:val="001F45A8"/>
    <w:rsid w:val="001F6636"/>
    <w:rsid w:val="0020554C"/>
    <w:rsid w:val="002062D1"/>
    <w:rsid w:val="002070BD"/>
    <w:rsid w:val="002072AA"/>
    <w:rsid w:val="0021206C"/>
    <w:rsid w:val="00212914"/>
    <w:rsid w:val="0022151E"/>
    <w:rsid w:val="002249E9"/>
    <w:rsid w:val="0023277C"/>
    <w:rsid w:val="00234EC8"/>
    <w:rsid w:val="00235F79"/>
    <w:rsid w:val="00236B16"/>
    <w:rsid w:val="0023759A"/>
    <w:rsid w:val="00237DAE"/>
    <w:rsid w:val="0024299F"/>
    <w:rsid w:val="002505AE"/>
    <w:rsid w:val="00251057"/>
    <w:rsid w:val="0025248A"/>
    <w:rsid w:val="00254900"/>
    <w:rsid w:val="00265E82"/>
    <w:rsid w:val="002663AB"/>
    <w:rsid w:val="00270F0D"/>
    <w:rsid w:val="00273F7E"/>
    <w:rsid w:val="00274E07"/>
    <w:rsid w:val="00276ADE"/>
    <w:rsid w:val="0028327F"/>
    <w:rsid w:val="00283AE7"/>
    <w:rsid w:val="00283CBC"/>
    <w:rsid w:val="002854EF"/>
    <w:rsid w:val="00287A10"/>
    <w:rsid w:val="002964F7"/>
    <w:rsid w:val="002A093A"/>
    <w:rsid w:val="002A3B38"/>
    <w:rsid w:val="002A5895"/>
    <w:rsid w:val="002B0D83"/>
    <w:rsid w:val="002B1FAE"/>
    <w:rsid w:val="002B3C4E"/>
    <w:rsid w:val="002D115D"/>
    <w:rsid w:val="002D33EA"/>
    <w:rsid w:val="002D6F6E"/>
    <w:rsid w:val="002E2F5D"/>
    <w:rsid w:val="002E4D16"/>
    <w:rsid w:val="002E64AA"/>
    <w:rsid w:val="002E7D03"/>
    <w:rsid w:val="002F62F1"/>
    <w:rsid w:val="002F6EF2"/>
    <w:rsid w:val="002F7A0B"/>
    <w:rsid w:val="002F7CC1"/>
    <w:rsid w:val="00300EA1"/>
    <w:rsid w:val="003138C9"/>
    <w:rsid w:val="00316DD4"/>
    <w:rsid w:val="00321352"/>
    <w:rsid w:val="003215EA"/>
    <w:rsid w:val="00323D47"/>
    <w:rsid w:val="00325E11"/>
    <w:rsid w:val="00336865"/>
    <w:rsid w:val="003379D7"/>
    <w:rsid w:val="0034066A"/>
    <w:rsid w:val="003413C8"/>
    <w:rsid w:val="003421F0"/>
    <w:rsid w:val="003440FC"/>
    <w:rsid w:val="00355D1E"/>
    <w:rsid w:val="00360D2D"/>
    <w:rsid w:val="00370FEF"/>
    <w:rsid w:val="003729B5"/>
    <w:rsid w:val="00372D64"/>
    <w:rsid w:val="0038058E"/>
    <w:rsid w:val="00384170"/>
    <w:rsid w:val="003853D2"/>
    <w:rsid w:val="003904ED"/>
    <w:rsid w:val="00392A97"/>
    <w:rsid w:val="00395DFE"/>
    <w:rsid w:val="00396CE3"/>
    <w:rsid w:val="003A26DF"/>
    <w:rsid w:val="003A3D5B"/>
    <w:rsid w:val="003A4F28"/>
    <w:rsid w:val="003A6328"/>
    <w:rsid w:val="003A7624"/>
    <w:rsid w:val="003B6651"/>
    <w:rsid w:val="003B6C82"/>
    <w:rsid w:val="003C2EFC"/>
    <w:rsid w:val="003E1EB4"/>
    <w:rsid w:val="003E4D41"/>
    <w:rsid w:val="003F2F6F"/>
    <w:rsid w:val="003F3139"/>
    <w:rsid w:val="00402513"/>
    <w:rsid w:val="00404567"/>
    <w:rsid w:val="004046AF"/>
    <w:rsid w:val="00405EC7"/>
    <w:rsid w:val="004075B7"/>
    <w:rsid w:val="00412887"/>
    <w:rsid w:val="00420556"/>
    <w:rsid w:val="0042118B"/>
    <w:rsid w:val="00424C3D"/>
    <w:rsid w:val="00425E9C"/>
    <w:rsid w:val="0042746B"/>
    <w:rsid w:val="00432933"/>
    <w:rsid w:val="0043554D"/>
    <w:rsid w:val="00443FD5"/>
    <w:rsid w:val="004441F4"/>
    <w:rsid w:val="0044492F"/>
    <w:rsid w:val="00445F50"/>
    <w:rsid w:val="004465E7"/>
    <w:rsid w:val="004524C3"/>
    <w:rsid w:val="00454341"/>
    <w:rsid w:val="00457239"/>
    <w:rsid w:val="00457757"/>
    <w:rsid w:val="004577F1"/>
    <w:rsid w:val="00460208"/>
    <w:rsid w:val="00461EC5"/>
    <w:rsid w:val="004653B2"/>
    <w:rsid w:val="00474734"/>
    <w:rsid w:val="00475C66"/>
    <w:rsid w:val="0048598D"/>
    <w:rsid w:val="00486057"/>
    <w:rsid w:val="00492C39"/>
    <w:rsid w:val="0049337D"/>
    <w:rsid w:val="004B2364"/>
    <w:rsid w:val="004B27EC"/>
    <w:rsid w:val="004B434B"/>
    <w:rsid w:val="004C0E45"/>
    <w:rsid w:val="004C53E6"/>
    <w:rsid w:val="004C5FC1"/>
    <w:rsid w:val="004D0641"/>
    <w:rsid w:val="004D09B1"/>
    <w:rsid w:val="004D0A25"/>
    <w:rsid w:val="004D608F"/>
    <w:rsid w:val="004D61BB"/>
    <w:rsid w:val="004D7D2E"/>
    <w:rsid w:val="004E0E80"/>
    <w:rsid w:val="004E4C83"/>
    <w:rsid w:val="004F00E6"/>
    <w:rsid w:val="004F0473"/>
    <w:rsid w:val="004F1958"/>
    <w:rsid w:val="0050051E"/>
    <w:rsid w:val="00500CE8"/>
    <w:rsid w:val="005021A6"/>
    <w:rsid w:val="00506520"/>
    <w:rsid w:val="00510B88"/>
    <w:rsid w:val="005110ED"/>
    <w:rsid w:val="0051161A"/>
    <w:rsid w:val="00516368"/>
    <w:rsid w:val="00517551"/>
    <w:rsid w:val="00520553"/>
    <w:rsid w:val="00522C72"/>
    <w:rsid w:val="0052634D"/>
    <w:rsid w:val="00526DAE"/>
    <w:rsid w:val="00530AA2"/>
    <w:rsid w:val="005325CA"/>
    <w:rsid w:val="005325D6"/>
    <w:rsid w:val="00533DD0"/>
    <w:rsid w:val="00541214"/>
    <w:rsid w:val="00542960"/>
    <w:rsid w:val="00546C1D"/>
    <w:rsid w:val="005514D7"/>
    <w:rsid w:val="00557055"/>
    <w:rsid w:val="00564161"/>
    <w:rsid w:val="0057138A"/>
    <w:rsid w:val="00575261"/>
    <w:rsid w:val="005765F7"/>
    <w:rsid w:val="00576892"/>
    <w:rsid w:val="00581F60"/>
    <w:rsid w:val="0058593B"/>
    <w:rsid w:val="00595F90"/>
    <w:rsid w:val="0059794E"/>
    <w:rsid w:val="005A4B82"/>
    <w:rsid w:val="005A4D0A"/>
    <w:rsid w:val="005A509D"/>
    <w:rsid w:val="005A53E1"/>
    <w:rsid w:val="005A6BA3"/>
    <w:rsid w:val="005B3615"/>
    <w:rsid w:val="005B7E4D"/>
    <w:rsid w:val="005C5CE0"/>
    <w:rsid w:val="005D1BE3"/>
    <w:rsid w:val="005D1CB3"/>
    <w:rsid w:val="005E0BD5"/>
    <w:rsid w:val="005E6CD9"/>
    <w:rsid w:val="005E6E48"/>
    <w:rsid w:val="005F0EB7"/>
    <w:rsid w:val="005F1001"/>
    <w:rsid w:val="005F37AA"/>
    <w:rsid w:val="005F7591"/>
    <w:rsid w:val="00603751"/>
    <w:rsid w:val="006051B1"/>
    <w:rsid w:val="006112FB"/>
    <w:rsid w:val="006133D0"/>
    <w:rsid w:val="0062515A"/>
    <w:rsid w:val="00626819"/>
    <w:rsid w:val="0063040E"/>
    <w:rsid w:val="006311D5"/>
    <w:rsid w:val="00634675"/>
    <w:rsid w:val="00643A41"/>
    <w:rsid w:val="00646D16"/>
    <w:rsid w:val="00647E60"/>
    <w:rsid w:val="00661735"/>
    <w:rsid w:val="00661B71"/>
    <w:rsid w:val="0067627A"/>
    <w:rsid w:val="00681808"/>
    <w:rsid w:val="00686CA2"/>
    <w:rsid w:val="0069356E"/>
    <w:rsid w:val="006955A1"/>
    <w:rsid w:val="006A2376"/>
    <w:rsid w:val="006A2739"/>
    <w:rsid w:val="006A61EE"/>
    <w:rsid w:val="006A642C"/>
    <w:rsid w:val="006A7038"/>
    <w:rsid w:val="006B1DEB"/>
    <w:rsid w:val="006B2735"/>
    <w:rsid w:val="006B2F6E"/>
    <w:rsid w:val="006B30CB"/>
    <w:rsid w:val="006B3EFA"/>
    <w:rsid w:val="006B48B7"/>
    <w:rsid w:val="006B7169"/>
    <w:rsid w:val="006C14EA"/>
    <w:rsid w:val="006C3F9D"/>
    <w:rsid w:val="006C6364"/>
    <w:rsid w:val="006C7BEE"/>
    <w:rsid w:val="006D0E65"/>
    <w:rsid w:val="006D26CE"/>
    <w:rsid w:val="006D3781"/>
    <w:rsid w:val="006E3E16"/>
    <w:rsid w:val="006E4928"/>
    <w:rsid w:val="006F1E0F"/>
    <w:rsid w:val="006F457A"/>
    <w:rsid w:val="007015BE"/>
    <w:rsid w:val="00704D40"/>
    <w:rsid w:val="0070721F"/>
    <w:rsid w:val="00707682"/>
    <w:rsid w:val="00707B1E"/>
    <w:rsid w:val="00710155"/>
    <w:rsid w:val="007121BC"/>
    <w:rsid w:val="00717184"/>
    <w:rsid w:val="0072132B"/>
    <w:rsid w:val="00721A51"/>
    <w:rsid w:val="007336E3"/>
    <w:rsid w:val="0074006C"/>
    <w:rsid w:val="00745713"/>
    <w:rsid w:val="00747366"/>
    <w:rsid w:val="00747618"/>
    <w:rsid w:val="00747FF0"/>
    <w:rsid w:val="0075001A"/>
    <w:rsid w:val="0075115F"/>
    <w:rsid w:val="00762366"/>
    <w:rsid w:val="00770AE2"/>
    <w:rsid w:val="00772BE1"/>
    <w:rsid w:val="007734F8"/>
    <w:rsid w:val="00776059"/>
    <w:rsid w:val="007769C3"/>
    <w:rsid w:val="00792F9D"/>
    <w:rsid w:val="0079520F"/>
    <w:rsid w:val="0079555F"/>
    <w:rsid w:val="00795697"/>
    <w:rsid w:val="00796164"/>
    <w:rsid w:val="007A2107"/>
    <w:rsid w:val="007B0561"/>
    <w:rsid w:val="007C5B40"/>
    <w:rsid w:val="007C5DFD"/>
    <w:rsid w:val="007C7B6B"/>
    <w:rsid w:val="007C7C0E"/>
    <w:rsid w:val="007D04F3"/>
    <w:rsid w:val="007D13F5"/>
    <w:rsid w:val="007D3A70"/>
    <w:rsid w:val="007E1637"/>
    <w:rsid w:val="007E42B1"/>
    <w:rsid w:val="007E5814"/>
    <w:rsid w:val="007E6C71"/>
    <w:rsid w:val="007E77CA"/>
    <w:rsid w:val="007F1912"/>
    <w:rsid w:val="007F6A38"/>
    <w:rsid w:val="007F742C"/>
    <w:rsid w:val="00803924"/>
    <w:rsid w:val="00811EAF"/>
    <w:rsid w:val="00812E29"/>
    <w:rsid w:val="00813C2C"/>
    <w:rsid w:val="008151B2"/>
    <w:rsid w:val="00815420"/>
    <w:rsid w:val="00815F8C"/>
    <w:rsid w:val="00820360"/>
    <w:rsid w:val="0082194A"/>
    <w:rsid w:val="00824582"/>
    <w:rsid w:val="0082490A"/>
    <w:rsid w:val="0082496D"/>
    <w:rsid w:val="008264A5"/>
    <w:rsid w:val="008309EE"/>
    <w:rsid w:val="00830E45"/>
    <w:rsid w:val="00830EFA"/>
    <w:rsid w:val="00833861"/>
    <w:rsid w:val="00835136"/>
    <w:rsid w:val="00836229"/>
    <w:rsid w:val="0084390F"/>
    <w:rsid w:val="00843A42"/>
    <w:rsid w:val="00847A64"/>
    <w:rsid w:val="00857A8C"/>
    <w:rsid w:val="00860016"/>
    <w:rsid w:val="008678EC"/>
    <w:rsid w:val="00867A85"/>
    <w:rsid w:val="00870920"/>
    <w:rsid w:val="00876F37"/>
    <w:rsid w:val="008778DE"/>
    <w:rsid w:val="00884B56"/>
    <w:rsid w:val="00884C01"/>
    <w:rsid w:val="008855E1"/>
    <w:rsid w:val="00885C7C"/>
    <w:rsid w:val="00886542"/>
    <w:rsid w:val="00893F08"/>
    <w:rsid w:val="0089536F"/>
    <w:rsid w:val="008A3DC4"/>
    <w:rsid w:val="008A3E6E"/>
    <w:rsid w:val="008A7E31"/>
    <w:rsid w:val="008B188F"/>
    <w:rsid w:val="008C2AD5"/>
    <w:rsid w:val="008C2F41"/>
    <w:rsid w:val="008C7618"/>
    <w:rsid w:val="008D0FF0"/>
    <w:rsid w:val="008D3072"/>
    <w:rsid w:val="008D32A3"/>
    <w:rsid w:val="008D33A9"/>
    <w:rsid w:val="008D54A2"/>
    <w:rsid w:val="008E186D"/>
    <w:rsid w:val="008E3903"/>
    <w:rsid w:val="008E4318"/>
    <w:rsid w:val="008E594A"/>
    <w:rsid w:val="008F0308"/>
    <w:rsid w:val="008F1D8F"/>
    <w:rsid w:val="008F3E55"/>
    <w:rsid w:val="0090596F"/>
    <w:rsid w:val="009061A7"/>
    <w:rsid w:val="00910226"/>
    <w:rsid w:val="00920BE2"/>
    <w:rsid w:val="009357E5"/>
    <w:rsid w:val="009406A1"/>
    <w:rsid w:val="0095051D"/>
    <w:rsid w:val="009523D3"/>
    <w:rsid w:val="00955A72"/>
    <w:rsid w:val="00957CCF"/>
    <w:rsid w:val="00961834"/>
    <w:rsid w:val="0096226F"/>
    <w:rsid w:val="009629ED"/>
    <w:rsid w:val="00970E09"/>
    <w:rsid w:val="0097151F"/>
    <w:rsid w:val="00971724"/>
    <w:rsid w:val="00974030"/>
    <w:rsid w:val="00976A42"/>
    <w:rsid w:val="009875D4"/>
    <w:rsid w:val="00992578"/>
    <w:rsid w:val="00996B62"/>
    <w:rsid w:val="00997490"/>
    <w:rsid w:val="009A1C6F"/>
    <w:rsid w:val="009A46F5"/>
    <w:rsid w:val="009A6515"/>
    <w:rsid w:val="009B24C4"/>
    <w:rsid w:val="009B2544"/>
    <w:rsid w:val="009C40D5"/>
    <w:rsid w:val="009D12E4"/>
    <w:rsid w:val="009D1E12"/>
    <w:rsid w:val="009D2B5C"/>
    <w:rsid w:val="009F0EFF"/>
    <w:rsid w:val="009F62BF"/>
    <w:rsid w:val="009F755B"/>
    <w:rsid w:val="00A019C3"/>
    <w:rsid w:val="00A1488D"/>
    <w:rsid w:val="00A20A32"/>
    <w:rsid w:val="00A2423A"/>
    <w:rsid w:val="00A25B03"/>
    <w:rsid w:val="00A30B1D"/>
    <w:rsid w:val="00A342A7"/>
    <w:rsid w:val="00A355BE"/>
    <w:rsid w:val="00A37463"/>
    <w:rsid w:val="00A4177D"/>
    <w:rsid w:val="00A610CC"/>
    <w:rsid w:val="00A625AA"/>
    <w:rsid w:val="00A660F5"/>
    <w:rsid w:val="00A72524"/>
    <w:rsid w:val="00A72DDD"/>
    <w:rsid w:val="00A72F7B"/>
    <w:rsid w:val="00A771FE"/>
    <w:rsid w:val="00A77F9A"/>
    <w:rsid w:val="00A80E86"/>
    <w:rsid w:val="00A82952"/>
    <w:rsid w:val="00A9073C"/>
    <w:rsid w:val="00A94676"/>
    <w:rsid w:val="00A94D16"/>
    <w:rsid w:val="00A9540B"/>
    <w:rsid w:val="00A973E7"/>
    <w:rsid w:val="00A97B01"/>
    <w:rsid w:val="00A97B67"/>
    <w:rsid w:val="00AA1299"/>
    <w:rsid w:val="00AA232C"/>
    <w:rsid w:val="00AB00DC"/>
    <w:rsid w:val="00AB34E3"/>
    <w:rsid w:val="00AB3AED"/>
    <w:rsid w:val="00AC0A97"/>
    <w:rsid w:val="00AC1EC9"/>
    <w:rsid w:val="00AC437F"/>
    <w:rsid w:val="00AC4716"/>
    <w:rsid w:val="00AC4B62"/>
    <w:rsid w:val="00AC4F08"/>
    <w:rsid w:val="00AC51E0"/>
    <w:rsid w:val="00AC640F"/>
    <w:rsid w:val="00AC702D"/>
    <w:rsid w:val="00AC7B19"/>
    <w:rsid w:val="00AC7CBD"/>
    <w:rsid w:val="00AD6817"/>
    <w:rsid w:val="00AD7718"/>
    <w:rsid w:val="00AE1C98"/>
    <w:rsid w:val="00AE5471"/>
    <w:rsid w:val="00AE6F2A"/>
    <w:rsid w:val="00AF012D"/>
    <w:rsid w:val="00AF0528"/>
    <w:rsid w:val="00AF1B9D"/>
    <w:rsid w:val="00AF4732"/>
    <w:rsid w:val="00AF58E2"/>
    <w:rsid w:val="00AF6F22"/>
    <w:rsid w:val="00AF74EF"/>
    <w:rsid w:val="00B01CD7"/>
    <w:rsid w:val="00B06BA5"/>
    <w:rsid w:val="00B06E54"/>
    <w:rsid w:val="00B12254"/>
    <w:rsid w:val="00B136F2"/>
    <w:rsid w:val="00B169F5"/>
    <w:rsid w:val="00B20B70"/>
    <w:rsid w:val="00B21A8A"/>
    <w:rsid w:val="00B231BA"/>
    <w:rsid w:val="00B24DC7"/>
    <w:rsid w:val="00B2795F"/>
    <w:rsid w:val="00B37520"/>
    <w:rsid w:val="00B40358"/>
    <w:rsid w:val="00B430EC"/>
    <w:rsid w:val="00B437F9"/>
    <w:rsid w:val="00B461E5"/>
    <w:rsid w:val="00B4696A"/>
    <w:rsid w:val="00B46B2F"/>
    <w:rsid w:val="00B541B4"/>
    <w:rsid w:val="00B55BB7"/>
    <w:rsid w:val="00B57366"/>
    <w:rsid w:val="00B70FAC"/>
    <w:rsid w:val="00B715BC"/>
    <w:rsid w:val="00B74170"/>
    <w:rsid w:val="00B753D2"/>
    <w:rsid w:val="00B77AC6"/>
    <w:rsid w:val="00B80687"/>
    <w:rsid w:val="00B81283"/>
    <w:rsid w:val="00B9655B"/>
    <w:rsid w:val="00B96CA1"/>
    <w:rsid w:val="00BA012D"/>
    <w:rsid w:val="00BA3292"/>
    <w:rsid w:val="00BA54A4"/>
    <w:rsid w:val="00BA7ACE"/>
    <w:rsid w:val="00BB0157"/>
    <w:rsid w:val="00BB0F51"/>
    <w:rsid w:val="00BB2063"/>
    <w:rsid w:val="00BB465B"/>
    <w:rsid w:val="00BB5808"/>
    <w:rsid w:val="00BC176E"/>
    <w:rsid w:val="00BC24F7"/>
    <w:rsid w:val="00BD0ADF"/>
    <w:rsid w:val="00BD1924"/>
    <w:rsid w:val="00BD2CB3"/>
    <w:rsid w:val="00BD5025"/>
    <w:rsid w:val="00BF0612"/>
    <w:rsid w:val="00BF2609"/>
    <w:rsid w:val="00BF55CE"/>
    <w:rsid w:val="00BF5FD6"/>
    <w:rsid w:val="00BF7C07"/>
    <w:rsid w:val="00BF7DEE"/>
    <w:rsid w:val="00C10E22"/>
    <w:rsid w:val="00C1183D"/>
    <w:rsid w:val="00C12229"/>
    <w:rsid w:val="00C129FE"/>
    <w:rsid w:val="00C13FD3"/>
    <w:rsid w:val="00C143E3"/>
    <w:rsid w:val="00C16E50"/>
    <w:rsid w:val="00C20A5F"/>
    <w:rsid w:val="00C20E2D"/>
    <w:rsid w:val="00C304A6"/>
    <w:rsid w:val="00C40FCE"/>
    <w:rsid w:val="00C4111C"/>
    <w:rsid w:val="00C424CB"/>
    <w:rsid w:val="00C45768"/>
    <w:rsid w:val="00C45E08"/>
    <w:rsid w:val="00C46CCD"/>
    <w:rsid w:val="00C47136"/>
    <w:rsid w:val="00C524C8"/>
    <w:rsid w:val="00C53136"/>
    <w:rsid w:val="00C55308"/>
    <w:rsid w:val="00C56197"/>
    <w:rsid w:val="00C573FC"/>
    <w:rsid w:val="00C60206"/>
    <w:rsid w:val="00C611A0"/>
    <w:rsid w:val="00C6335E"/>
    <w:rsid w:val="00C659B1"/>
    <w:rsid w:val="00C7717E"/>
    <w:rsid w:val="00C80432"/>
    <w:rsid w:val="00C92F0A"/>
    <w:rsid w:val="00C94358"/>
    <w:rsid w:val="00C94DFA"/>
    <w:rsid w:val="00CA5414"/>
    <w:rsid w:val="00CA7B6D"/>
    <w:rsid w:val="00CB0A91"/>
    <w:rsid w:val="00CB2EDD"/>
    <w:rsid w:val="00CB51DD"/>
    <w:rsid w:val="00CB7CC9"/>
    <w:rsid w:val="00CD130F"/>
    <w:rsid w:val="00CD242D"/>
    <w:rsid w:val="00CD39AF"/>
    <w:rsid w:val="00CE0B09"/>
    <w:rsid w:val="00CE1561"/>
    <w:rsid w:val="00CE56C7"/>
    <w:rsid w:val="00CE70D4"/>
    <w:rsid w:val="00CF1244"/>
    <w:rsid w:val="00D00483"/>
    <w:rsid w:val="00D004F4"/>
    <w:rsid w:val="00D07C5A"/>
    <w:rsid w:val="00D12893"/>
    <w:rsid w:val="00D26178"/>
    <w:rsid w:val="00D30E75"/>
    <w:rsid w:val="00D32EFD"/>
    <w:rsid w:val="00D34264"/>
    <w:rsid w:val="00D35CC2"/>
    <w:rsid w:val="00D3623F"/>
    <w:rsid w:val="00D421CD"/>
    <w:rsid w:val="00D44350"/>
    <w:rsid w:val="00D506DB"/>
    <w:rsid w:val="00D51696"/>
    <w:rsid w:val="00D554C2"/>
    <w:rsid w:val="00D55797"/>
    <w:rsid w:val="00D57D36"/>
    <w:rsid w:val="00D6312F"/>
    <w:rsid w:val="00D63586"/>
    <w:rsid w:val="00D645DB"/>
    <w:rsid w:val="00D67C47"/>
    <w:rsid w:val="00D723FE"/>
    <w:rsid w:val="00D72DBD"/>
    <w:rsid w:val="00D73854"/>
    <w:rsid w:val="00D77938"/>
    <w:rsid w:val="00D8751F"/>
    <w:rsid w:val="00D97FDB"/>
    <w:rsid w:val="00DA083E"/>
    <w:rsid w:val="00DA4EDA"/>
    <w:rsid w:val="00DA54EF"/>
    <w:rsid w:val="00DA665B"/>
    <w:rsid w:val="00DB1626"/>
    <w:rsid w:val="00DB5E0C"/>
    <w:rsid w:val="00DB64FC"/>
    <w:rsid w:val="00DC1EAD"/>
    <w:rsid w:val="00DD0F02"/>
    <w:rsid w:val="00DD4B2D"/>
    <w:rsid w:val="00DD50E3"/>
    <w:rsid w:val="00DE2175"/>
    <w:rsid w:val="00DE5347"/>
    <w:rsid w:val="00DE6601"/>
    <w:rsid w:val="00DF39AA"/>
    <w:rsid w:val="00E070D4"/>
    <w:rsid w:val="00E11FDD"/>
    <w:rsid w:val="00E1365E"/>
    <w:rsid w:val="00E13887"/>
    <w:rsid w:val="00E14AD7"/>
    <w:rsid w:val="00E21846"/>
    <w:rsid w:val="00E21D9E"/>
    <w:rsid w:val="00E2333D"/>
    <w:rsid w:val="00E23CF4"/>
    <w:rsid w:val="00E24BE5"/>
    <w:rsid w:val="00E36063"/>
    <w:rsid w:val="00E37539"/>
    <w:rsid w:val="00E42127"/>
    <w:rsid w:val="00E42F73"/>
    <w:rsid w:val="00E44047"/>
    <w:rsid w:val="00E46DD2"/>
    <w:rsid w:val="00E502D5"/>
    <w:rsid w:val="00E604A1"/>
    <w:rsid w:val="00E61798"/>
    <w:rsid w:val="00E6501F"/>
    <w:rsid w:val="00E67574"/>
    <w:rsid w:val="00E71823"/>
    <w:rsid w:val="00E77278"/>
    <w:rsid w:val="00E9631B"/>
    <w:rsid w:val="00E96BA4"/>
    <w:rsid w:val="00E978A9"/>
    <w:rsid w:val="00EA3310"/>
    <w:rsid w:val="00EA6D4C"/>
    <w:rsid w:val="00EB4491"/>
    <w:rsid w:val="00EC3527"/>
    <w:rsid w:val="00EC6E5D"/>
    <w:rsid w:val="00ED080D"/>
    <w:rsid w:val="00ED0CF3"/>
    <w:rsid w:val="00ED25CD"/>
    <w:rsid w:val="00ED7C62"/>
    <w:rsid w:val="00EE0037"/>
    <w:rsid w:val="00EE3FD0"/>
    <w:rsid w:val="00EE53DA"/>
    <w:rsid w:val="00EE5D93"/>
    <w:rsid w:val="00EE6457"/>
    <w:rsid w:val="00EE7116"/>
    <w:rsid w:val="00EE724A"/>
    <w:rsid w:val="00EF18F3"/>
    <w:rsid w:val="00EF734A"/>
    <w:rsid w:val="00F00013"/>
    <w:rsid w:val="00F00AB3"/>
    <w:rsid w:val="00F01948"/>
    <w:rsid w:val="00F11CD6"/>
    <w:rsid w:val="00F133F7"/>
    <w:rsid w:val="00F138A8"/>
    <w:rsid w:val="00F17EAE"/>
    <w:rsid w:val="00F24067"/>
    <w:rsid w:val="00F31330"/>
    <w:rsid w:val="00F31DD7"/>
    <w:rsid w:val="00F40D45"/>
    <w:rsid w:val="00F5201E"/>
    <w:rsid w:val="00F55656"/>
    <w:rsid w:val="00F6546E"/>
    <w:rsid w:val="00F665CD"/>
    <w:rsid w:val="00F67627"/>
    <w:rsid w:val="00F702AB"/>
    <w:rsid w:val="00F7281B"/>
    <w:rsid w:val="00F80465"/>
    <w:rsid w:val="00F8102E"/>
    <w:rsid w:val="00F82756"/>
    <w:rsid w:val="00F84E4E"/>
    <w:rsid w:val="00F86BF5"/>
    <w:rsid w:val="00F91A47"/>
    <w:rsid w:val="00F930FB"/>
    <w:rsid w:val="00F941B7"/>
    <w:rsid w:val="00FA1A17"/>
    <w:rsid w:val="00FA25D2"/>
    <w:rsid w:val="00FB02AB"/>
    <w:rsid w:val="00FB360F"/>
    <w:rsid w:val="00FC236A"/>
    <w:rsid w:val="00FC3B80"/>
    <w:rsid w:val="00FC442F"/>
    <w:rsid w:val="00FC5A7D"/>
    <w:rsid w:val="00FC7E2A"/>
    <w:rsid w:val="00FD2B4D"/>
    <w:rsid w:val="00FD43D0"/>
    <w:rsid w:val="00FD64DA"/>
    <w:rsid w:val="00FD7125"/>
    <w:rsid w:val="00FE0A68"/>
    <w:rsid w:val="00FE0F2B"/>
    <w:rsid w:val="00FE2C49"/>
    <w:rsid w:val="00FE52A1"/>
    <w:rsid w:val="00FE5FE2"/>
    <w:rsid w:val="00FE6FBE"/>
    <w:rsid w:val="00FF3D5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6CC180-077B-4BC0-B23A-2BC42F4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9D7"/>
    <w:pPr>
      <w:spacing w:after="0" w:line="260" w:lineRule="atLeast"/>
      <w:jc w:val="left"/>
    </w:pPr>
    <w:rPr>
      <w:rFonts w:ascii="Arial" w:eastAsia="Times New Roman" w:hAnsi="Arial"/>
      <w:color w:val="000000"/>
      <w:sz w:val="18"/>
      <w:szCs w:val="18"/>
      <w:lang w:eastAsia="sv-SE"/>
    </w:rPr>
  </w:style>
  <w:style w:type="paragraph" w:styleId="Heading1">
    <w:name w:val="heading 1"/>
    <w:aliases w:val="Heading Style"/>
    <w:basedOn w:val="Normal"/>
    <w:next w:val="Normal"/>
    <w:link w:val="Heading1Char"/>
    <w:qFormat/>
    <w:rsid w:val="00876F37"/>
    <w:pPr>
      <w:spacing w:before="360" w:after="240" w:line="216" w:lineRule="auto"/>
      <w:ind w:left="-720"/>
      <w:outlineLvl w:val="0"/>
    </w:pPr>
    <w:rPr>
      <w:rFonts w:ascii="Calibri" w:eastAsia="Arial" w:hAnsi="Calibri"/>
      <w:bCs/>
      <w:caps/>
      <w:noProof/>
      <w:color w:val="000000" w:themeColor="text1"/>
      <w:sz w:val="36"/>
      <w:szCs w:val="20"/>
      <w:lang w:eastAsia="en-US"/>
    </w:rPr>
  </w:style>
  <w:style w:type="paragraph" w:styleId="Heading2">
    <w:name w:val="heading 2"/>
    <w:aliases w:val="Release Headline"/>
    <w:basedOn w:val="Heading3"/>
    <w:next w:val="Normal"/>
    <w:link w:val="Heading2Char"/>
    <w:rsid w:val="004D608F"/>
    <w:pPr>
      <w:keepNext/>
      <w:keepLines/>
      <w:spacing w:before="240" w:after="240" w:line="240" w:lineRule="auto"/>
      <w:ind w:left="-720" w:firstLine="0"/>
      <w:outlineLvl w:val="1"/>
    </w:pPr>
    <w:rPr>
      <w:rFonts w:ascii="Arial" w:eastAsia="Arial" w:hAnsi="Arial"/>
      <w:b w:val="0"/>
      <w:caps/>
      <w:color w:val="0094B3"/>
      <w:sz w:val="36"/>
    </w:rPr>
  </w:style>
  <w:style w:type="paragraph" w:styleId="Heading3">
    <w:name w:val="heading 3"/>
    <w:basedOn w:val="Heading4"/>
    <w:next w:val="Normal"/>
    <w:link w:val="Heading3Char"/>
    <w:rsid w:val="004075B7"/>
    <w:pPr>
      <w:tabs>
        <w:tab w:val="clear" w:pos="864"/>
        <w:tab w:val="left" w:pos="720"/>
      </w:tabs>
      <w:ind w:left="720" w:hanging="720"/>
      <w:outlineLvl w:val="2"/>
    </w:pPr>
    <w:rPr>
      <w:rFonts w:ascii="Times New Roman Bold" w:hAnsi="Times New Roman Bold"/>
      <w:i w:val="0"/>
    </w:rPr>
  </w:style>
  <w:style w:type="paragraph" w:styleId="Heading4">
    <w:name w:val="heading 4"/>
    <w:basedOn w:val="Normal"/>
    <w:next w:val="Normal"/>
    <w:link w:val="Heading4Char"/>
    <w:rsid w:val="004075B7"/>
    <w:pPr>
      <w:widowControl w:val="0"/>
      <w:tabs>
        <w:tab w:val="left" w:pos="864"/>
      </w:tabs>
      <w:suppressAutoHyphens/>
      <w:spacing w:after="120"/>
      <w:ind w:left="864" w:hanging="864"/>
      <w:jc w:val="both"/>
      <w:outlineLvl w:val="3"/>
    </w:pPr>
    <w:rPr>
      <w:b/>
      <w:bCs/>
      <w:i/>
      <w:color w:val="00619B"/>
      <w:sz w:val="22"/>
      <w:szCs w:val="20"/>
      <w:lang w:eastAsia="en-US"/>
    </w:rPr>
  </w:style>
  <w:style w:type="paragraph" w:styleId="Heading5">
    <w:name w:val="heading 5"/>
    <w:next w:val="Normal"/>
    <w:link w:val="Heading5Char"/>
    <w:rsid w:val="004075B7"/>
    <w:pPr>
      <w:ind w:left="1008" w:hanging="1008"/>
      <w:jc w:val="left"/>
      <w:outlineLvl w:val="4"/>
    </w:pPr>
    <w:rPr>
      <w:rFonts w:eastAsia="Times New Roman"/>
      <w:bCs/>
      <w:i/>
      <w:color w:val="00619B"/>
      <w:sz w:val="22"/>
    </w:rPr>
  </w:style>
  <w:style w:type="paragraph" w:styleId="Heading6">
    <w:name w:val="heading 6"/>
    <w:basedOn w:val="Normal"/>
    <w:next w:val="Normal"/>
    <w:link w:val="Heading6Char"/>
    <w:rsid w:val="004075B7"/>
    <w:pPr>
      <w:ind w:firstLine="360"/>
      <w:jc w:val="both"/>
      <w:outlineLvl w:val="5"/>
    </w:pPr>
    <w:rPr>
      <w:b/>
      <w:bCs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4075B7"/>
    <w:pPr>
      <w:numPr>
        <w:ilvl w:val="6"/>
        <w:numId w:val="1"/>
      </w:numPr>
      <w:suppressAutoHyphens/>
      <w:spacing w:before="240" w:after="60"/>
      <w:jc w:val="both"/>
      <w:outlineLvl w:val="6"/>
    </w:pPr>
    <w:rPr>
      <w:sz w:val="22"/>
      <w:lang w:eastAsia="en-US"/>
    </w:rPr>
  </w:style>
  <w:style w:type="paragraph" w:styleId="Heading8">
    <w:name w:val="heading 8"/>
    <w:basedOn w:val="Normal"/>
    <w:next w:val="Normal"/>
    <w:link w:val="Heading8Char"/>
    <w:rsid w:val="004075B7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sz w:val="22"/>
      <w:lang w:eastAsia="en-US"/>
    </w:rPr>
  </w:style>
  <w:style w:type="paragraph" w:styleId="Heading9">
    <w:name w:val="heading 9"/>
    <w:basedOn w:val="Normal"/>
    <w:next w:val="Normal"/>
    <w:link w:val="Heading9Char"/>
    <w:rsid w:val="004075B7"/>
    <w:pPr>
      <w:numPr>
        <w:ilvl w:val="8"/>
        <w:numId w:val="1"/>
      </w:numPr>
      <w:suppressAutoHyphens/>
      <w:spacing w:before="240" w:after="60"/>
      <w:jc w:val="both"/>
      <w:outlineLvl w:val="8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77D"/>
    <w:pPr>
      <w:spacing w:after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Style">
    <w:name w:val="Subhead 1 Style"/>
    <w:basedOn w:val="Normal"/>
    <w:qFormat/>
    <w:rsid w:val="00405EC7"/>
    <w:pPr>
      <w:spacing w:before="360" w:after="120" w:line="240" w:lineRule="auto"/>
      <w:ind w:left="-720"/>
    </w:pPr>
    <w:rPr>
      <w:rFonts w:ascii="Calibri" w:eastAsia="Arial" w:hAnsi="Calibri"/>
      <w:b/>
      <w:color w:val="009FC3"/>
      <w:spacing w:val="-4"/>
      <w:sz w:val="22"/>
      <w:szCs w:val="20"/>
    </w:rPr>
  </w:style>
  <w:style w:type="character" w:customStyle="1" w:styleId="Heading1Char">
    <w:name w:val="Heading 1 Char"/>
    <w:aliases w:val="Heading Style Char"/>
    <w:basedOn w:val="DefaultParagraphFont"/>
    <w:link w:val="Heading1"/>
    <w:rsid w:val="00876F37"/>
    <w:rPr>
      <w:rFonts w:ascii="Calibri" w:eastAsia="Arial" w:hAnsi="Calibri"/>
      <w:bCs/>
      <w:caps/>
      <w:noProof/>
      <w:color w:val="000000" w:themeColor="text1"/>
      <w:sz w:val="36"/>
      <w:szCs w:val="20"/>
    </w:rPr>
  </w:style>
  <w:style w:type="character" w:customStyle="1" w:styleId="Heading2Char">
    <w:name w:val="Heading 2 Char"/>
    <w:aliases w:val="Release Headline Char"/>
    <w:basedOn w:val="DefaultParagraphFont"/>
    <w:link w:val="Heading2"/>
    <w:rsid w:val="004D608F"/>
    <w:rPr>
      <w:rFonts w:ascii="Arial" w:eastAsia="Arial" w:hAnsi="Arial"/>
      <w:bCs/>
      <w:caps/>
      <w:color w:val="0094B3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92A97"/>
    <w:rPr>
      <w:rFonts w:ascii="Times New Roman Bold" w:eastAsia="Times New Roman" w:hAnsi="Times New Roman Bold"/>
      <w:b/>
      <w:bCs/>
      <w:color w:val="00619B"/>
      <w:sz w:val="22"/>
    </w:rPr>
  </w:style>
  <w:style w:type="character" w:customStyle="1" w:styleId="Heading4Char">
    <w:name w:val="Heading 4 Char"/>
    <w:basedOn w:val="DefaultParagraphFont"/>
    <w:link w:val="Heading4"/>
    <w:rsid w:val="00392A97"/>
    <w:rPr>
      <w:rFonts w:eastAsia="Times New Roman"/>
      <w:b/>
      <w:bCs/>
      <w:i/>
      <w:color w:val="00619B"/>
      <w:sz w:val="22"/>
    </w:rPr>
  </w:style>
  <w:style w:type="character" w:customStyle="1" w:styleId="Heading5Char">
    <w:name w:val="Heading 5 Char"/>
    <w:basedOn w:val="DefaultParagraphFont"/>
    <w:link w:val="Heading5"/>
    <w:rsid w:val="00392A97"/>
    <w:rPr>
      <w:rFonts w:eastAsia="Times New Roman"/>
      <w:bCs/>
      <w:i/>
      <w:color w:val="00619B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92A97"/>
    <w:rPr>
      <w:rFonts w:eastAsia="Times New Roman"/>
      <w:b/>
      <w:bCs/>
      <w:i/>
      <w:sz w:val="22"/>
    </w:rPr>
  </w:style>
  <w:style w:type="character" w:customStyle="1" w:styleId="Heading7Char">
    <w:name w:val="Heading 7 Char"/>
    <w:basedOn w:val="DefaultParagraphFont"/>
    <w:link w:val="Heading7"/>
    <w:rsid w:val="00392A97"/>
    <w:rPr>
      <w:rFonts w:ascii="Arial" w:eastAsia="Times New Roman" w:hAnsi="Arial"/>
      <w:color w:val="000000"/>
      <w:sz w:val="22"/>
      <w:szCs w:val="18"/>
    </w:rPr>
  </w:style>
  <w:style w:type="character" w:customStyle="1" w:styleId="Heading8Char">
    <w:name w:val="Heading 8 Char"/>
    <w:basedOn w:val="DefaultParagraphFont"/>
    <w:link w:val="Heading8"/>
    <w:rsid w:val="00392A97"/>
    <w:rPr>
      <w:rFonts w:ascii="Arial" w:eastAsia="Times New Roman" w:hAnsi="Arial"/>
      <w:i/>
      <w:iCs/>
      <w:color w:val="000000"/>
      <w:sz w:val="22"/>
      <w:szCs w:val="18"/>
    </w:rPr>
  </w:style>
  <w:style w:type="character" w:customStyle="1" w:styleId="Heading9Char">
    <w:name w:val="Heading 9 Char"/>
    <w:basedOn w:val="DefaultParagraphFont"/>
    <w:link w:val="Heading9"/>
    <w:rsid w:val="00392A97"/>
    <w:rPr>
      <w:rFonts w:ascii="Arial" w:eastAsia="Times New Roman" w:hAnsi="Arial"/>
      <w:color w:val="000000"/>
      <w:sz w:val="22"/>
      <w:szCs w:val="22"/>
    </w:rPr>
  </w:style>
  <w:style w:type="paragraph" w:customStyle="1" w:styleId="MainText">
    <w:name w:val="Main Text"/>
    <w:basedOn w:val="Normal"/>
    <w:autoRedefine/>
    <w:qFormat/>
    <w:rsid w:val="00103B83"/>
    <w:pPr>
      <w:ind w:left="-720"/>
      <w:jc w:val="both"/>
    </w:pPr>
    <w:rPr>
      <w:rFonts w:ascii="Calibri" w:eastAsia="Arial" w:hAnsi="Calibri"/>
      <w:spacing w:val="-4"/>
      <w:sz w:val="20"/>
      <w:szCs w:val="20"/>
      <w:lang w:eastAsia="en-US"/>
    </w:rPr>
  </w:style>
  <w:style w:type="paragraph" w:customStyle="1" w:styleId="QXTitle">
    <w:name w:val="QX Title"/>
    <w:basedOn w:val="Normal"/>
    <w:link w:val="QXTitleChar"/>
    <w:rsid w:val="00A4177D"/>
    <w:pPr>
      <w:spacing w:before="360" w:after="120" w:line="240" w:lineRule="auto"/>
      <w:ind w:left="-720"/>
      <w:outlineLvl w:val="0"/>
    </w:pPr>
    <w:rPr>
      <w:caps/>
      <w:color w:val="0094B3"/>
      <w:spacing w:val="-10"/>
      <w:sz w:val="64"/>
      <w:szCs w:val="64"/>
    </w:rPr>
  </w:style>
  <w:style w:type="character" w:customStyle="1" w:styleId="QXTitleChar">
    <w:name w:val="QX Title Char"/>
    <w:basedOn w:val="DefaultParagraphFont"/>
    <w:link w:val="QXTitle"/>
    <w:rsid w:val="00A4177D"/>
    <w:rPr>
      <w:rFonts w:ascii="TSTAR Q Medium" w:eastAsia="Times New Roman" w:hAnsi="TSTAR Q Medium"/>
      <w:caps/>
      <w:color w:val="0094B3"/>
      <w:spacing w:val="-10"/>
      <w:sz w:val="64"/>
      <w:szCs w:val="64"/>
      <w:lang w:eastAsia="sv-SE"/>
    </w:rPr>
  </w:style>
  <w:style w:type="paragraph" w:customStyle="1" w:styleId="QXBulletedLists">
    <w:name w:val="QX Bulleted Lists"/>
    <w:basedOn w:val="Normal"/>
    <w:rsid w:val="003379D7"/>
    <w:pPr>
      <w:numPr>
        <w:numId w:val="3"/>
      </w:numPr>
      <w:spacing w:before="120" w:after="120" w:line="340" w:lineRule="atLeast"/>
    </w:pPr>
    <w:rPr>
      <w:spacing w:val="-4"/>
      <w:sz w:val="22"/>
      <w:szCs w:val="20"/>
    </w:rPr>
  </w:style>
  <w:style w:type="paragraph" w:customStyle="1" w:styleId="QXFooter">
    <w:name w:val="QX Footer"/>
    <w:basedOn w:val="Normal"/>
    <w:rsid w:val="003379D7"/>
    <w:pPr>
      <w:tabs>
        <w:tab w:val="center" w:pos="8460"/>
        <w:tab w:val="right" w:pos="8640"/>
      </w:tabs>
      <w:spacing w:before="180" w:line="200" w:lineRule="exact"/>
      <w:ind w:left="-720"/>
    </w:pPr>
    <w:rPr>
      <w:b/>
      <w:noProof/>
      <w:color w:val="767878"/>
      <w:lang w:eastAsia="en-US"/>
    </w:rPr>
  </w:style>
  <w:style w:type="paragraph" w:styleId="Header">
    <w:name w:val="header"/>
    <w:basedOn w:val="Normal"/>
    <w:link w:val="Head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Footer">
    <w:name w:val="footer"/>
    <w:basedOn w:val="Normal"/>
    <w:link w:val="Foot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BalloonText">
    <w:name w:val="Balloon Text"/>
    <w:basedOn w:val="Normal"/>
    <w:link w:val="BalloonTextChar"/>
    <w:semiHidden/>
    <w:unhideWhenUsed/>
    <w:rsid w:val="00A41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77D"/>
    <w:rPr>
      <w:rFonts w:ascii="Tahoma" w:eastAsia="Times New Roman" w:hAnsi="Tahoma" w:cs="Tahoma"/>
      <w:color w:val="000000"/>
      <w:sz w:val="16"/>
      <w:szCs w:val="16"/>
      <w:lang w:eastAsia="sv-SE"/>
    </w:rPr>
  </w:style>
  <w:style w:type="numbering" w:customStyle="1" w:styleId="CurrentList1">
    <w:name w:val="Current List1"/>
    <w:rsid w:val="00EA3310"/>
    <w:pPr>
      <w:numPr>
        <w:numId w:val="2"/>
      </w:numPr>
    </w:pPr>
  </w:style>
  <w:style w:type="paragraph" w:styleId="NormalWeb">
    <w:name w:val="Normal (Web)"/>
    <w:basedOn w:val="Normal"/>
    <w:uiPriority w:val="99"/>
    <w:rsid w:val="004D608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F7C07"/>
    <w:pPr>
      <w:widowControl w:val="0"/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A6BA3"/>
    <w:pPr>
      <w:ind w:left="720"/>
      <w:contextualSpacing/>
    </w:pPr>
  </w:style>
  <w:style w:type="paragraph" w:customStyle="1" w:styleId="Bullets">
    <w:name w:val="Bullets"/>
    <w:basedOn w:val="ListParagraph"/>
    <w:qFormat/>
    <w:rsid w:val="007121BC"/>
    <w:pPr>
      <w:numPr>
        <w:numId w:val="4"/>
      </w:numPr>
      <w:spacing w:after="120"/>
      <w:contextualSpacing w:val="0"/>
    </w:pPr>
    <w:rPr>
      <w:rFonts w:ascii="Calibri" w:eastAsia="Arial" w:hAnsi="Calibri"/>
      <w:color w:val="auto"/>
      <w:spacing w:val="-4"/>
      <w:sz w:val="20"/>
      <w:szCs w:val="20"/>
    </w:rPr>
  </w:style>
  <w:style w:type="character" w:styleId="PageNumber">
    <w:name w:val="page number"/>
    <w:basedOn w:val="DefaultParagraphFont"/>
    <w:rsid w:val="00DF39AA"/>
  </w:style>
  <w:style w:type="paragraph" w:customStyle="1" w:styleId="Subhead2Style">
    <w:name w:val="Subhead 2 Style"/>
    <w:basedOn w:val="MainText"/>
    <w:qFormat/>
    <w:rsid w:val="003729B5"/>
    <w:rPr>
      <w:b/>
    </w:rPr>
  </w:style>
  <w:style w:type="paragraph" w:customStyle="1" w:styleId="NoteStyle">
    <w:name w:val="Note Style"/>
    <w:basedOn w:val="Subhead1Style"/>
    <w:qFormat/>
    <w:rsid w:val="003729B5"/>
    <w:pPr>
      <w:spacing w:before="240"/>
    </w:pPr>
    <w:rPr>
      <w:b w:val="0"/>
      <w:color w:val="000000" w:themeColor="text1"/>
      <w:sz w:val="15"/>
      <w:szCs w:val="15"/>
    </w:rPr>
  </w:style>
  <w:style w:type="character" w:styleId="CommentReference">
    <w:name w:val="annotation reference"/>
    <w:basedOn w:val="DefaultParagraphFont"/>
    <w:rsid w:val="00492C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C39"/>
    <w:pPr>
      <w:spacing w:after="120" w:line="240" w:lineRule="atLeast"/>
    </w:pPr>
    <w:rPr>
      <w:rFonts w:ascii="Arial Narrow" w:hAnsi="Arial Narrow"/>
      <w:color w:val="auto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492C39"/>
    <w:rPr>
      <w:rFonts w:ascii="Arial Narrow" w:eastAsia="Times New Roman" w:hAnsi="Arial Narrow"/>
      <w:sz w:val="20"/>
      <w:szCs w:val="20"/>
      <w:lang w:val="en-AU"/>
    </w:rPr>
  </w:style>
  <w:style w:type="paragraph" w:customStyle="1" w:styleId="QXBodyText">
    <w:name w:val="QX Body Text"/>
    <w:rsid w:val="00F31DD7"/>
    <w:pPr>
      <w:spacing w:before="120" w:after="240" w:line="340" w:lineRule="exact"/>
      <w:ind w:left="-720"/>
      <w:jc w:val="left"/>
    </w:pPr>
    <w:rPr>
      <w:rFonts w:ascii="Arial" w:eastAsia="Arial" w:hAnsi="Arial"/>
      <w:color w:val="000000"/>
      <w:spacing w:val="-4"/>
      <w:sz w:val="22"/>
      <w:szCs w:val="20"/>
      <w:lang w:eastAsia="sv-SE"/>
    </w:rPr>
  </w:style>
  <w:style w:type="table" w:customStyle="1" w:styleId="NLXStx">
    <w:name w:val="NLX Stx"/>
    <w:basedOn w:val="TableNormal"/>
    <w:uiPriority w:val="99"/>
    <w:rsid w:val="0038058E"/>
    <w:pPr>
      <w:spacing w:after="0"/>
      <w:jc w:val="left"/>
    </w:pPr>
    <w:rPr>
      <w:rFonts w:ascii="Arial Narrow" w:eastAsia="Times New Roman" w:hAnsi="Arial Narrow"/>
      <w:sz w:val="18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7F1"/>
    <w:pPr>
      <w:spacing w:after="0" w:line="240" w:lineRule="auto"/>
    </w:pPr>
    <w:rPr>
      <w:rFonts w:ascii="Arial" w:hAnsi="Arial"/>
      <w:b/>
      <w:bCs/>
      <w:color w:val="000000"/>
      <w:lang w:val="en-US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4577F1"/>
    <w:rPr>
      <w:rFonts w:ascii="Arial" w:eastAsia="Times New Roman" w:hAnsi="Arial"/>
      <w:b/>
      <w:bCs/>
      <w:color w:val="000000"/>
      <w:sz w:val="20"/>
      <w:szCs w:val="20"/>
      <w:lang w:val="en-AU" w:eastAsia="sv-SE"/>
    </w:rPr>
  </w:style>
  <w:style w:type="character" w:styleId="Hyperlink">
    <w:name w:val="Hyperlink"/>
    <w:basedOn w:val="DefaultParagraphFont"/>
    <w:unhideWhenUsed/>
    <w:rsid w:val="004B43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C40D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40D5"/>
    <w:rPr>
      <w:rFonts w:ascii="Arial" w:eastAsia="Times New Roman" w:hAnsi="Arial"/>
      <w:color w:val="000000"/>
      <w:sz w:val="20"/>
      <w:szCs w:val="20"/>
      <w:lang w:eastAsia="sv-SE"/>
    </w:rPr>
  </w:style>
  <w:style w:type="character" w:styleId="FootnoteReference">
    <w:name w:val="footnote reference"/>
    <w:basedOn w:val="DefaultParagraphFont"/>
    <w:semiHidden/>
    <w:unhideWhenUsed/>
    <w:rsid w:val="009C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us02orgfps01/carrigad$/business.nasdaq.com/futur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ShieldsS/AppData/Local/Microsoft/Windows/Temporary%20Internet%20Files/Content.Outlook/HL8FUUUH/business.nasdaq.com/futu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omxphlx.cchwallstreet.com/NASDAQOMX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15998edf-7b50-4ae4-aa11-c650f3030da6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2019-03-08T22:38:50+00:00</Document_x0020_Date>
    <Document_x0020_No xmlns="4b47aac5-4c46-444f-8595-ce09b406fc61">46945</Document_x0020_No>
  </documentManagement>
</p:properties>
</file>

<file path=customXml/itemProps1.xml><?xml version="1.0" encoding="utf-8"?>
<ds:datastoreItem xmlns:ds="http://schemas.openxmlformats.org/officeDocument/2006/customXml" ds:itemID="{8D8FA85A-22DB-48C9-975B-AB0E27BF7F2A}"/>
</file>

<file path=customXml/itemProps2.xml><?xml version="1.0" encoding="utf-8"?>
<ds:datastoreItem xmlns:ds="http://schemas.openxmlformats.org/officeDocument/2006/customXml" ds:itemID="{F8D857C2-7B98-4509-BE23-786A115F72AD}"/>
</file>

<file path=customXml/itemProps3.xml><?xml version="1.0" encoding="utf-8"?>
<ds:datastoreItem xmlns:ds="http://schemas.openxmlformats.org/officeDocument/2006/customXml" ds:itemID="{8812174C-8FF6-4697-A823-CAAA92A04AE2}"/>
</file>

<file path=customXml/itemProps4.xml><?xml version="1.0" encoding="utf-8"?>
<ds:datastoreItem xmlns:ds="http://schemas.openxmlformats.org/officeDocument/2006/customXml" ds:itemID="{9DA41217-2B5F-438B-987C-EA433675A718}"/>
</file>

<file path=customXml/itemProps5.xml><?xml version="1.0" encoding="utf-8"?>
<ds:datastoreItem xmlns:ds="http://schemas.openxmlformats.org/officeDocument/2006/customXml" ds:itemID="{8E80272F-0B38-4BC5-B0B1-D67F30302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Solomon.Shields@nasdaq.com</dc:creator>
  <cp:lastModifiedBy>Steve Matthews</cp:lastModifiedBy>
  <cp:revision>4</cp:revision>
  <cp:lastPrinted>2015-04-01T18:28:00Z</cp:lastPrinted>
  <dcterms:created xsi:type="dcterms:W3CDTF">2019-03-08T20:01:00Z</dcterms:created>
  <dcterms:modified xsi:type="dcterms:W3CDTF">2019-03-08T20:25:00Z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6937300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