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40A6" w14:textId="77777777" w:rsidR="0005755D" w:rsidRDefault="0005755D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27FBC76E" w14:textId="77777777" w:rsidR="0005755D" w:rsidRDefault="0005755D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4AC34F2E" w14:textId="77777777"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14:paraId="41C17453" w14:textId="77777777"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8701A6F" w14:textId="77777777" w:rsidR="0005755D" w:rsidRDefault="0005755D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5985B1C" w14:textId="1B2704DE" w:rsidR="005101CA" w:rsidRPr="00C26B7B" w:rsidRDefault="00700F18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F3484">
        <w:rPr>
          <w:rFonts w:ascii="Times New Roman" w:eastAsia="Calibri" w:hAnsi="Times New Roman" w:cs="Times New Roman"/>
          <w:noProof/>
          <w:sz w:val="24"/>
          <w:szCs w:val="24"/>
        </w:rPr>
        <w:t>March 16, 2017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30EC1B89" w14:textId="77777777"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CE932DB" w14:textId="77777777"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14:paraId="4950DE77" w14:textId="77777777"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14:paraId="3E734C14" w14:textId="77777777"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14:paraId="683A74BA" w14:textId="77777777"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14:paraId="259CFF21" w14:textId="77777777"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1155 21</w:t>
      </w:r>
      <w:r w:rsidRPr="00C26B7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12F45C9F" w14:textId="77777777" w:rsidR="005101CA" w:rsidRPr="00C26B7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43920C1D" w14:textId="77777777" w:rsidR="005101CA" w:rsidRPr="00C26B7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AD79C81" w14:textId="44D3A2D0" w:rsidR="000D3824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14:paraId="2C9BDB4E" w14:textId="77777777" w:rsidR="000D3824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14:paraId="7238FC06" w14:textId="77777777" w:rsidR="000D3824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14:paraId="5A10BD01" w14:textId="51F8746F" w:rsidR="005101CA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00F18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700F18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</w:p>
    <w:p w14:paraId="3A14FB46" w14:textId="77777777" w:rsidR="00700F18" w:rsidRDefault="00700F18" w:rsidP="00700F1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C528C" w14:textId="77777777" w:rsidR="008D2C12" w:rsidRPr="00C26B7B" w:rsidRDefault="008D2C12" w:rsidP="00700F1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2FB56A" w14:textId="77777777"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744F8C7B" w14:textId="77777777"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FFBDA1B" w14:textId="4F8D694D" w:rsidR="0075745C" w:rsidRPr="00DE235E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DE235E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DE235E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E235E">
        <w:rPr>
          <w:rFonts w:ascii="Times New Roman" w:eastAsia="Calibri" w:hAnsi="Times New Roman" w:cs="Times New Roman"/>
          <w:sz w:val="24"/>
          <w:szCs w:val="24"/>
        </w:rPr>
        <w:t>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35E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>
        <w:rPr>
          <w:rFonts w:ascii="Times New Roman" w:eastAsia="Calibri" w:hAnsi="Times New Roman" w:cs="Times New Roman"/>
          <w:sz w:val="24"/>
          <w:szCs w:val="24"/>
        </w:rPr>
        <w:t>d</w:t>
      </w:r>
      <w:r w:rsidRPr="00DE235E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14:paraId="5E184706" w14:textId="0A4EC205" w:rsidR="000D3824" w:rsidRPr="000D3824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(“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Exchang</w:t>
      </w:r>
      <w:r w:rsidRPr="000D3824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="0085416B" w:rsidRPr="000D382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0D3824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</w:p>
    <w:p w14:paraId="2C0ADB9D" w14:textId="77777777" w:rsidR="002A6D1B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595E098" w14:textId="58E9A73E" w:rsidR="00700F18" w:rsidRPr="00700F18" w:rsidRDefault="000D3824" w:rsidP="00700F18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700F18">
        <w:rPr>
          <w:rFonts w:ascii="Times New Roman" w:eastAsia="Calibri" w:hAnsi="Times New Roman" w:cs="Times New Roman"/>
          <w:sz w:val="24"/>
          <w:szCs w:val="24"/>
        </w:rPr>
        <w:t>March 7</w:t>
      </w:r>
      <w:r w:rsidR="002A2EE7">
        <w:rPr>
          <w:rFonts w:ascii="Times New Roman" w:eastAsia="Calibri" w:hAnsi="Times New Roman" w:cs="Times New Roman"/>
          <w:sz w:val="24"/>
          <w:szCs w:val="24"/>
        </w:rPr>
        <w:t>, 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0D3824">
        <w:rPr>
          <w:rFonts w:ascii="Times New Roman" w:eastAsia="Calibri" w:hAnsi="Times New Roman" w:cs="Times New Roman"/>
          <w:sz w:val="24"/>
          <w:szCs w:val="24"/>
        </w:rPr>
        <w:t>, the Exchan</w:t>
      </w:r>
      <w:r w:rsidRPr="002A6D1B">
        <w:rPr>
          <w:rFonts w:ascii="Times New Roman" w:eastAsia="Calibri" w:hAnsi="Times New Roman" w:cs="Times New Roman"/>
          <w:sz w:val="24"/>
          <w:szCs w:val="24"/>
        </w:rPr>
        <w:t>ge issued Futures Trader Alert #201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00F18">
        <w:rPr>
          <w:rFonts w:ascii="Times New Roman" w:eastAsia="Calibri" w:hAnsi="Times New Roman" w:cs="Times New Roman"/>
          <w:sz w:val="24"/>
          <w:szCs w:val="24"/>
        </w:rPr>
        <w:t>6</w:t>
      </w:r>
      <w:r w:rsidRPr="002A6D1B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>
        <w:rPr>
          <w:rFonts w:ascii="Times New Roman" w:eastAsia="Calibri" w:hAnsi="Times New Roman" w:cs="Times New Roman"/>
          <w:sz w:val="24"/>
          <w:szCs w:val="24"/>
        </w:rPr>
        <w:t>months in</w:t>
      </w:r>
      <w:r w:rsidR="002A6D1B" w:rsidRPr="002A6D1B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r w:rsidR="00700F18" w:rsidRPr="00700F18">
        <w:rPr>
          <w:rFonts w:ascii="Times New Roman" w:eastAsia="Calibri" w:hAnsi="Times New Roman" w:cs="Times New Roman"/>
          <w:sz w:val="24"/>
          <w:szCs w:val="24"/>
        </w:rPr>
        <w:t>NFX Options on NFX Heating</w:t>
      </w:r>
      <w:r w:rsidR="00700F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CCB986" w14:textId="02B969E0" w:rsidR="000D3824" w:rsidRDefault="00700F18" w:rsidP="00700F1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00F18">
        <w:rPr>
          <w:rFonts w:ascii="Times New Roman" w:eastAsia="Calibri" w:hAnsi="Times New Roman" w:cs="Times New Roman"/>
          <w:sz w:val="24"/>
          <w:szCs w:val="24"/>
        </w:rPr>
        <w:t>Oil Penultimate Financial Futures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(OOQ) and </w:t>
      </w:r>
      <w:r w:rsidRPr="00700F18">
        <w:rPr>
          <w:rFonts w:ascii="Times New Roman" w:eastAsia="Calibri" w:hAnsi="Times New Roman" w:cs="Times New Roman"/>
          <w:sz w:val="24"/>
          <w:szCs w:val="24"/>
        </w:rPr>
        <w:t>NFX Options on NFX RBOB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F18">
        <w:rPr>
          <w:rFonts w:ascii="Times New Roman" w:eastAsia="Calibri" w:hAnsi="Times New Roman" w:cs="Times New Roman"/>
          <w:sz w:val="24"/>
          <w:szCs w:val="24"/>
        </w:rPr>
        <w:t>Gasoline Penultimate Financial Futures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(ROQ)</w:t>
      </w:r>
      <w:r w:rsidR="000D3824" w:rsidRPr="002A6D1B">
        <w:rPr>
          <w:rFonts w:ascii="Times New Roman" w:eastAsia="Calibri" w:hAnsi="Times New Roman" w:cs="Times New Roman"/>
          <w:sz w:val="24"/>
          <w:szCs w:val="24"/>
        </w:rPr>
        <w:t>,</w:t>
      </w:r>
      <w:r w:rsidR="000D3824" w:rsidRPr="002A6D1B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>
        <w:rPr>
          <w:rFonts w:ascii="Times New Roman" w:eastAsia="Times New Roman" w:hAnsi="Times New Roman" w:cs="Times New Roman"/>
          <w:sz w:val="24"/>
          <w:szCs w:val="24"/>
        </w:rPr>
        <w:t>March 14</w:t>
      </w:r>
      <w:r w:rsidR="000D3824" w:rsidRPr="002A6D1B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3824" w:rsidRPr="002A6D1B">
        <w:rPr>
          <w:rFonts w:ascii="Times New Roman" w:eastAsia="Times New Roman" w:hAnsi="Times New Roman" w:cs="Times New Roman"/>
          <w:sz w:val="24"/>
          <w:szCs w:val="24"/>
        </w:rPr>
        <w:t xml:space="preserve"> for trade date </w:t>
      </w:r>
      <w:r>
        <w:rPr>
          <w:rFonts w:ascii="Times New Roman" w:eastAsia="Times New Roman" w:hAnsi="Times New Roman" w:cs="Times New Roman"/>
          <w:sz w:val="24"/>
          <w:szCs w:val="24"/>
        </w:rPr>
        <w:t>March 15, 2017</w:t>
      </w:r>
      <w:r w:rsidR="00916A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3824" w:rsidRPr="002A6D1B">
        <w:rPr>
          <w:rFonts w:ascii="Times New Roman" w:eastAsia="Times New Roman" w:hAnsi="Times New Roman" w:cs="Times New Roman"/>
          <w:sz w:val="24"/>
          <w:szCs w:val="24"/>
        </w:rPr>
        <w:t xml:space="preserve"> commencing with the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January 2017 </w:t>
      </w:r>
      <w:r w:rsidR="000D3824" w:rsidRPr="002A6D1B">
        <w:rPr>
          <w:rFonts w:ascii="Times New Roman" w:eastAsia="Times New Roman" w:hAnsi="Times New Roman" w:cs="Times New Roman"/>
          <w:sz w:val="24"/>
          <w:szCs w:val="24"/>
        </w:rPr>
        <w:t xml:space="preserve">contract month. </w:t>
      </w:r>
      <w:r w:rsidR="002A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824" w:rsidRPr="002A6D1B">
        <w:rPr>
          <w:rFonts w:ascii="Times New Roman" w:eastAsia="Times New Roman" w:hAnsi="Times New Roman" w:cs="Times New Roman"/>
          <w:sz w:val="24"/>
          <w:szCs w:val="24"/>
        </w:rPr>
        <w:t>The trading months for the new contracts, which were previ</w:t>
      </w:r>
      <w:r w:rsidR="000D3824" w:rsidRPr="000D3824">
        <w:rPr>
          <w:rFonts w:ascii="Times New Roman" w:eastAsia="Times New Roman" w:hAnsi="Times New Roman" w:cs="Times New Roman"/>
          <w:sz w:val="24"/>
          <w:szCs w:val="24"/>
        </w:rPr>
        <w:t>ously certified pursuant to Co</w:t>
      </w:r>
      <w:bookmarkStart w:id="0" w:name="_GoBack"/>
      <w:bookmarkEnd w:id="0"/>
      <w:r w:rsidR="000D3824" w:rsidRPr="000D3824">
        <w:rPr>
          <w:rFonts w:ascii="Times New Roman" w:eastAsia="Times New Roman" w:hAnsi="Times New Roman" w:cs="Times New Roman"/>
          <w:sz w:val="24"/>
          <w:szCs w:val="24"/>
        </w:rPr>
        <w:t xml:space="preserve">mmission Rule 40.2 on </w:t>
      </w:r>
      <w:r>
        <w:rPr>
          <w:rFonts w:ascii="Times New Roman" w:eastAsia="Times New Roman" w:hAnsi="Times New Roman" w:cs="Times New Roman"/>
          <w:sz w:val="24"/>
          <w:szCs w:val="24"/>
        </w:rPr>
        <w:t>February 21</w:t>
      </w:r>
      <w:r w:rsidR="000D3824" w:rsidRPr="000D3824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3824" w:rsidRPr="000D3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3824" w:rsidRPr="000D382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0D3824" w:rsidRPr="000D3824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="000D3824" w:rsidRPr="000D38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A78CE9" w14:textId="77777777" w:rsidR="00A03BA1" w:rsidRDefault="00A03BA1" w:rsidP="00700F1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AD5CE57" w14:textId="77777777" w:rsidR="00A03BA1" w:rsidRDefault="00A03BA1" w:rsidP="00700F1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8"/>
        <w:gridCol w:w="3098"/>
        <w:gridCol w:w="801"/>
        <w:gridCol w:w="1757"/>
        <w:gridCol w:w="1912"/>
      </w:tblGrid>
      <w:tr w:rsidR="00A03BA1" w14:paraId="71A2CCAF" w14:textId="77777777" w:rsidTr="00A03B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1C6714" w14:textId="77777777" w:rsidR="00A03BA1" w:rsidRDefault="00A03BA1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Rulebook Appendix A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Chapter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AB28E7" w14:textId="77777777" w:rsidR="00A03BA1" w:rsidRDefault="00A03BA1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Name of Energy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 xml:space="preserve">Contract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4D206D" w14:textId="77777777" w:rsidR="00A03BA1" w:rsidRDefault="00A03BA1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E1CED7" w14:textId="77777777" w:rsidR="00A03BA1" w:rsidRDefault="00A03BA1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Number of Contract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Months Listed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C8CE65" w14:textId="77777777" w:rsidR="00A03BA1" w:rsidRDefault="00A03BA1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First and Last Months</w:t>
            </w:r>
          </w:p>
        </w:tc>
      </w:tr>
      <w:tr w:rsidR="00A03BA1" w14:paraId="501D8B7A" w14:textId="77777777" w:rsidTr="00A03B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93472B" w14:textId="77777777" w:rsidR="00A03BA1" w:rsidRDefault="00A03BA1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106C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1DFE2E" w14:textId="77777777" w:rsidR="00A03BA1" w:rsidRDefault="00A03BA1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NFX Options on NFX Heating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Oil Penultimate Financial Futures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AD2871" w14:textId="77777777" w:rsidR="00A03BA1" w:rsidRDefault="00A03BA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OOQ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F548F3" w14:textId="77777777" w:rsidR="00A03BA1" w:rsidRDefault="00A03BA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FC5A36" w14:textId="77777777" w:rsidR="00A03BA1" w:rsidRDefault="00A03BA1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Apr. 2017, Dec. 2018</w:t>
            </w:r>
          </w:p>
        </w:tc>
      </w:tr>
      <w:tr w:rsidR="00A03BA1" w14:paraId="615FDD3E" w14:textId="77777777" w:rsidTr="00A03B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7CBA90" w14:textId="77777777" w:rsidR="00A03BA1" w:rsidRDefault="00A03BA1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107D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0DE7BB" w14:textId="77777777" w:rsidR="00A03BA1" w:rsidRDefault="00A03BA1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NFX Options on NFX RBOB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Gasoline Penultimate Financial Futures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7F9401" w14:textId="77777777" w:rsidR="00A03BA1" w:rsidRDefault="00A03BA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ROQ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5D9E23" w14:textId="77777777" w:rsidR="00A03BA1" w:rsidRDefault="00A03BA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889243" w14:textId="77777777" w:rsidR="00A03BA1" w:rsidRDefault="00A03BA1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Apr. 2017, Dec. 2018</w:t>
            </w:r>
          </w:p>
        </w:tc>
      </w:tr>
    </w:tbl>
    <w:p w14:paraId="24066C18" w14:textId="77777777" w:rsidR="002A6D1B" w:rsidRPr="002A6D1B" w:rsidRDefault="002A6D1B" w:rsidP="002A6D1B">
      <w:pPr>
        <w:pStyle w:val="NoSpacing"/>
        <w:ind w:firstLine="1310"/>
        <w:rPr>
          <w:rFonts w:ascii="Arial" w:hAnsi="Arial" w:cs="Arial"/>
          <w:sz w:val="18"/>
          <w:szCs w:val="18"/>
        </w:rPr>
      </w:pPr>
    </w:p>
    <w:p w14:paraId="46B13270" w14:textId="77777777" w:rsidR="002B56C0" w:rsidRPr="00224146" w:rsidRDefault="002B56C0" w:rsidP="002B56C0">
      <w:pPr>
        <w:pStyle w:val="PlainText"/>
        <w:ind w:firstLine="1310"/>
        <w:rPr>
          <w:rFonts w:ascii="Times New Roman" w:hAnsi="Times New Roman"/>
          <w:sz w:val="24"/>
          <w:szCs w:val="24"/>
        </w:rPr>
      </w:pPr>
    </w:p>
    <w:p w14:paraId="16E8D512" w14:textId="6A1D23A1" w:rsidR="002B56C0" w:rsidRPr="0013104F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Aravind 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C26B7B">
        <w:rPr>
          <w:rFonts w:ascii="Times New Roman" w:hAnsi="Times New Roman" w:cs="Times New Roman"/>
          <w:sz w:val="24"/>
          <w:szCs w:val="24"/>
        </w:rPr>
        <w:t>Please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refer to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SR-NFX-201</w:t>
      </w:r>
      <w:r w:rsidR="00A03BA1">
        <w:rPr>
          <w:rFonts w:ascii="Times New Roman" w:hAnsi="Times New Roman" w:cs="Times New Roman"/>
          <w:sz w:val="24"/>
          <w:szCs w:val="24"/>
        </w:rPr>
        <w:t>7</w:t>
      </w:r>
      <w:r w:rsidRPr="00C26B7B">
        <w:rPr>
          <w:rFonts w:ascii="Times New Roman" w:hAnsi="Times New Roman" w:cs="Times New Roman"/>
          <w:sz w:val="24"/>
          <w:szCs w:val="24"/>
        </w:rPr>
        <w:t>-</w:t>
      </w:r>
      <w:r w:rsidR="00916A83">
        <w:rPr>
          <w:rFonts w:ascii="Times New Roman" w:hAnsi="Times New Roman" w:cs="Times New Roman"/>
          <w:sz w:val="24"/>
          <w:szCs w:val="24"/>
        </w:rPr>
        <w:t>0</w:t>
      </w:r>
      <w:r w:rsidR="00A03BA1">
        <w:rPr>
          <w:rFonts w:ascii="Times New Roman" w:hAnsi="Times New Roman" w:cs="Times New Roman"/>
          <w:sz w:val="24"/>
          <w:szCs w:val="24"/>
        </w:rPr>
        <w:t>9</w:t>
      </w:r>
      <w:r w:rsidR="007C4348">
        <w:rPr>
          <w:rFonts w:ascii="Times New Roman" w:hAnsi="Times New Roman" w:cs="Times New Roman"/>
          <w:sz w:val="24"/>
          <w:szCs w:val="24"/>
        </w:rPr>
        <w:t xml:space="preserve"> </w:t>
      </w:r>
      <w:r w:rsidRPr="00C26B7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D42D9F8" w14:textId="77777777" w:rsidR="002B56C0" w:rsidRPr="0013104F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08B0F569" w14:textId="77777777"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21AC14" wp14:editId="7DD364E9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C3696E" w14:textId="77777777"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6EB061D9" w14:textId="77777777" w:rsidR="002B56C0" w:rsidRPr="0013104F" w:rsidRDefault="002B56C0" w:rsidP="002B56C0">
      <w:pPr>
        <w:pStyle w:val="NoSpacing"/>
        <w:keepNext/>
        <w:ind w:left="2880" w:firstLine="720"/>
        <w:rPr>
          <w:rFonts w:ascii="Times New Roman" w:hAnsi="Times New Roman"/>
          <w:sz w:val="24"/>
        </w:rPr>
      </w:pPr>
    </w:p>
    <w:p w14:paraId="7FA6A735" w14:textId="77777777"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7699351" w14:textId="77777777"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14:paraId="68455607" w14:textId="77777777"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President</w:t>
      </w:r>
    </w:p>
    <w:p w14:paraId="47022EF2" w14:textId="77777777"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9CFE30A" w14:textId="77777777"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745CA66" w14:textId="77777777" w:rsidR="004F4E47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Sect="005444C0">
      <w:headerReference w:type="default" r:id="rId13"/>
      <w:headerReference w:type="first" r:id="rId14"/>
      <w:footerReference w:type="first" r:id="rId15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48979" w14:textId="77777777" w:rsidR="00635337" w:rsidRDefault="00635337">
      <w:r>
        <w:separator/>
      </w:r>
    </w:p>
  </w:endnote>
  <w:endnote w:type="continuationSeparator" w:id="0">
    <w:p w14:paraId="05B98557" w14:textId="77777777" w:rsidR="00635337" w:rsidRDefault="0063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fontKey="{F4C0351C-A6F9-4139-9A99-C842E679F4C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EAD4" w14:textId="77777777"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B2029" w14:textId="77777777" w:rsidR="00635337" w:rsidRDefault="00635337">
      <w:r>
        <w:separator/>
      </w:r>
    </w:p>
  </w:footnote>
  <w:footnote w:type="continuationSeparator" w:id="0">
    <w:p w14:paraId="35D27FE7" w14:textId="77777777" w:rsidR="00635337" w:rsidRDefault="00635337">
      <w:r>
        <w:continuationSeparator/>
      </w:r>
    </w:p>
  </w:footnote>
  <w:footnote w:id="1">
    <w:p w14:paraId="5D46E7DD" w14:textId="77777777" w:rsidR="00606C40" w:rsidRPr="00224146" w:rsidRDefault="000D3824" w:rsidP="00606C40">
      <w:pPr>
        <w:pStyle w:val="PlainText"/>
        <w:rPr>
          <w:rFonts w:ascii="Times New Roman" w:eastAsia="Calibri" w:hAnsi="Times New Roman"/>
          <w:sz w:val="24"/>
          <w:szCs w:val="24"/>
        </w:rPr>
      </w:pPr>
      <w:r w:rsidRPr="006D3E2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6D3E2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D3E2B">
        <w:rPr>
          <w:rFonts w:ascii="Times New Roman" w:hAnsi="Times New Roman"/>
          <w:sz w:val="24"/>
          <w:szCs w:val="24"/>
        </w:rPr>
        <w:t>Available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E2B">
        <w:rPr>
          <w:rFonts w:ascii="Times New Roman" w:hAnsi="Times New Roman"/>
          <w:sz w:val="24"/>
          <w:szCs w:val="24"/>
        </w:rPr>
        <w:t xml:space="preserve">on the NFX website </w:t>
      </w:r>
      <w:r w:rsidRPr="00E31761">
        <w:rPr>
          <w:rFonts w:ascii="Times New Roman" w:hAnsi="Times New Roman"/>
          <w:sz w:val="24"/>
          <w:szCs w:val="24"/>
        </w:rPr>
        <w:t>at</w:t>
      </w:r>
      <w:r w:rsidR="00606C40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="00606C40" w:rsidRPr="00224146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="00606C40" w:rsidRPr="00224146">
        <w:rPr>
          <w:rFonts w:ascii="Times New Roman" w:hAnsi="Times New Roman"/>
          <w:sz w:val="24"/>
          <w:szCs w:val="24"/>
        </w:rPr>
        <w:t>.</w:t>
      </w:r>
    </w:p>
    <w:p w14:paraId="0BA900E1" w14:textId="77777777" w:rsidR="000D3824" w:rsidRPr="00E31761" w:rsidRDefault="000D3824" w:rsidP="000D3824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6D935CAD" w14:textId="4F27609B" w:rsidR="000D3824" w:rsidRPr="00F10492" w:rsidRDefault="000D3824" w:rsidP="000D382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10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10492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492">
        <w:rPr>
          <w:rFonts w:ascii="Times New Roman" w:hAnsi="Times New Roman" w:cs="Times New Roman"/>
          <w:sz w:val="24"/>
          <w:szCs w:val="24"/>
          <w:u w:val="single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SR-NFX-201</w:t>
      </w:r>
      <w:r w:rsidR="00700F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0F18">
        <w:rPr>
          <w:rFonts w:ascii="Times New Roman" w:hAnsi="Times New Roman" w:cs="Times New Roman"/>
          <w:sz w:val="24"/>
          <w:szCs w:val="24"/>
        </w:rPr>
        <w:t>03</w:t>
      </w:r>
      <w:r w:rsidRPr="00F1049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5CBF" w14:textId="77777777"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119F7691" w14:textId="77777777"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F3484">
      <w:rPr>
        <w:rFonts w:ascii="Times New Roman" w:hAnsi="Times New Roman" w:cs="Times New Roman"/>
        <w:noProof/>
        <w:sz w:val="20"/>
        <w:szCs w:val="20"/>
      </w:rPr>
      <w:t>March 16,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62599497" w14:textId="5DB6A3EB"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A03BA1">
      <w:rPr>
        <w:rFonts w:ascii="Times New Roman" w:hAnsi="Times New Roman" w:cs="Times New Roman"/>
        <w:sz w:val="20"/>
        <w:szCs w:val="20"/>
      </w:rPr>
      <w:t>7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916A83">
      <w:rPr>
        <w:rFonts w:ascii="Times New Roman" w:hAnsi="Times New Roman" w:cs="Times New Roman"/>
        <w:sz w:val="20"/>
        <w:szCs w:val="20"/>
      </w:rPr>
      <w:t>0</w:t>
    </w:r>
    <w:r w:rsidR="00A03BA1">
      <w:rPr>
        <w:rFonts w:ascii="Times New Roman" w:hAnsi="Times New Roman" w:cs="Times New Roman"/>
        <w:sz w:val="20"/>
        <w:szCs w:val="20"/>
      </w:rPr>
      <w:t>9</w:t>
    </w:r>
  </w:p>
  <w:p w14:paraId="21A64930" w14:textId="77777777"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7F3484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0352723C" w14:textId="77777777"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6178" w14:textId="77777777" w:rsidR="001B6ADA" w:rsidRDefault="001B6ADA">
    <w:pPr>
      <w:spacing w:after="960"/>
    </w:pPr>
  </w:p>
  <w:p w14:paraId="7B7CFAAB" w14:textId="77777777"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14:paraId="04A96B06" w14:textId="77777777"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1900 Market Street</w:t>
    </w:r>
  </w:p>
  <w:p w14:paraId="727B6878" w14:textId="77777777"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19103 / USA</w:t>
    </w:r>
  </w:p>
  <w:p w14:paraId="0363B2A4" w14:textId="77777777"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70D673D4" wp14:editId="6E26840C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5" name="Picture 5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049A2"/>
    <w:rsid w:val="00004FC4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5F3F"/>
    <w:rsid w:val="000A0FF7"/>
    <w:rsid w:val="000A3874"/>
    <w:rsid w:val="000A762C"/>
    <w:rsid w:val="000B0B22"/>
    <w:rsid w:val="000B0F2E"/>
    <w:rsid w:val="000B5E2C"/>
    <w:rsid w:val="000D02B9"/>
    <w:rsid w:val="000D1939"/>
    <w:rsid w:val="000D3824"/>
    <w:rsid w:val="000D4A76"/>
    <w:rsid w:val="000D6BF4"/>
    <w:rsid w:val="000E7A11"/>
    <w:rsid w:val="000F3BC3"/>
    <w:rsid w:val="0011314A"/>
    <w:rsid w:val="001265C8"/>
    <w:rsid w:val="00135BE1"/>
    <w:rsid w:val="00153179"/>
    <w:rsid w:val="00165602"/>
    <w:rsid w:val="001746B9"/>
    <w:rsid w:val="0018088D"/>
    <w:rsid w:val="00197F73"/>
    <w:rsid w:val="001A2BBF"/>
    <w:rsid w:val="001B4FAC"/>
    <w:rsid w:val="001B6ADA"/>
    <w:rsid w:val="001C4306"/>
    <w:rsid w:val="001D02FB"/>
    <w:rsid w:val="001D4C1F"/>
    <w:rsid w:val="001E53F3"/>
    <w:rsid w:val="002230A7"/>
    <w:rsid w:val="00224146"/>
    <w:rsid w:val="00232FFF"/>
    <w:rsid w:val="0024176E"/>
    <w:rsid w:val="00242C21"/>
    <w:rsid w:val="00243744"/>
    <w:rsid w:val="00252BCC"/>
    <w:rsid w:val="00253B2F"/>
    <w:rsid w:val="00261A57"/>
    <w:rsid w:val="0027064A"/>
    <w:rsid w:val="00273392"/>
    <w:rsid w:val="00286B9C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C46F3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155D"/>
    <w:rsid w:val="004166F5"/>
    <w:rsid w:val="00417991"/>
    <w:rsid w:val="00420946"/>
    <w:rsid w:val="00425E24"/>
    <w:rsid w:val="00431328"/>
    <w:rsid w:val="004416D1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E0359"/>
    <w:rsid w:val="004E0D16"/>
    <w:rsid w:val="004F0491"/>
    <w:rsid w:val="004F42A5"/>
    <w:rsid w:val="004F4A5F"/>
    <w:rsid w:val="004F4E47"/>
    <w:rsid w:val="004F6A14"/>
    <w:rsid w:val="005101CA"/>
    <w:rsid w:val="005112E4"/>
    <w:rsid w:val="0051190A"/>
    <w:rsid w:val="00512F31"/>
    <w:rsid w:val="00514DC4"/>
    <w:rsid w:val="005179CB"/>
    <w:rsid w:val="00517EAC"/>
    <w:rsid w:val="00521FB4"/>
    <w:rsid w:val="00522259"/>
    <w:rsid w:val="00543FF5"/>
    <w:rsid w:val="005444C0"/>
    <w:rsid w:val="00550D5C"/>
    <w:rsid w:val="0055465F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26EB"/>
    <w:rsid w:val="00662BF1"/>
    <w:rsid w:val="00672BD3"/>
    <w:rsid w:val="00674E96"/>
    <w:rsid w:val="0067686C"/>
    <w:rsid w:val="00682E52"/>
    <w:rsid w:val="00687FED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6658"/>
    <w:rsid w:val="00746EFF"/>
    <w:rsid w:val="007525F5"/>
    <w:rsid w:val="00752A6A"/>
    <w:rsid w:val="0075745C"/>
    <w:rsid w:val="007667BD"/>
    <w:rsid w:val="007824A2"/>
    <w:rsid w:val="0079548F"/>
    <w:rsid w:val="00796FBD"/>
    <w:rsid w:val="007B39B4"/>
    <w:rsid w:val="007B4445"/>
    <w:rsid w:val="007C4348"/>
    <w:rsid w:val="007C6C99"/>
    <w:rsid w:val="007D48A6"/>
    <w:rsid w:val="007F3484"/>
    <w:rsid w:val="007F6B89"/>
    <w:rsid w:val="00803051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80D85"/>
    <w:rsid w:val="00896143"/>
    <w:rsid w:val="008A5035"/>
    <w:rsid w:val="008A6F33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B3774"/>
    <w:rsid w:val="009C7C2A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38E0"/>
    <w:rsid w:val="00A3596F"/>
    <w:rsid w:val="00A35B1F"/>
    <w:rsid w:val="00A3713A"/>
    <w:rsid w:val="00A43066"/>
    <w:rsid w:val="00A568CC"/>
    <w:rsid w:val="00A60EAF"/>
    <w:rsid w:val="00A62A66"/>
    <w:rsid w:val="00A85786"/>
    <w:rsid w:val="00A863E3"/>
    <w:rsid w:val="00A87D38"/>
    <w:rsid w:val="00A87F46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D2"/>
    <w:rsid w:val="00B75523"/>
    <w:rsid w:val="00B75AE0"/>
    <w:rsid w:val="00B817A8"/>
    <w:rsid w:val="00B8408C"/>
    <w:rsid w:val="00B90BF8"/>
    <w:rsid w:val="00B96E91"/>
    <w:rsid w:val="00BA7A8A"/>
    <w:rsid w:val="00BB1623"/>
    <w:rsid w:val="00BB22FB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6B7B"/>
    <w:rsid w:val="00C32763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A65E5"/>
    <w:rsid w:val="00CB1969"/>
    <w:rsid w:val="00CB2F87"/>
    <w:rsid w:val="00CB6A80"/>
    <w:rsid w:val="00CB7A5C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3780"/>
    <w:rsid w:val="00D86D6F"/>
    <w:rsid w:val="00D94689"/>
    <w:rsid w:val="00D97F5B"/>
    <w:rsid w:val="00DA1AFC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DDC"/>
    <w:rsid w:val="00E149BA"/>
    <w:rsid w:val="00E25247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B317B"/>
    <w:rsid w:val="00FB5305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3d0073"/>
    </o:shapedefaults>
    <o:shapelayout v:ext="edit">
      <o:idmap v:ext="edit" data="1"/>
    </o:shapelayout>
  </w:shapeDefaults>
  <w:decimalSymbol w:val="."/>
  <w:listSeparator w:val=","/>
  <w14:docId w14:val="6833C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c7dbe06b-7927-4142-a333-d00328483a4a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2017-03-16T20:30:13+00:00</Document_x0020_Date>
    <Document_x0020_No xmlns="4b47aac5-4c46-444f-8595-ce09b406fc61">29684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E0895-2CA3-4EBF-A73A-6A2686AC7EEA}"/>
</file>

<file path=customXml/itemProps2.xml><?xml version="1.0" encoding="utf-8"?>
<ds:datastoreItem xmlns:ds="http://schemas.openxmlformats.org/officeDocument/2006/customXml" ds:itemID="{E6B378F4-CCAC-4795-9396-EEA581187F17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B5651ECF-BAC3-4408-88A2-3D39204EA7BE}"/>
</file>

<file path=customXml/itemProps5.xml><?xml version="1.0" encoding="utf-8"?>
<ds:datastoreItem xmlns:ds="http://schemas.openxmlformats.org/officeDocument/2006/customXml" ds:itemID="{B184A8EE-3483-42B9-B39C-FFC6B1B9097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</TotalTime>
  <Pages>2</Pages>
  <Words>275</Words>
  <Characters>1571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Rule Amendment</dc:title>
  <dc:creator>Shari Bradford</dc:creator>
  <cp:lastModifiedBy>Tosin Osoko</cp:lastModifiedBy>
  <cp:revision>3</cp:revision>
  <cp:lastPrinted>2017-03-16T18:48:00Z</cp:lastPrinted>
  <dcterms:created xsi:type="dcterms:W3CDTF">2017-03-16T20:18:00Z</dcterms:created>
  <dcterms:modified xsi:type="dcterms:W3CDTF">2017-03-16T20:25:00Z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3576000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