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6B1EE4"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March </w:t>
      </w:r>
      <w:r w:rsidR="00085409">
        <w:rPr>
          <w:rFonts w:ascii="Times New Roman" w:eastAsia="Calibri" w:hAnsi="Times New Roman" w:cs="Times New Roman"/>
          <w:sz w:val="24"/>
          <w:szCs w:val="24"/>
        </w:rPr>
        <w:t>21</w:t>
      </w:r>
      <w:r w:rsidR="005101CA">
        <w:rPr>
          <w:rFonts w:ascii="Times New Roman" w:eastAsia="Calibri" w:hAnsi="Times New Roman" w:cs="Times New Roman"/>
          <w:sz w:val="24"/>
          <w:szCs w:val="24"/>
        </w:rPr>
        <w:t>, 201</w:t>
      </w:r>
      <w:r>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EE4C74" w:rsidRDefault="005101CA"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E4C74">
        <w:rPr>
          <w:rFonts w:ascii="Times New Roman" w:eastAsia="Calibri" w:hAnsi="Times New Roman" w:cs="Times New Roman"/>
          <w:b/>
          <w:sz w:val="24"/>
          <w:szCs w:val="24"/>
        </w:rPr>
        <w:t>a</w:t>
      </w:r>
      <w:r w:rsidR="003C10BE">
        <w:rPr>
          <w:rFonts w:ascii="Times New Roman" w:eastAsia="Calibri" w:hAnsi="Times New Roman" w:cs="Times New Roman"/>
          <w:b/>
          <w:sz w:val="24"/>
          <w:szCs w:val="24"/>
        </w:rPr>
        <w:t>n</w:t>
      </w:r>
    </w:p>
    <w:p w:rsidR="00566AD7" w:rsidRPr="00EE4C74"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3C10BE">
        <w:rPr>
          <w:rFonts w:ascii="Times New Roman" w:eastAsia="Calibri" w:hAnsi="Times New Roman" w:cs="Times New Roman"/>
          <w:b/>
          <w:sz w:val="24"/>
          <w:szCs w:val="24"/>
        </w:rPr>
        <w:t>Extension to the Energy DMM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6B1EE4">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085409">
        <w:rPr>
          <w:rFonts w:ascii="Times New Roman" w:eastAsia="Calibri" w:hAnsi="Times New Roman" w:cs="Times New Roman"/>
          <w:b/>
          <w:sz w:val="24"/>
          <w:szCs w:val="24"/>
          <w:u w:val="single"/>
        </w:rPr>
        <w:t>10</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EE4C74" w:rsidRPr="00043462" w:rsidRDefault="00EE4C74" w:rsidP="00EE4C74">
      <w:pPr>
        <w:pStyle w:val="Default"/>
        <w:ind w:firstLine="1310"/>
      </w:pPr>
      <w:r w:rsidRPr="00043462">
        <w:t>Pursuant to Section 5c(c</w:t>
      </w:r>
      <w:proofErr w:type="gramStart"/>
      <w:r w:rsidRPr="00043462">
        <w:t>)(</w:t>
      </w:r>
      <w:proofErr w:type="gramEnd"/>
      <w:r w:rsidRPr="00043462">
        <w:t xml:space="preserve">1) of the Commodity Exchange Act, as amended (“Act”), and Section 40.6 of the Commission’s regulations thereunder, </w:t>
      </w:r>
      <w:r w:rsidR="00D26D36">
        <w:t>Nasdaq</w:t>
      </w:r>
      <w:r w:rsidR="00D26D36" w:rsidRPr="00043462">
        <w:t xml:space="preserve"> </w:t>
      </w:r>
      <w:r w:rsidRPr="00043462">
        <w:t xml:space="preserve">Futures, Inc. (“NFX” or “Exchange”) submits this self-certification </w:t>
      </w:r>
      <w:r w:rsidR="003C10BE">
        <w:t xml:space="preserve">to </w:t>
      </w:r>
      <w:r w:rsidR="003C10BE">
        <w:t>provide for a one-month extension of the</w:t>
      </w:r>
      <w:r w:rsidR="003C10BE">
        <w:rPr>
          <w:rFonts w:eastAsia="Calibri"/>
        </w:rPr>
        <w:t xml:space="preserve"> Designated Market Maker program (the “</w:t>
      </w:r>
      <w:r w:rsidR="003C10BE" w:rsidRPr="0065002E">
        <w:rPr>
          <w:rFonts w:eastAsia="Calibri"/>
          <w:u w:val="single"/>
        </w:rPr>
        <w:t xml:space="preserve">DMM </w:t>
      </w:r>
      <w:r w:rsidR="003C10BE" w:rsidRPr="008D3674">
        <w:rPr>
          <w:rFonts w:eastAsia="Calibri"/>
          <w:u w:val="single"/>
        </w:rPr>
        <w:t>Program</w:t>
      </w:r>
      <w:r w:rsidR="003C10BE">
        <w:rPr>
          <w:rFonts w:eastAsia="Calibri"/>
        </w:rPr>
        <w:t>”) for energy contracts that the Exchange has listed pursuant to Appendix A of the Exchange Rulebook (the “</w:t>
      </w:r>
      <w:r w:rsidR="003C10BE" w:rsidRPr="008D3674">
        <w:rPr>
          <w:rFonts w:eastAsia="Calibri"/>
          <w:u w:val="single"/>
        </w:rPr>
        <w:t>Energy Contracts</w:t>
      </w:r>
      <w:r w:rsidR="003C10BE">
        <w:rPr>
          <w:rFonts w:eastAsia="Calibri"/>
        </w:rPr>
        <w:t>”).</w:t>
      </w:r>
      <w:r w:rsidR="003C10BE">
        <w:rPr>
          <w:rStyle w:val="FootnoteReference"/>
          <w:rFonts w:eastAsia="Calibri"/>
        </w:rPr>
        <w:footnoteReference w:id="1"/>
      </w:r>
      <w:r w:rsidR="003C10BE" w:rsidRPr="00021A62">
        <w:rPr>
          <w:rFonts w:eastAsia="Calibri"/>
        </w:rPr>
        <w:t xml:space="preserve"> </w:t>
      </w:r>
      <w:r w:rsidR="003C10BE">
        <w:rPr>
          <w:rFonts w:eastAsia="Calibri"/>
        </w:rPr>
        <w:t xml:space="preserve"> The DMM Program will continue to employ the same terms and conditions</w:t>
      </w:r>
      <w:r w:rsidR="003C10BE">
        <w:rPr>
          <w:rStyle w:val="FootnoteReference"/>
          <w:rFonts w:eastAsia="Calibri"/>
        </w:rPr>
        <w:footnoteReference w:id="2"/>
      </w:r>
      <w:r w:rsidR="003C10BE">
        <w:rPr>
          <w:rFonts w:eastAsia="Calibri"/>
        </w:rPr>
        <w:t xml:space="preserve"> until its </w:t>
      </w:r>
      <w:r w:rsidR="0089796D">
        <w:rPr>
          <w:rFonts w:eastAsia="Calibri"/>
        </w:rPr>
        <w:t xml:space="preserve">new </w:t>
      </w:r>
      <w:bookmarkStart w:id="0" w:name="_GoBack"/>
      <w:bookmarkEnd w:id="0"/>
      <w:r w:rsidR="003C10BE">
        <w:rPr>
          <w:rFonts w:eastAsia="Calibri"/>
        </w:rPr>
        <w:t xml:space="preserve">expiration on </w:t>
      </w:r>
      <w:r w:rsidR="003C10BE">
        <w:rPr>
          <w:rFonts w:eastAsia="Calibri"/>
        </w:rPr>
        <w:t>April 30</w:t>
      </w:r>
      <w:r w:rsidR="003C10BE">
        <w:rPr>
          <w:rFonts w:eastAsia="Calibri"/>
        </w:rPr>
        <w:t>, 201</w:t>
      </w:r>
      <w:r w:rsidR="003C10BE">
        <w:rPr>
          <w:rFonts w:eastAsia="Calibri"/>
        </w:rPr>
        <w:t>9</w:t>
      </w:r>
      <w:r w:rsidR="003C10BE">
        <w:rPr>
          <w:rFonts w:eastAsia="Calibri"/>
        </w:rPr>
        <w:t xml:space="preserve">.  The Exchange will consult with NFX market participants and develop a new market maker program to begin on </w:t>
      </w:r>
      <w:r w:rsidR="003C10BE">
        <w:rPr>
          <w:rFonts w:eastAsia="Calibri"/>
        </w:rPr>
        <w:t>May 1</w:t>
      </w:r>
      <w:r w:rsidR="003C10BE">
        <w:rPr>
          <w:rFonts w:eastAsia="Calibri"/>
        </w:rPr>
        <w:t>, 201</w:t>
      </w:r>
      <w:r w:rsidR="003C10BE">
        <w:rPr>
          <w:rFonts w:eastAsia="Calibri"/>
        </w:rPr>
        <w:t>9</w:t>
      </w:r>
      <w:r w:rsidR="003C10BE">
        <w:rPr>
          <w:rFonts w:eastAsia="Calibri"/>
        </w:rPr>
        <w:t xml:space="preserve">.  </w:t>
      </w:r>
    </w:p>
    <w:p w:rsidR="00EE4C74" w:rsidRPr="00043462" w:rsidRDefault="00EE4C74" w:rsidP="00EE4C74">
      <w:pPr>
        <w:pStyle w:val="Default"/>
      </w:pPr>
    </w:p>
    <w:p w:rsidR="00EE4C74" w:rsidRPr="00043462" w:rsidRDefault="00EE4C74" w:rsidP="00EE4C74">
      <w:pPr>
        <w:pStyle w:val="Default"/>
        <w:ind w:firstLine="1310"/>
      </w:pPr>
      <w:r w:rsidRPr="00043462">
        <w:t xml:space="preserve">The Exchange believes </w:t>
      </w:r>
      <w:r>
        <w:t xml:space="preserve">that </w:t>
      </w:r>
      <w:r w:rsidRPr="00043462">
        <w:t>the DMM Program</w:t>
      </w:r>
      <w:r>
        <w:t xml:space="preserve"> complies</w:t>
      </w:r>
      <w:r w:rsidRPr="00043462">
        <w:t xml:space="preserve"> with Core Principle 4 (Monitoring of Trading), Core Principle 9 (Execution of Transactions) and Core Principle 12 (Protection of Market Participants). </w:t>
      </w:r>
      <w:r w:rsidR="00D26D36">
        <w:t xml:space="preserve"> </w:t>
      </w:r>
      <w:r w:rsidRPr="00043462">
        <w:t xml:space="preserve">The DMM Program will not impact order execution priority or otherwise give participants any execution preference or advantage. </w:t>
      </w:r>
      <w:r w:rsidR="00D26D36">
        <w:t xml:space="preserve"> </w:t>
      </w:r>
      <w:r w:rsidRPr="00043462">
        <w:t xml:space="preserve">The DMM Program will not impact the Exchange’s ability to perform its trade practice and market surveillance obligations under the Act and Exchange staff will monitor trading in the Program’s products to prevent manipulative trading and market abuse. </w:t>
      </w:r>
      <w:r w:rsidR="00D26D36">
        <w:t xml:space="preserve"> </w:t>
      </w:r>
      <w:r w:rsidRPr="00043462">
        <w:t xml:space="preserve">Additionally, the Exchange has systems to track </w:t>
      </w:r>
      <w:r>
        <w:t>p</w:t>
      </w:r>
      <w:r w:rsidRPr="00043462">
        <w:t xml:space="preserve">rogram participants’ volume to ensure proper distribution of earned incentives. </w:t>
      </w:r>
      <w:r w:rsidR="00D26D36">
        <w:t xml:space="preserve"> </w:t>
      </w:r>
      <w:r w:rsidRPr="00043462">
        <w:t xml:space="preserve">Finally, NFX rules include prohibitions against fraudulent, non-competitive, unfair or abusive practices.  </w:t>
      </w:r>
    </w:p>
    <w:p w:rsidR="00EE4C74" w:rsidRPr="00043462" w:rsidRDefault="00EE4C74" w:rsidP="00EE4C74">
      <w:pPr>
        <w:pStyle w:val="Default"/>
        <w:rPr>
          <w:color w:val="auto"/>
        </w:rPr>
      </w:pPr>
    </w:p>
    <w:p w:rsidR="00EE4C74" w:rsidRPr="00043462" w:rsidRDefault="00EE4C74" w:rsidP="00EE4C74">
      <w:pPr>
        <w:pStyle w:val="NoSpacing"/>
        <w:ind w:firstLine="1310"/>
        <w:rPr>
          <w:rFonts w:ascii="Times New Roman" w:eastAsia="Times New Roman" w:hAnsi="Times New Roman" w:cs="Times New Roman"/>
          <w:sz w:val="24"/>
          <w:szCs w:val="24"/>
        </w:rPr>
      </w:pPr>
      <w:r w:rsidRPr="00043462">
        <w:rPr>
          <w:rFonts w:ascii="Times New Roman" w:hAnsi="Times New Roman" w:cs="Times New Roman"/>
          <w:sz w:val="24"/>
          <w:szCs w:val="24"/>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043462">
          <w:rPr>
            <w:rStyle w:val="Hyperlink"/>
            <w:rFonts w:ascii="Times New Roman" w:hAnsi="Times New Roman" w:cs="Times New Roman"/>
            <w:sz w:val="24"/>
            <w:szCs w:val="24"/>
          </w:rPr>
          <w:t>business.nasdaq.com/futures</w:t>
        </w:r>
      </w:hyperlink>
      <w:r w:rsidRPr="00043462">
        <w:rPr>
          <w:rFonts w:ascii="Times New Roman" w:hAnsi="Times New Roman" w:cs="Times New Roman"/>
          <w:sz w:val="24"/>
          <w:szCs w:val="24"/>
        </w:rPr>
        <w:t xml:space="preserve">. </w:t>
      </w:r>
    </w:p>
    <w:p w:rsidR="00755A05" w:rsidRDefault="00755A05" w:rsidP="00755A05">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3C10BE" w:rsidP="001615F2">
      <w:pPr>
        <w:pStyle w:val="PlainText"/>
        <w:ind w:firstLine="1310"/>
        <w:rPr>
          <w:rFonts w:ascii="Times New Roman" w:eastAsia="Calibri" w:hAnsi="Times New Roman"/>
          <w:sz w:val="24"/>
          <w:szCs w:val="24"/>
        </w:rPr>
      </w:pPr>
      <w:r w:rsidRPr="00D06205">
        <w:rPr>
          <w:rFonts w:ascii="Times New Roman" w:hAnsi="Times New Roman"/>
          <w:sz w:val="24"/>
          <w:szCs w:val="24"/>
        </w:rPr>
        <w:t>The Exchange reviewed the designated contract market core principles (“</w:t>
      </w:r>
      <w:r w:rsidRPr="00D06205">
        <w:rPr>
          <w:rFonts w:ascii="Times New Roman" w:hAnsi="Times New Roman"/>
          <w:sz w:val="24"/>
          <w:szCs w:val="24"/>
          <w:u w:val="single"/>
        </w:rPr>
        <w:t>Core Principles</w:t>
      </w:r>
      <w:r w:rsidRPr="00D06205">
        <w:rPr>
          <w:rFonts w:ascii="Times New Roman" w:hAnsi="Times New Roman"/>
          <w:sz w:val="24"/>
          <w:szCs w:val="24"/>
        </w:rPr>
        <w:t>”) as set forth in the Act in connection with the launch of the DMM program.  The amendment contained in this certification is minor and does not impact operation of the DMM program</w:t>
      </w:r>
      <w:r>
        <w:rPr>
          <w:rFonts w:ascii="Times New Roman" w:hAnsi="Times New Roman"/>
          <w:sz w:val="24"/>
          <w:szCs w:val="24"/>
        </w:rPr>
        <w:t xml:space="preserve"> nor NFX’s analysis of the Core Principles</w:t>
      </w:r>
      <w:r>
        <w:rPr>
          <w:rFonts w:ascii="Times New Roman" w:hAnsi="Times New Roman"/>
          <w:sz w:val="24"/>
          <w:szCs w:val="24"/>
        </w:rPr>
        <w:t xml:space="preserve">.  </w:t>
      </w:r>
      <w:r w:rsidR="001615F2" w:rsidRPr="0013104F">
        <w:rPr>
          <w:rFonts w:ascii="Times New Roman" w:hAnsi="Times New Roman"/>
          <w:sz w:val="24"/>
          <w:szCs w:val="23"/>
        </w:rPr>
        <w:t xml:space="preserve">There were no opposing views among NFX’s Board of Directors, members or market participants. </w:t>
      </w:r>
      <w:r w:rsidR="001615F2">
        <w:rPr>
          <w:rFonts w:ascii="Times New Roman" w:hAnsi="Times New Roman"/>
          <w:sz w:val="24"/>
          <w:szCs w:val="23"/>
        </w:rPr>
        <w:t xml:space="preserve"> </w:t>
      </w:r>
      <w:r w:rsidR="001615F2" w:rsidRPr="0013104F">
        <w:rPr>
          <w:rFonts w:ascii="Times New Roman" w:hAnsi="Times New Roman"/>
          <w:sz w:val="24"/>
          <w:szCs w:val="23"/>
        </w:rPr>
        <w:t xml:space="preserve">The Exchange hereby certifies that the </w:t>
      </w:r>
      <w:r w:rsidR="00C36D24">
        <w:rPr>
          <w:rFonts w:ascii="Times New Roman" w:hAnsi="Times New Roman"/>
          <w:sz w:val="24"/>
          <w:szCs w:val="23"/>
        </w:rPr>
        <w:t>amendments to the fee schedule</w:t>
      </w:r>
      <w:r w:rsidR="001615F2" w:rsidRPr="0013104F">
        <w:rPr>
          <w:rFonts w:ascii="Times New Roman" w:hAnsi="Times New Roman"/>
          <w:sz w:val="24"/>
          <w:szCs w:val="23"/>
        </w:rPr>
        <w:t xml:space="preserve"> set forth herein compl</w:t>
      </w:r>
      <w:r w:rsidR="001615F2">
        <w:rPr>
          <w:rFonts w:ascii="Times New Roman" w:hAnsi="Times New Roman"/>
          <w:sz w:val="24"/>
          <w:szCs w:val="23"/>
        </w:rPr>
        <w:t>ies</w:t>
      </w:r>
      <w:r w:rsidR="001615F2" w:rsidRPr="0013104F">
        <w:rPr>
          <w:rFonts w:ascii="Times New Roman" w:hAnsi="Times New Roman"/>
          <w:sz w:val="24"/>
          <w:szCs w:val="23"/>
        </w:rPr>
        <w:t xml:space="preserve"> with the Act and the Commission’s regulations thereunder. </w:t>
      </w:r>
      <w:r w:rsidR="001615F2">
        <w:rPr>
          <w:rFonts w:ascii="Times New Roman" w:hAnsi="Times New Roman"/>
          <w:sz w:val="24"/>
          <w:szCs w:val="23"/>
        </w:rPr>
        <w:t xml:space="preserve"> </w:t>
      </w:r>
      <w:r w:rsidR="001615F2"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sidR="001615F2">
          <w:rPr>
            <w:rStyle w:val="Hyperlink"/>
            <w:rFonts w:ascii="Times New Roman" w:hAnsi="Times New Roman"/>
            <w:sz w:val="24"/>
          </w:rPr>
          <w:t>business.nasdaq.com/futures</w:t>
        </w:r>
      </w:hyperlink>
      <w:r w:rsidR="001615F2"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2B56C0" w:rsidRPr="0013104F" w:rsidRDefault="001615F2" w:rsidP="0066257B">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w:t>
      </w:r>
      <w:r w:rsidR="006B1EE4">
        <w:rPr>
          <w:rFonts w:ascii="Times New Roman" w:hAnsi="Times New Roman" w:cs="Times New Roman"/>
          <w:sz w:val="24"/>
          <w:szCs w:val="24"/>
        </w:rPr>
        <w:t>9</w:t>
      </w:r>
      <w:r w:rsidRPr="002B3578">
        <w:rPr>
          <w:rFonts w:ascii="Times New Roman" w:hAnsi="Times New Roman" w:cs="Times New Roman"/>
          <w:sz w:val="24"/>
          <w:szCs w:val="24"/>
        </w:rPr>
        <w:t>-</w:t>
      </w:r>
      <w:r w:rsidR="003C10BE">
        <w:rPr>
          <w:rFonts w:ascii="Times New Roman" w:hAnsi="Times New Roman" w:cs="Times New Roman"/>
          <w:sz w:val="24"/>
          <w:szCs w:val="24"/>
        </w:rPr>
        <w:t>10</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3C10BE">
      <w:pPr>
        <w:pStyle w:val="NoSpacing"/>
        <w:rPr>
          <w:rFonts w:ascii="Times New Roman" w:eastAsia="Calibri" w:hAnsi="Times New Roman" w:cs="Times New Roman"/>
          <w:sz w:val="24"/>
          <w:szCs w:val="24"/>
        </w:rPr>
      </w:pPr>
    </w:p>
    <w:sectPr w:rsidR="002B56C0" w:rsidRPr="0013104F"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A7" w:rsidRDefault="001E30A7">
      <w:r>
        <w:separator/>
      </w:r>
    </w:p>
  </w:endnote>
  <w:endnote w:type="continuationSeparator" w:id="0">
    <w:p w:rsidR="001E30A7" w:rsidRDefault="001E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fontKey="{8104BF6C-6152-47FA-BE2D-173FC11B8F74}"/>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A7" w:rsidRDefault="001E30A7">
      <w:r>
        <w:separator/>
      </w:r>
    </w:p>
  </w:footnote>
  <w:footnote w:type="continuationSeparator" w:id="0">
    <w:p w:rsidR="001E30A7" w:rsidRDefault="001E30A7">
      <w:r>
        <w:continuationSeparator/>
      </w:r>
    </w:p>
  </w:footnote>
  <w:footnote w:id="1">
    <w:p w:rsidR="003C10BE" w:rsidRDefault="003C10BE" w:rsidP="003C10BE">
      <w:pPr>
        <w:pStyle w:val="FootnoteText"/>
        <w:rPr>
          <w:rFonts w:ascii="Times New Roman" w:hAnsi="Times New Roman" w:cs="Times New Roman"/>
        </w:rPr>
      </w:pPr>
      <w:r w:rsidRPr="005C1A48">
        <w:rPr>
          <w:rStyle w:val="FootnoteReference"/>
          <w:rFonts w:ascii="Times New Roman" w:hAnsi="Times New Roman" w:cs="Times New Roman"/>
        </w:rPr>
        <w:footnoteRef/>
      </w:r>
      <w:r w:rsidRPr="009C04FC">
        <w:rPr>
          <w:rFonts w:ascii="Times New Roman" w:hAnsi="Times New Roman" w:cs="Times New Roman"/>
          <w:sz w:val="24"/>
          <w:szCs w:val="24"/>
        </w:rPr>
        <w:t xml:space="preserve"> </w:t>
      </w:r>
      <w:r w:rsidRPr="005C1A48">
        <w:rPr>
          <w:rFonts w:ascii="Times New Roman" w:hAnsi="Times New Roman" w:cs="Times New Roman"/>
          <w:u w:val="single"/>
        </w:rPr>
        <w:t>See</w:t>
      </w:r>
      <w:r w:rsidRPr="005C1A48">
        <w:rPr>
          <w:rFonts w:ascii="Times New Roman" w:hAnsi="Times New Roman" w:cs="Times New Roman"/>
        </w:rPr>
        <w:t xml:space="preserve"> </w:t>
      </w:r>
      <w:hyperlink r:id="rId1" w:history="1">
        <w:r w:rsidRPr="005C1A48">
          <w:rPr>
            <w:rFonts w:ascii="Times New Roman" w:hAnsi="Times New Roman" w:cs="Times New Roman"/>
          </w:rPr>
          <w:t>NFX Rulebook Appendix A – Listed Contracts</w:t>
        </w:r>
      </w:hyperlink>
    </w:p>
    <w:p w:rsidR="003C10BE" w:rsidRPr="005C1A48" w:rsidRDefault="003C10BE" w:rsidP="003C10BE">
      <w:pPr>
        <w:pStyle w:val="FootnoteText"/>
        <w:rPr>
          <w:rFonts w:ascii="Times New Roman" w:hAnsi="Times New Roman" w:cs="Times New Roman"/>
        </w:rPr>
      </w:pPr>
    </w:p>
  </w:footnote>
  <w:footnote w:id="2">
    <w:p w:rsidR="003C10BE" w:rsidRPr="00EB7219" w:rsidRDefault="003C10BE" w:rsidP="003C10BE">
      <w:pPr>
        <w:pStyle w:val="FootnoteText"/>
        <w:rPr>
          <w:rFonts w:ascii="Times New Roman" w:hAnsi="Times New Roman" w:cs="Times New Roman"/>
        </w:rPr>
      </w:pPr>
      <w:r w:rsidRPr="00EB7219">
        <w:rPr>
          <w:rStyle w:val="FootnoteReference"/>
          <w:rFonts w:ascii="Times New Roman" w:hAnsi="Times New Roman" w:cs="Times New Roman"/>
        </w:rPr>
        <w:footnoteRef/>
      </w:r>
      <w:r w:rsidRPr="00EB7219">
        <w:rPr>
          <w:rFonts w:ascii="Times New Roman" w:hAnsi="Times New Roman" w:cs="Times New Roman"/>
        </w:rPr>
        <w:t xml:space="preserve"> </w:t>
      </w:r>
      <w:r w:rsidRPr="003C10BE">
        <w:rPr>
          <w:rFonts w:ascii="Times New Roman" w:hAnsi="Times New Roman" w:cs="Times New Roman"/>
          <w:u w:val="single"/>
        </w:rPr>
        <w:t>See</w:t>
      </w:r>
      <w:r>
        <w:rPr>
          <w:rFonts w:ascii="Times New Roman" w:hAnsi="Times New Roman" w:cs="Times New Roman"/>
        </w:rPr>
        <w:t xml:space="preserve"> </w:t>
      </w:r>
      <w:r w:rsidRPr="00EB7219">
        <w:rPr>
          <w:rFonts w:ascii="Times New Roman" w:hAnsi="Times New Roman" w:cs="Times New Roman"/>
        </w:rPr>
        <w:t xml:space="preserve">Exhibit A </w:t>
      </w:r>
      <w:r w:rsidR="0089796D">
        <w:rPr>
          <w:rFonts w:ascii="Times New Roman" w:hAnsi="Times New Roman" w:cs="Times New Roman"/>
        </w:rPr>
        <w:t>of the original</w:t>
      </w:r>
      <w:r w:rsidRPr="00EB7219">
        <w:rPr>
          <w:rFonts w:ascii="Times New Roman" w:hAnsi="Times New Roman" w:cs="Times New Roman"/>
        </w:rPr>
        <w:t xml:space="preserve"> filing</w:t>
      </w:r>
      <w:r>
        <w:rPr>
          <w:rFonts w:ascii="Times New Roman" w:hAnsi="Times New Roman" w:cs="Times New Roman"/>
        </w:rPr>
        <w:t>,</w:t>
      </w:r>
      <w:r w:rsidRPr="00EB7219">
        <w:rPr>
          <w:rFonts w:ascii="Times New Roman" w:hAnsi="Times New Roman" w:cs="Times New Roman"/>
        </w:rPr>
        <w:t xml:space="preserve"> </w:t>
      </w:r>
      <w:r>
        <w:rPr>
          <w:rFonts w:ascii="Times New Roman" w:hAnsi="Times New Roman" w:cs="Times New Roman"/>
        </w:rPr>
        <w:t>SR-NFX-201</w:t>
      </w:r>
      <w:r w:rsidR="0089796D">
        <w:rPr>
          <w:rFonts w:ascii="Times New Roman" w:hAnsi="Times New Roman" w:cs="Times New Roman"/>
        </w:rPr>
        <w:t>8</w:t>
      </w:r>
      <w:r>
        <w:rPr>
          <w:rFonts w:ascii="Times New Roman" w:hAnsi="Times New Roman" w:cs="Times New Roman"/>
        </w:rPr>
        <w:t>-1</w:t>
      </w:r>
      <w:r w:rsidR="0089796D">
        <w:rPr>
          <w:rFonts w:ascii="Times New Roman" w:hAnsi="Times New Roman" w:cs="Times New Roman"/>
        </w:rPr>
        <w:t>5 (as amended by SR-NFX-2018-29)</w:t>
      </w:r>
      <w:r>
        <w:rPr>
          <w:rFonts w:ascii="Times New Roman" w:hAnsi="Times New Roman" w:cs="Times New Roman"/>
        </w:rPr>
        <w:t xml:space="preserve">, </w:t>
      </w:r>
      <w:r w:rsidRPr="00EB7219">
        <w:rPr>
          <w:rFonts w:ascii="Times New Roman" w:hAnsi="Times New Roman" w:cs="Times New Roman"/>
        </w:rPr>
        <w:t xml:space="preserve">detailing the terms and </w:t>
      </w:r>
      <w:r w:rsidR="0089796D">
        <w:rPr>
          <w:rFonts w:ascii="Times New Roman" w:hAnsi="Times New Roman" w:cs="Times New Roman"/>
        </w:rPr>
        <w:t>conditions of the DMM Program.</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B1EE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March </w:t>
    </w:r>
    <w:r w:rsidR="003C10BE">
      <w:rPr>
        <w:rFonts w:ascii="Times New Roman" w:hAnsi="Times New Roman" w:cs="Times New Roman"/>
        <w:sz w:val="20"/>
        <w:szCs w:val="20"/>
      </w:rPr>
      <w:t>21</w:t>
    </w:r>
    <w:r w:rsidR="00D9388D">
      <w:rPr>
        <w:rFonts w:ascii="Times New Roman" w:hAnsi="Times New Roman" w:cs="Times New Roman"/>
        <w:sz w:val="20"/>
        <w:szCs w:val="20"/>
      </w:rPr>
      <w:t>, 201</w:t>
    </w:r>
    <w:r>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6B1EE4">
      <w:rPr>
        <w:rFonts w:ascii="Times New Roman" w:hAnsi="Times New Roman" w:cs="Times New Roman"/>
        <w:sz w:val="20"/>
        <w:szCs w:val="20"/>
      </w:rPr>
      <w:t>9</w:t>
    </w:r>
    <w:r w:rsidR="00371610">
      <w:rPr>
        <w:rFonts w:ascii="Times New Roman" w:hAnsi="Times New Roman" w:cs="Times New Roman"/>
        <w:sz w:val="20"/>
        <w:szCs w:val="20"/>
      </w:rPr>
      <w:t>-</w:t>
    </w:r>
    <w:r w:rsidR="003C10BE">
      <w:rPr>
        <w:rFonts w:ascii="Times New Roman" w:hAnsi="Times New Roman" w:cs="Times New Roman"/>
        <w:sz w:val="20"/>
        <w:szCs w:val="20"/>
      </w:rPr>
      <w:t>10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D0C31">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73F"/>
    <w:rsid w:val="00043BF8"/>
    <w:rsid w:val="000467B2"/>
    <w:rsid w:val="00051023"/>
    <w:rsid w:val="00053DDB"/>
    <w:rsid w:val="00054E16"/>
    <w:rsid w:val="000718CD"/>
    <w:rsid w:val="000764FA"/>
    <w:rsid w:val="00085409"/>
    <w:rsid w:val="00091E20"/>
    <w:rsid w:val="00095F3F"/>
    <w:rsid w:val="000A0FF7"/>
    <w:rsid w:val="000A3874"/>
    <w:rsid w:val="000A7F25"/>
    <w:rsid w:val="000B0B22"/>
    <w:rsid w:val="000B0F2E"/>
    <w:rsid w:val="000B5E2C"/>
    <w:rsid w:val="000C579C"/>
    <w:rsid w:val="000D02B9"/>
    <w:rsid w:val="000D1939"/>
    <w:rsid w:val="000D4A76"/>
    <w:rsid w:val="000D6BF4"/>
    <w:rsid w:val="000E23FC"/>
    <w:rsid w:val="000F3BC3"/>
    <w:rsid w:val="00124AE5"/>
    <w:rsid w:val="001265C8"/>
    <w:rsid w:val="00135BE1"/>
    <w:rsid w:val="00153179"/>
    <w:rsid w:val="001615F2"/>
    <w:rsid w:val="001746B9"/>
    <w:rsid w:val="00177BCC"/>
    <w:rsid w:val="0018088D"/>
    <w:rsid w:val="00197F73"/>
    <w:rsid w:val="001B6ADA"/>
    <w:rsid w:val="001C4306"/>
    <w:rsid w:val="001C47C6"/>
    <w:rsid w:val="001D0916"/>
    <w:rsid w:val="001D2940"/>
    <w:rsid w:val="001D4C1F"/>
    <w:rsid w:val="001E30A7"/>
    <w:rsid w:val="001E53F3"/>
    <w:rsid w:val="001F20FA"/>
    <w:rsid w:val="00210AE7"/>
    <w:rsid w:val="002230A7"/>
    <w:rsid w:val="00232FFF"/>
    <w:rsid w:val="00233A2D"/>
    <w:rsid w:val="00242C21"/>
    <w:rsid w:val="00243744"/>
    <w:rsid w:val="0024703B"/>
    <w:rsid w:val="00252BCC"/>
    <w:rsid w:val="00261A57"/>
    <w:rsid w:val="0026668C"/>
    <w:rsid w:val="00273392"/>
    <w:rsid w:val="00297DB1"/>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3714"/>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962C7"/>
    <w:rsid w:val="003A1E6B"/>
    <w:rsid w:val="003B3012"/>
    <w:rsid w:val="003C10BE"/>
    <w:rsid w:val="003D071F"/>
    <w:rsid w:val="003D65F8"/>
    <w:rsid w:val="003D7D45"/>
    <w:rsid w:val="003E42E3"/>
    <w:rsid w:val="003F1332"/>
    <w:rsid w:val="003F5035"/>
    <w:rsid w:val="00400D58"/>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103C"/>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72BD3"/>
    <w:rsid w:val="00674E96"/>
    <w:rsid w:val="00682E52"/>
    <w:rsid w:val="00687FED"/>
    <w:rsid w:val="00692851"/>
    <w:rsid w:val="006974BA"/>
    <w:rsid w:val="006A23F0"/>
    <w:rsid w:val="006A2E0C"/>
    <w:rsid w:val="006A58E9"/>
    <w:rsid w:val="006A6FB4"/>
    <w:rsid w:val="006B1EE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4F8B"/>
    <w:rsid w:val="007667BD"/>
    <w:rsid w:val="007824A2"/>
    <w:rsid w:val="00792782"/>
    <w:rsid w:val="0079548F"/>
    <w:rsid w:val="00796FBD"/>
    <w:rsid w:val="007A3EEC"/>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94B8D"/>
    <w:rsid w:val="0089796D"/>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0A0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261D5"/>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A383E"/>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31E26"/>
    <w:rsid w:val="00C32D24"/>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26D36"/>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6428"/>
    <w:rsid w:val="00DB1B21"/>
    <w:rsid w:val="00DC305C"/>
    <w:rsid w:val="00DD389D"/>
    <w:rsid w:val="00E00A30"/>
    <w:rsid w:val="00E0574E"/>
    <w:rsid w:val="00E05D32"/>
    <w:rsid w:val="00E07DDC"/>
    <w:rsid w:val="00E10EC8"/>
    <w:rsid w:val="00E149BA"/>
    <w:rsid w:val="00E17F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B1436"/>
    <w:rsid w:val="00EC12B3"/>
    <w:rsid w:val="00EC1F98"/>
    <w:rsid w:val="00EC4E56"/>
    <w:rsid w:val="00EE0EE5"/>
    <w:rsid w:val="00EE4C74"/>
    <w:rsid w:val="00F06CCD"/>
    <w:rsid w:val="00F10F71"/>
    <w:rsid w:val="00F114E3"/>
    <w:rsid w:val="00F12343"/>
    <w:rsid w:val="00F16B3B"/>
    <w:rsid w:val="00F16EA3"/>
    <w:rsid w:val="00F17C44"/>
    <w:rsid w:val="00F240F8"/>
    <w:rsid w:val="00F255EE"/>
    <w:rsid w:val="00F25FF4"/>
    <w:rsid w:val="00F2689F"/>
    <w:rsid w:val="00F46C4F"/>
    <w:rsid w:val="00F535EB"/>
    <w:rsid w:val="00F609A9"/>
    <w:rsid w:val="00F731C4"/>
    <w:rsid w:val="00F9047B"/>
    <w:rsid w:val="00F978A6"/>
    <w:rsid w:val="00FB5305"/>
    <w:rsid w:val="00FC6574"/>
    <w:rsid w:val="00FC6D30"/>
    <w:rsid w:val="00FD0C31"/>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8A78BF0-F405-40C9-8F94-49DE09D2EBB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omxphlx.cchwallstreet.com/NASDAQOMXPHLX/NF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70aeb9ff-5070-4a1e-82cb-b0b661bdcb40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2019-03-21T20:35:17+00:00</Document_x0020_Date>
    <Document_x0020_No xmlns="4b47aac5-4c46-444f-8595-ce09b406fc61">47153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2.xml><?xml version="1.0" encoding="utf-8"?>
<ds:datastoreItem xmlns:ds="http://schemas.openxmlformats.org/officeDocument/2006/customXml" ds:itemID="{4C949A33-837C-4179-B4FF-3D390B2B5D42}"/>
</file>

<file path=customXml/itemProps3.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4.xml><?xml version="1.0" encoding="utf-8"?>
<ds:datastoreItem xmlns:ds="http://schemas.openxmlformats.org/officeDocument/2006/customXml" ds:itemID="{7C8EBE58-E034-4C94-9FCE-44C1C806D55D}">
  <ds:schemaRefs>
    <ds:schemaRef ds:uri="http://schemas.openxmlformats.org/officeDocument/2006/bibliography"/>
  </ds:schemaRefs>
</ds:datastoreItem>
</file>

<file path=customXml/itemProps5.xml><?xml version="1.0" encoding="utf-8"?>
<ds:datastoreItem xmlns:ds="http://schemas.openxmlformats.org/officeDocument/2006/customXml" ds:itemID="{030C90C3-2E6B-4896-88D2-DBDF5AB3BA36}"/>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2</Pages>
  <Words>500</Words>
  <Characters>2856</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Certifcation</dc:title>
  <dc:creator>Shari Bradford</dc:creator>
  <cp:lastModifiedBy>Steve Matthews</cp:lastModifiedBy>
  <cp:revision>4</cp:revision>
  <cp:lastPrinted>2016-04-01T15:42:00Z</cp:lastPrinted>
  <dcterms:created xsi:type="dcterms:W3CDTF">2019-03-21T17:16:00Z</dcterms:created>
  <dcterms:modified xsi:type="dcterms:W3CDTF">2019-03-21T17:26:00Z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Locations\Portal\Temp\34b7eed9-dd8e-4150-819d-ecf4b1b0f5c1\SR-NFX-2019-10 Rule Certification.docx</vt:lpwstr>
  </property>
  <property fmtid="{D5CDD505-2E9C-101B-9397-08002B2CF9AE}" pid="4" name="Order">
    <vt:r8>39200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