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27" w:rsidRPr="009B3C27" w:rsidRDefault="009B3C27" w:rsidP="009B3C27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011D">
        <w:rPr>
          <w:rFonts w:ascii="Times New Roman" w:hAnsi="Times New Roman" w:cs="Times New Roman"/>
          <w:b/>
          <w:sz w:val="24"/>
          <w:szCs w:val="24"/>
        </w:rPr>
        <w:tab/>
      </w:r>
    </w:p>
    <w:p w:rsidR="00D56E24" w:rsidRPr="0024552E" w:rsidRDefault="001F1434" w:rsidP="009B3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2E">
        <w:rPr>
          <w:rFonts w:ascii="Times New Roman" w:hAnsi="Times New Roman" w:cs="Times New Roman"/>
          <w:b/>
          <w:sz w:val="24"/>
          <w:szCs w:val="24"/>
          <w:u w:val="single"/>
        </w:rPr>
        <w:t>Exhibit 1</w:t>
      </w:r>
      <w:r w:rsidR="002642C8" w:rsidRPr="00245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SR-NFX-2016-</w:t>
      </w:r>
      <w:r w:rsidR="00714E05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</w:p>
    <w:p w:rsidR="0071376F" w:rsidRDefault="0071376F" w:rsidP="001F1434">
      <w:pPr>
        <w:rPr>
          <w:rFonts w:ascii="Times New Roman" w:hAnsi="Times New Roman" w:cs="Times New Roman"/>
          <w:sz w:val="24"/>
          <w:szCs w:val="24"/>
        </w:rPr>
      </w:pPr>
    </w:p>
    <w:p w:rsidR="001F1434" w:rsidRPr="003E128B" w:rsidRDefault="006D27FD" w:rsidP="001F1434">
      <w:pPr>
        <w:rPr>
          <w:rFonts w:ascii="Times New Roman" w:hAnsi="Times New Roman" w:cs="Times New Roman"/>
          <w:sz w:val="24"/>
          <w:szCs w:val="24"/>
        </w:rPr>
      </w:pPr>
      <w:r w:rsidRPr="003E128B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3E128B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3E128B">
        <w:rPr>
          <w:rFonts w:ascii="Times New Roman" w:hAnsi="Times New Roman" w:cs="Times New Roman"/>
          <w:sz w:val="24"/>
          <w:szCs w:val="24"/>
        </w:rPr>
        <w:t>.</w:t>
      </w:r>
    </w:p>
    <w:p w:rsidR="006D27FD" w:rsidRPr="003E128B" w:rsidRDefault="006D27FD" w:rsidP="006D2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28B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3E09B8" w:rsidRPr="007E6583" w:rsidRDefault="00072122" w:rsidP="003E09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x-policymanual-phlx-philabot_Aintro"/>
      <w:bookmarkStart w:id="2" w:name="chp_1_1_1_9_1"/>
      <w:bookmarkEnd w:id="1"/>
      <w:bookmarkEnd w:id="2"/>
      <w:r w:rsidRPr="007E6583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301.06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(b) Pursuant to Chapter V, Section III, the daily settlement price shall be set by exchange staff</w:t>
      </w:r>
      <w:r w:rsidRPr="0071376F">
        <w:rPr>
          <w:u w:val="single"/>
        </w:rPr>
        <w:t xml:space="preserve">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302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 xml:space="preserve">based on third-party broker quotes and </w:t>
      </w:r>
      <w:proofErr w:type="gramStart"/>
      <w:r w:rsidRPr="007E6583">
        <w:t>transactions</w:t>
      </w:r>
      <w:proofErr w:type="gramEnd"/>
      <w:r w:rsidRPr="007E6583">
        <w:t xml:space="preserve">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303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304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305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306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lastRenderedPageBreak/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1.06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lastRenderedPageBreak/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p w:rsidR="007E6583" w:rsidRPr="007E6583" w:rsidRDefault="007E6583" w:rsidP="007E6583">
      <w:pPr>
        <w:pStyle w:val="Heading5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7E6583">
        <w:rPr>
          <w:rFonts w:ascii="Times New Roman" w:hAnsi="Times New Roman" w:cs="Times New Roman"/>
          <w:b/>
          <w:color w:val="auto"/>
          <w:sz w:val="24"/>
          <w:szCs w:val="24"/>
        </w:rPr>
        <w:t>.06 Final and Daily Settlement and Settlement Prices</w:t>
      </w:r>
    </w:p>
    <w:p w:rsidR="007E6583" w:rsidRPr="007E6583" w:rsidRDefault="007E6583" w:rsidP="007E6583">
      <w:pPr>
        <w:pStyle w:val="ol-1"/>
        <w:ind w:left="480" w:hanging="240"/>
      </w:pPr>
      <w:r w:rsidRPr="007E6583">
        <w:t>(a) No change.</w:t>
      </w:r>
    </w:p>
    <w:p w:rsidR="007E6583" w:rsidRPr="007E6583" w:rsidRDefault="007E6583" w:rsidP="007E6583">
      <w:pPr>
        <w:pStyle w:val="ol-1"/>
        <w:ind w:left="480" w:hanging="240"/>
      </w:pPr>
      <w:r w:rsidRPr="007E6583">
        <w:t xml:space="preserve">(b) Pursuant to Chapter V, Section III, the daily settlement price shall be set by exchange staff </w:t>
      </w:r>
      <w:r w:rsidR="0071376F" w:rsidRPr="0071376F">
        <w:rPr>
          <w:color w:val="000000"/>
          <w:u w:val="single"/>
        </w:rPr>
        <w:t xml:space="preserve">by 5:45 PM EPT or as soon as practicable thereafter </w:t>
      </w:r>
      <w:r w:rsidRPr="007E6583">
        <w:t>based on third-party broker quotes and transactions as well as transactions executed on the Exchange.</w:t>
      </w:r>
    </w:p>
    <w:p w:rsidR="007E6583" w:rsidRDefault="007E6583" w:rsidP="007E6583">
      <w:pPr>
        <w:pStyle w:val="ol-1"/>
        <w:ind w:left="480" w:hanging="240"/>
      </w:pPr>
      <w:r w:rsidRPr="007E6583">
        <w:t xml:space="preserve">(c) – (d) No change. </w:t>
      </w:r>
    </w:p>
    <w:p w:rsidR="007E6583" w:rsidRPr="007E6583" w:rsidRDefault="007E6583" w:rsidP="007E6583">
      <w:pPr>
        <w:pStyle w:val="ol-1"/>
        <w:rPr>
          <w:bCs/>
        </w:rPr>
      </w:pPr>
      <w:r>
        <w:t xml:space="preserve">* * * * * </w:t>
      </w:r>
    </w:p>
    <w:sectPr w:rsidR="007E6583" w:rsidRPr="007E65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F4" w:rsidRDefault="00F711F4" w:rsidP="00AD239C">
      <w:pPr>
        <w:spacing w:after="0" w:line="240" w:lineRule="auto"/>
      </w:pPr>
      <w:r>
        <w:separator/>
      </w:r>
    </w:p>
  </w:endnote>
  <w:endnote w:type="continuationSeparator" w:id="0">
    <w:p w:rsidR="00F711F4" w:rsidRDefault="00F711F4" w:rsidP="00AD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309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1F4" w:rsidRDefault="00F71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1F4" w:rsidRDefault="00F7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F4" w:rsidRDefault="00F711F4" w:rsidP="00AD239C">
      <w:pPr>
        <w:spacing w:after="0" w:line="240" w:lineRule="auto"/>
      </w:pPr>
      <w:r>
        <w:separator/>
      </w:r>
    </w:p>
  </w:footnote>
  <w:footnote w:type="continuationSeparator" w:id="0">
    <w:p w:rsidR="00F711F4" w:rsidRDefault="00F711F4" w:rsidP="00AD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F26"/>
    <w:multiLevelType w:val="hybridMultilevel"/>
    <w:tmpl w:val="FDF2E6AC"/>
    <w:lvl w:ilvl="0" w:tplc="AF9EC8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00DA9"/>
    <w:multiLevelType w:val="hybridMultilevel"/>
    <w:tmpl w:val="19B6E428"/>
    <w:lvl w:ilvl="0" w:tplc="CD1C5292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21B15"/>
    <w:multiLevelType w:val="hybridMultilevel"/>
    <w:tmpl w:val="C3FE7C1A"/>
    <w:lvl w:ilvl="0" w:tplc="AF525BA2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64E"/>
    <w:multiLevelType w:val="hybridMultilevel"/>
    <w:tmpl w:val="FDB2411E"/>
    <w:lvl w:ilvl="0" w:tplc="023C31C0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4"/>
    <w:rsid w:val="0000393B"/>
    <w:rsid w:val="00012465"/>
    <w:rsid w:val="00037D06"/>
    <w:rsid w:val="0005205B"/>
    <w:rsid w:val="00064E7A"/>
    <w:rsid w:val="00067C02"/>
    <w:rsid w:val="00071F51"/>
    <w:rsid w:val="00072122"/>
    <w:rsid w:val="0009356F"/>
    <w:rsid w:val="000963EB"/>
    <w:rsid w:val="000B61B0"/>
    <w:rsid w:val="000D5A4D"/>
    <w:rsid w:val="000E399D"/>
    <w:rsid w:val="000F6F05"/>
    <w:rsid w:val="00102BED"/>
    <w:rsid w:val="001136F9"/>
    <w:rsid w:val="001179DE"/>
    <w:rsid w:val="001333F3"/>
    <w:rsid w:val="00150764"/>
    <w:rsid w:val="00164179"/>
    <w:rsid w:val="001659F7"/>
    <w:rsid w:val="0018388A"/>
    <w:rsid w:val="001842DB"/>
    <w:rsid w:val="00186FA3"/>
    <w:rsid w:val="001B4A73"/>
    <w:rsid w:val="001D58F6"/>
    <w:rsid w:val="001E2180"/>
    <w:rsid w:val="001F1434"/>
    <w:rsid w:val="002317DB"/>
    <w:rsid w:val="00240653"/>
    <w:rsid w:val="0024552E"/>
    <w:rsid w:val="00261238"/>
    <w:rsid w:val="002642C8"/>
    <w:rsid w:val="0029245A"/>
    <w:rsid w:val="002B33D6"/>
    <w:rsid w:val="002B3FF6"/>
    <w:rsid w:val="00302032"/>
    <w:rsid w:val="00312A07"/>
    <w:rsid w:val="00314AFA"/>
    <w:rsid w:val="003219C0"/>
    <w:rsid w:val="00330412"/>
    <w:rsid w:val="003330C2"/>
    <w:rsid w:val="00341A69"/>
    <w:rsid w:val="00343B06"/>
    <w:rsid w:val="00362C4F"/>
    <w:rsid w:val="00371384"/>
    <w:rsid w:val="003A4BA6"/>
    <w:rsid w:val="003C4A55"/>
    <w:rsid w:val="003D06B1"/>
    <w:rsid w:val="003D2C8E"/>
    <w:rsid w:val="003E09B8"/>
    <w:rsid w:val="003E128B"/>
    <w:rsid w:val="003E70E8"/>
    <w:rsid w:val="00401FFF"/>
    <w:rsid w:val="00426437"/>
    <w:rsid w:val="00443481"/>
    <w:rsid w:val="00450D7F"/>
    <w:rsid w:val="00450F81"/>
    <w:rsid w:val="00464BF0"/>
    <w:rsid w:val="004C04B7"/>
    <w:rsid w:val="00504A0F"/>
    <w:rsid w:val="0051011D"/>
    <w:rsid w:val="0055574D"/>
    <w:rsid w:val="00575E4A"/>
    <w:rsid w:val="005A0752"/>
    <w:rsid w:val="005D3E43"/>
    <w:rsid w:val="005E7282"/>
    <w:rsid w:val="00606683"/>
    <w:rsid w:val="006263E8"/>
    <w:rsid w:val="00656802"/>
    <w:rsid w:val="00677519"/>
    <w:rsid w:val="00680109"/>
    <w:rsid w:val="006924D4"/>
    <w:rsid w:val="006A4C6E"/>
    <w:rsid w:val="006A59B8"/>
    <w:rsid w:val="006D27FD"/>
    <w:rsid w:val="006D51F7"/>
    <w:rsid w:val="006D5E7F"/>
    <w:rsid w:val="006E29E4"/>
    <w:rsid w:val="0071376F"/>
    <w:rsid w:val="00714E05"/>
    <w:rsid w:val="0071667A"/>
    <w:rsid w:val="00727CF5"/>
    <w:rsid w:val="00731828"/>
    <w:rsid w:val="007374B8"/>
    <w:rsid w:val="0074086F"/>
    <w:rsid w:val="007427D3"/>
    <w:rsid w:val="007600C1"/>
    <w:rsid w:val="007918F0"/>
    <w:rsid w:val="007A4DE0"/>
    <w:rsid w:val="007B307F"/>
    <w:rsid w:val="007C2329"/>
    <w:rsid w:val="007E1D67"/>
    <w:rsid w:val="007E2816"/>
    <w:rsid w:val="007E6583"/>
    <w:rsid w:val="008055B5"/>
    <w:rsid w:val="00814B7C"/>
    <w:rsid w:val="0082010D"/>
    <w:rsid w:val="00826A48"/>
    <w:rsid w:val="00833E6B"/>
    <w:rsid w:val="00855902"/>
    <w:rsid w:val="00861136"/>
    <w:rsid w:val="00885B07"/>
    <w:rsid w:val="008A78C0"/>
    <w:rsid w:val="008C2F15"/>
    <w:rsid w:val="008C6635"/>
    <w:rsid w:val="008F5993"/>
    <w:rsid w:val="00921836"/>
    <w:rsid w:val="00943152"/>
    <w:rsid w:val="00950238"/>
    <w:rsid w:val="0095694B"/>
    <w:rsid w:val="00973423"/>
    <w:rsid w:val="009968FE"/>
    <w:rsid w:val="00997510"/>
    <w:rsid w:val="009A3B37"/>
    <w:rsid w:val="009B3C27"/>
    <w:rsid w:val="009B4861"/>
    <w:rsid w:val="009B52C1"/>
    <w:rsid w:val="009C5B0E"/>
    <w:rsid w:val="009E4CE5"/>
    <w:rsid w:val="009E608A"/>
    <w:rsid w:val="009F1469"/>
    <w:rsid w:val="009F3C82"/>
    <w:rsid w:val="00A11D98"/>
    <w:rsid w:val="00A11F26"/>
    <w:rsid w:val="00A25861"/>
    <w:rsid w:val="00A678D2"/>
    <w:rsid w:val="00A71A27"/>
    <w:rsid w:val="00A74768"/>
    <w:rsid w:val="00AB06E0"/>
    <w:rsid w:val="00AD14A2"/>
    <w:rsid w:val="00AD239C"/>
    <w:rsid w:val="00AD4B07"/>
    <w:rsid w:val="00AF1138"/>
    <w:rsid w:val="00AF7DBC"/>
    <w:rsid w:val="00B13F24"/>
    <w:rsid w:val="00B34AEA"/>
    <w:rsid w:val="00B36728"/>
    <w:rsid w:val="00B43B99"/>
    <w:rsid w:val="00B94987"/>
    <w:rsid w:val="00B9706C"/>
    <w:rsid w:val="00BB2C7B"/>
    <w:rsid w:val="00BC4961"/>
    <w:rsid w:val="00BC6E37"/>
    <w:rsid w:val="00BF16E4"/>
    <w:rsid w:val="00BF4414"/>
    <w:rsid w:val="00C11B6D"/>
    <w:rsid w:val="00C53648"/>
    <w:rsid w:val="00C755A4"/>
    <w:rsid w:val="00C77A09"/>
    <w:rsid w:val="00C837D3"/>
    <w:rsid w:val="00CA2F59"/>
    <w:rsid w:val="00CA5AF7"/>
    <w:rsid w:val="00CB0E14"/>
    <w:rsid w:val="00CD06AF"/>
    <w:rsid w:val="00CF6731"/>
    <w:rsid w:val="00D05465"/>
    <w:rsid w:val="00D35EB3"/>
    <w:rsid w:val="00D5100E"/>
    <w:rsid w:val="00D53194"/>
    <w:rsid w:val="00D56E24"/>
    <w:rsid w:val="00D6770B"/>
    <w:rsid w:val="00D75C4C"/>
    <w:rsid w:val="00D84BFB"/>
    <w:rsid w:val="00DB5B7A"/>
    <w:rsid w:val="00DC480B"/>
    <w:rsid w:val="00DD3411"/>
    <w:rsid w:val="00DE1F38"/>
    <w:rsid w:val="00DF05D7"/>
    <w:rsid w:val="00E0079D"/>
    <w:rsid w:val="00E01192"/>
    <w:rsid w:val="00E205AA"/>
    <w:rsid w:val="00E60102"/>
    <w:rsid w:val="00E62A04"/>
    <w:rsid w:val="00E82C52"/>
    <w:rsid w:val="00E94380"/>
    <w:rsid w:val="00EA2A3D"/>
    <w:rsid w:val="00EA2B51"/>
    <w:rsid w:val="00ED5441"/>
    <w:rsid w:val="00ED5A22"/>
    <w:rsid w:val="00F0793C"/>
    <w:rsid w:val="00F1474B"/>
    <w:rsid w:val="00F3150B"/>
    <w:rsid w:val="00F711F4"/>
    <w:rsid w:val="00FD4606"/>
    <w:rsid w:val="00FD6456"/>
    <w:rsid w:val="00FE3835"/>
    <w:rsid w:val="00FE661F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2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7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2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7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9C"/>
  </w:style>
  <w:style w:type="paragraph" w:styleId="Footer">
    <w:name w:val="footer"/>
    <w:basedOn w:val="Normal"/>
    <w:link w:val="FooterChar"/>
    <w:uiPriority w:val="99"/>
    <w:unhideWhenUsed/>
    <w:rsid w:val="00A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9C"/>
  </w:style>
  <w:style w:type="paragraph" w:styleId="ListParagraph">
    <w:name w:val="List Paragraph"/>
    <w:basedOn w:val="Normal"/>
    <w:uiPriority w:val="34"/>
    <w:qFormat/>
    <w:rsid w:val="00AD239C"/>
    <w:pPr>
      <w:ind w:left="720"/>
      <w:contextualSpacing/>
    </w:pPr>
  </w:style>
  <w:style w:type="character" w:customStyle="1" w:styleId="hit-highlight">
    <w:name w:val="hit-highlight"/>
    <w:basedOn w:val="DefaultParagraphFont"/>
    <w:rsid w:val="000D5A4D"/>
  </w:style>
  <w:style w:type="paragraph" w:styleId="BalloonText">
    <w:name w:val="Balloon Text"/>
    <w:basedOn w:val="Normal"/>
    <w:link w:val="BalloonTextChar"/>
    <w:uiPriority w:val="99"/>
    <w:semiHidden/>
    <w:unhideWhenUsed/>
    <w:rsid w:val="009B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-1">
    <w:name w:val="ol-1"/>
    <w:basedOn w:val="Normal"/>
    <w:rsid w:val="005A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75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7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7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752"/>
    <w:rPr>
      <w:vertAlign w:val="superscript"/>
    </w:rPr>
  </w:style>
  <w:style w:type="paragraph" w:styleId="NoSpacing">
    <w:name w:val="No Spacing"/>
    <w:uiPriority w:val="1"/>
    <w:qFormat/>
    <w:rsid w:val="00575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2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7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2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7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9C"/>
  </w:style>
  <w:style w:type="paragraph" w:styleId="Footer">
    <w:name w:val="footer"/>
    <w:basedOn w:val="Normal"/>
    <w:link w:val="FooterChar"/>
    <w:uiPriority w:val="99"/>
    <w:unhideWhenUsed/>
    <w:rsid w:val="00AD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9C"/>
  </w:style>
  <w:style w:type="paragraph" w:styleId="ListParagraph">
    <w:name w:val="List Paragraph"/>
    <w:basedOn w:val="Normal"/>
    <w:uiPriority w:val="34"/>
    <w:qFormat/>
    <w:rsid w:val="00AD239C"/>
    <w:pPr>
      <w:ind w:left="720"/>
      <w:contextualSpacing/>
    </w:pPr>
  </w:style>
  <w:style w:type="character" w:customStyle="1" w:styleId="hit-highlight">
    <w:name w:val="hit-highlight"/>
    <w:basedOn w:val="DefaultParagraphFont"/>
    <w:rsid w:val="000D5A4D"/>
  </w:style>
  <w:style w:type="paragraph" w:styleId="BalloonText">
    <w:name w:val="Balloon Text"/>
    <w:basedOn w:val="Normal"/>
    <w:link w:val="BalloonTextChar"/>
    <w:uiPriority w:val="99"/>
    <w:semiHidden/>
    <w:unhideWhenUsed/>
    <w:rsid w:val="009B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-1">
    <w:name w:val="ol-1"/>
    <w:basedOn w:val="Normal"/>
    <w:rsid w:val="005A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75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7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7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752"/>
    <w:rPr>
      <w:vertAlign w:val="superscript"/>
    </w:rPr>
  </w:style>
  <w:style w:type="paragraph" w:styleId="NoSpacing">
    <w:name w:val="No Spacing"/>
    <w:uiPriority w:val="1"/>
    <w:qFormat/>
    <w:rsid w:val="00575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27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79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0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56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49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515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979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1956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1276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2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ca2c879f-915f-4f69-a841-8c040bc32162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2016-04-01T17:43:07+00:00</Document_x0020_Date>
    <Document_x0020_No xmlns="4b47aac5-4c46-444f-8595-ce09b406fc61">23591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F5B27-BA5C-44A2-8C16-1B4BD83D0AC4}"/>
</file>

<file path=customXml/itemProps2.xml><?xml version="1.0" encoding="utf-8"?>
<ds:datastoreItem xmlns:ds="http://schemas.openxmlformats.org/officeDocument/2006/customXml" ds:itemID="{034B78CD-5ED3-4F89-B67C-7A34F951894C}"/>
</file>

<file path=customXml/itemProps3.xml><?xml version="1.0" encoding="utf-8"?>
<ds:datastoreItem xmlns:ds="http://schemas.openxmlformats.org/officeDocument/2006/customXml" ds:itemID="{A63C003D-43DB-4CF8-BA5C-780174F6E3B4}"/>
</file>

<file path=customXml/itemProps4.xml><?xml version="1.0" encoding="utf-8"?>
<ds:datastoreItem xmlns:ds="http://schemas.openxmlformats.org/officeDocument/2006/customXml" ds:itemID="{B2B927C7-409E-4838-BBF0-B81B251AC999}"/>
</file>

<file path=customXml/itemProps5.xml><?xml version="1.0" encoding="utf-8"?>
<ds:datastoreItem xmlns:ds="http://schemas.openxmlformats.org/officeDocument/2006/customXml" ds:itemID="{0620E11F-F0CF-4E07-854F-E77C20B01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creator>Carla Behnfeldt</dc:creator>
  <cp:lastModifiedBy>Sherry Hill</cp:lastModifiedBy>
  <cp:revision>2</cp:revision>
  <cp:lastPrinted>2016-03-22T14:12:00Z</cp:lastPrinted>
  <dcterms:created xsi:type="dcterms:W3CDTF">2016-04-01T17:23:00Z</dcterms:created>
  <dcterms:modified xsi:type="dcterms:W3CDTF">2016-04-01T17:23:00Z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2387600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