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F98" w:rsidRPr="00650B32" w:rsidRDefault="00EC1F98" w:rsidP="001B6ADA">
      <w:pPr>
        <w:pStyle w:val="NoSpacing"/>
        <w:ind w:left="2620" w:firstLine="1310"/>
        <w:rPr>
          <w:rFonts w:ascii="Times New Roman" w:eastAsia="Calibri" w:hAnsi="Times New Roman" w:cs="Times New Roman"/>
          <w:b/>
          <w:bCs/>
          <w:sz w:val="24"/>
          <w:szCs w:val="24"/>
        </w:rPr>
      </w:pPr>
      <w:r w:rsidRPr="00650B32">
        <w:rPr>
          <w:rFonts w:ascii="Times New Roman" w:eastAsia="Calibri" w:hAnsi="Times New Roman" w:cs="Times New Roman"/>
          <w:b/>
          <w:bCs/>
          <w:color w:val="333333"/>
          <w:sz w:val="24"/>
          <w:szCs w:val="24"/>
        </w:rPr>
        <w:t>Rule Self-Certification</w:t>
      </w:r>
    </w:p>
    <w:p w:rsidR="00EC1F98" w:rsidRPr="00650B32" w:rsidRDefault="00EC1F98" w:rsidP="00EC1F98">
      <w:pPr>
        <w:pStyle w:val="NoSpacing"/>
        <w:rPr>
          <w:rFonts w:ascii="Times New Roman" w:eastAsia="Calibri" w:hAnsi="Times New Roman" w:cs="Times New Roman"/>
          <w:sz w:val="24"/>
          <w:szCs w:val="24"/>
          <w:u w:val="single"/>
        </w:rPr>
      </w:pPr>
    </w:p>
    <w:p w:rsidR="005101CA" w:rsidRPr="00650B32" w:rsidRDefault="00C42A1F" w:rsidP="005101CA">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 xml:space="preserve">April </w:t>
      </w:r>
      <w:r w:rsidR="004C1439">
        <w:rPr>
          <w:rFonts w:ascii="Times New Roman" w:eastAsia="Calibri" w:hAnsi="Times New Roman" w:cs="Times New Roman"/>
          <w:sz w:val="24"/>
          <w:szCs w:val="24"/>
        </w:rPr>
        <w:t>4</w:t>
      </w:r>
      <w:r w:rsidR="005101CA">
        <w:rPr>
          <w:rFonts w:ascii="Times New Roman" w:eastAsia="Calibri" w:hAnsi="Times New Roman" w:cs="Times New Roman"/>
          <w:sz w:val="24"/>
          <w:szCs w:val="24"/>
        </w:rPr>
        <w:t>, 2016</w:t>
      </w:r>
    </w:p>
    <w:p w:rsidR="005101CA" w:rsidRPr="00650B32" w:rsidRDefault="005101CA" w:rsidP="005101CA">
      <w:pPr>
        <w:pStyle w:val="NoSpacing"/>
        <w:rPr>
          <w:rFonts w:ascii="Times New Roman" w:eastAsia="Calibri" w:hAnsi="Times New Roman" w:cs="Times New Roman"/>
          <w:sz w:val="24"/>
          <w:szCs w:val="24"/>
        </w:rPr>
      </w:pPr>
    </w:p>
    <w:p w:rsidR="005101CA" w:rsidRPr="00197F73" w:rsidRDefault="005101CA" w:rsidP="005101CA">
      <w:pPr>
        <w:pStyle w:val="NoSpacing"/>
        <w:rPr>
          <w:rFonts w:ascii="Times New Roman" w:eastAsia="Calibri" w:hAnsi="Times New Roman" w:cs="Times New Roman"/>
          <w:sz w:val="24"/>
          <w:szCs w:val="24"/>
        </w:rPr>
      </w:pPr>
      <w:r w:rsidRPr="00197F73">
        <w:rPr>
          <w:rFonts w:ascii="Times New Roman" w:eastAsia="Calibri" w:hAnsi="Times New Roman" w:cs="Times New Roman"/>
          <w:sz w:val="24"/>
          <w:szCs w:val="24"/>
        </w:rPr>
        <w:t>Christopher J. Kirkpatrick</w:t>
      </w:r>
    </w:p>
    <w:p w:rsidR="005101CA" w:rsidRDefault="005101CA" w:rsidP="005101CA">
      <w:pPr>
        <w:pStyle w:val="NoSpacing"/>
        <w:rPr>
          <w:rFonts w:ascii="Times New Roman" w:eastAsia="Calibri" w:hAnsi="Times New Roman" w:cs="Times New Roman"/>
          <w:sz w:val="24"/>
          <w:szCs w:val="24"/>
        </w:rPr>
      </w:pPr>
      <w:r w:rsidRPr="00197F73">
        <w:rPr>
          <w:rFonts w:ascii="Times New Roman" w:eastAsia="Calibri" w:hAnsi="Times New Roman" w:cs="Times New Roman"/>
          <w:sz w:val="24"/>
          <w:szCs w:val="24"/>
        </w:rPr>
        <w:t>Office of the Secretariat</w:t>
      </w:r>
    </w:p>
    <w:p w:rsidR="005101CA" w:rsidRPr="00352533" w:rsidRDefault="005101CA" w:rsidP="005101CA">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Commodity Futures Trading Commission</w:t>
      </w:r>
    </w:p>
    <w:p w:rsidR="005101CA" w:rsidRPr="00352533" w:rsidRDefault="005101CA" w:rsidP="005101CA">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Three Lafayette Center</w:t>
      </w:r>
    </w:p>
    <w:p w:rsidR="005101CA" w:rsidRPr="00352533" w:rsidRDefault="005101CA" w:rsidP="005101CA">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1155 21</w:t>
      </w:r>
      <w:r w:rsidRPr="00352533">
        <w:rPr>
          <w:rFonts w:ascii="Times New Roman" w:eastAsia="Calibri" w:hAnsi="Times New Roman" w:cs="Times New Roman"/>
          <w:sz w:val="24"/>
          <w:szCs w:val="24"/>
          <w:vertAlign w:val="superscript"/>
        </w:rPr>
        <w:t>st</w:t>
      </w:r>
      <w:r w:rsidRPr="00352533">
        <w:rPr>
          <w:rFonts w:ascii="Times New Roman" w:eastAsia="Calibri" w:hAnsi="Times New Roman" w:cs="Times New Roman"/>
          <w:sz w:val="24"/>
          <w:szCs w:val="24"/>
        </w:rPr>
        <w:t xml:space="preserve"> Street, NW</w:t>
      </w:r>
    </w:p>
    <w:p w:rsidR="005101CA" w:rsidRPr="00352533" w:rsidRDefault="005101CA" w:rsidP="005101CA">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Washington, DC  20581</w:t>
      </w:r>
    </w:p>
    <w:p w:rsidR="005101CA" w:rsidRPr="00352533" w:rsidRDefault="005101CA" w:rsidP="005101CA">
      <w:pPr>
        <w:pStyle w:val="NoSpacing"/>
        <w:rPr>
          <w:rFonts w:ascii="Times New Roman" w:eastAsia="Times New Roman" w:hAnsi="Times New Roman" w:cs="Times New Roman"/>
          <w:sz w:val="24"/>
          <w:szCs w:val="24"/>
        </w:rPr>
      </w:pPr>
    </w:p>
    <w:p w:rsidR="005101CA" w:rsidRDefault="005101CA" w:rsidP="00566AD7">
      <w:pPr>
        <w:pStyle w:val="NoSpacing"/>
        <w:ind w:left="720"/>
        <w:rPr>
          <w:rFonts w:ascii="Times New Roman" w:eastAsia="Calibri" w:hAnsi="Times New Roman" w:cs="Times New Roman"/>
          <w:sz w:val="24"/>
          <w:szCs w:val="24"/>
        </w:rPr>
      </w:pPr>
      <w:r>
        <w:rPr>
          <w:rFonts w:ascii="Times New Roman" w:eastAsia="Calibri" w:hAnsi="Times New Roman" w:cs="Times New Roman"/>
          <w:sz w:val="24"/>
          <w:szCs w:val="24"/>
        </w:rPr>
        <w:t xml:space="preserve">Re:  </w:t>
      </w:r>
      <w:r w:rsidR="005F6EC0" w:rsidRPr="00352533">
        <w:rPr>
          <w:rFonts w:ascii="Times New Roman" w:eastAsia="Calibri" w:hAnsi="Times New Roman" w:cs="Times New Roman"/>
          <w:b/>
          <w:sz w:val="24"/>
          <w:szCs w:val="24"/>
        </w:rPr>
        <w:t xml:space="preserve">Rule Certification </w:t>
      </w:r>
      <w:r w:rsidR="005F6EC0">
        <w:rPr>
          <w:rFonts w:ascii="Times New Roman" w:eastAsia="Calibri" w:hAnsi="Times New Roman" w:cs="Times New Roman"/>
          <w:b/>
          <w:sz w:val="24"/>
          <w:szCs w:val="24"/>
        </w:rPr>
        <w:t>for a</w:t>
      </w:r>
    </w:p>
    <w:p w:rsidR="00566AD7" w:rsidRPr="00352533" w:rsidRDefault="00566AD7" w:rsidP="00566AD7">
      <w:pPr>
        <w:pStyle w:val="NoSpacing"/>
        <w:ind w:left="720"/>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002B3578">
        <w:rPr>
          <w:rFonts w:ascii="Times New Roman" w:eastAsia="Calibri" w:hAnsi="Times New Roman" w:cs="Times New Roman"/>
          <w:sz w:val="24"/>
          <w:szCs w:val="24"/>
        </w:rPr>
        <w:t xml:space="preserve"> </w:t>
      </w:r>
      <w:r w:rsidR="004E0D16" w:rsidRPr="00FE0EA8">
        <w:rPr>
          <w:rFonts w:ascii="Times New Roman" w:eastAsia="Calibri" w:hAnsi="Times New Roman" w:cs="Times New Roman"/>
          <w:b/>
          <w:sz w:val="24"/>
          <w:szCs w:val="24"/>
        </w:rPr>
        <w:t>Market Maker Program</w:t>
      </w:r>
    </w:p>
    <w:p w:rsidR="005101CA" w:rsidRPr="00352533" w:rsidRDefault="005101CA" w:rsidP="005101CA">
      <w:pPr>
        <w:pStyle w:val="NoSpacing"/>
        <w:ind w:left="720"/>
        <w:rPr>
          <w:rFonts w:ascii="Times New Roman" w:eastAsia="Calibri" w:hAnsi="Times New Roman" w:cs="Times New Roman"/>
          <w:b/>
          <w:sz w:val="24"/>
          <w:szCs w:val="24"/>
          <w:u w:val="single"/>
        </w:rPr>
      </w:pPr>
      <w:r>
        <w:rPr>
          <w:rFonts w:ascii="Times New Roman" w:eastAsia="Calibri" w:hAnsi="Times New Roman" w:cs="Times New Roman"/>
          <w:b/>
          <w:sz w:val="24"/>
          <w:szCs w:val="24"/>
        </w:rPr>
        <w:t xml:space="preserve">       </w:t>
      </w:r>
      <w:r>
        <w:rPr>
          <w:rFonts w:ascii="Times New Roman" w:eastAsia="Calibri" w:hAnsi="Times New Roman" w:cs="Times New Roman"/>
          <w:b/>
          <w:sz w:val="24"/>
          <w:szCs w:val="24"/>
          <w:u w:val="single"/>
        </w:rPr>
        <w:t>R</w:t>
      </w:r>
      <w:r w:rsidRPr="00352533">
        <w:rPr>
          <w:rFonts w:ascii="Times New Roman" w:eastAsia="Calibri" w:hAnsi="Times New Roman" w:cs="Times New Roman"/>
          <w:b/>
          <w:sz w:val="24"/>
          <w:szCs w:val="24"/>
          <w:u w:val="single"/>
        </w:rPr>
        <w:t>eference File: SR-NFX-2016-</w:t>
      </w:r>
      <w:r w:rsidR="004C1439">
        <w:rPr>
          <w:rFonts w:ascii="Times New Roman" w:eastAsia="Calibri" w:hAnsi="Times New Roman" w:cs="Times New Roman"/>
          <w:b/>
          <w:sz w:val="24"/>
          <w:szCs w:val="24"/>
          <w:u w:val="single"/>
        </w:rPr>
        <w:t>40</w:t>
      </w:r>
    </w:p>
    <w:p w:rsidR="005101CA" w:rsidRPr="00352533" w:rsidRDefault="005101CA" w:rsidP="005101CA">
      <w:pPr>
        <w:pStyle w:val="NoSpacing"/>
        <w:ind w:left="720" w:hanging="720"/>
        <w:rPr>
          <w:rFonts w:ascii="Times New Roman" w:hAnsi="Times New Roman" w:cs="Times New Roman"/>
          <w:b/>
          <w:sz w:val="24"/>
          <w:szCs w:val="24"/>
          <w:u w:val="single"/>
        </w:rPr>
      </w:pPr>
    </w:p>
    <w:p w:rsidR="005101CA" w:rsidRPr="00352533" w:rsidRDefault="005101CA" w:rsidP="005101CA">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Dear Mr. Kirkpatrick:</w:t>
      </w:r>
    </w:p>
    <w:p w:rsidR="005101CA" w:rsidRPr="00352533" w:rsidRDefault="005101CA" w:rsidP="005101CA">
      <w:pPr>
        <w:pStyle w:val="NoSpacing"/>
        <w:rPr>
          <w:rFonts w:ascii="Times New Roman" w:eastAsia="Calibri" w:hAnsi="Times New Roman" w:cs="Times New Roman"/>
          <w:sz w:val="24"/>
          <w:szCs w:val="24"/>
        </w:rPr>
      </w:pPr>
    </w:p>
    <w:p w:rsidR="004E0D16" w:rsidRDefault="00B75523" w:rsidP="004E0D16">
      <w:pPr>
        <w:pStyle w:val="NoSpacing"/>
        <w:ind w:firstLine="1310"/>
        <w:rPr>
          <w:rFonts w:ascii="Times New Roman" w:eastAsia="Calibri" w:hAnsi="Times New Roman" w:cs="Times New Roman"/>
          <w:sz w:val="24"/>
          <w:szCs w:val="24"/>
        </w:rPr>
      </w:pPr>
      <w:r w:rsidRPr="00352533">
        <w:rPr>
          <w:rFonts w:ascii="Times New Roman" w:eastAsia="Calibri" w:hAnsi="Times New Roman" w:cs="Times New Roman"/>
          <w:sz w:val="24"/>
          <w:szCs w:val="24"/>
        </w:rPr>
        <w:t>Pursuant to Section 5c(c)(1) of the Commodity Exchange Act, as amended (“</w:t>
      </w:r>
      <w:r w:rsidRPr="00352533">
        <w:rPr>
          <w:rFonts w:ascii="Times New Roman" w:eastAsia="Calibri" w:hAnsi="Times New Roman" w:cs="Times New Roman"/>
          <w:sz w:val="24"/>
          <w:szCs w:val="24"/>
          <w:u w:val="single"/>
        </w:rPr>
        <w:t>Act</w:t>
      </w:r>
      <w:r w:rsidRPr="00352533">
        <w:rPr>
          <w:rFonts w:ascii="Times New Roman" w:eastAsia="Calibri" w:hAnsi="Times New Roman" w:cs="Times New Roman"/>
          <w:sz w:val="24"/>
          <w:szCs w:val="24"/>
        </w:rPr>
        <w:t xml:space="preserve">”), and Section </w:t>
      </w:r>
      <w:r w:rsidRPr="00352533">
        <w:rPr>
          <w:rFonts w:ascii="Times New Roman" w:hAnsi="Times New Roman" w:cs="Times New Roman"/>
          <w:sz w:val="24"/>
          <w:szCs w:val="24"/>
        </w:rPr>
        <w:t xml:space="preserve">40.6 </w:t>
      </w:r>
      <w:r w:rsidRPr="00352533">
        <w:rPr>
          <w:rFonts w:ascii="Times New Roman" w:eastAsia="Calibri" w:hAnsi="Times New Roman" w:cs="Times New Roman"/>
          <w:sz w:val="24"/>
          <w:szCs w:val="24"/>
        </w:rPr>
        <w:t xml:space="preserve">of the </w:t>
      </w:r>
      <w:r>
        <w:rPr>
          <w:rFonts w:ascii="Times New Roman" w:eastAsia="Calibri" w:hAnsi="Times New Roman" w:cs="Times New Roman"/>
          <w:sz w:val="24"/>
          <w:szCs w:val="24"/>
        </w:rPr>
        <w:t xml:space="preserve">Commission’s </w:t>
      </w:r>
      <w:r w:rsidRPr="00352533">
        <w:rPr>
          <w:rFonts w:ascii="Times New Roman" w:eastAsia="Calibri" w:hAnsi="Times New Roman" w:cs="Times New Roman"/>
          <w:sz w:val="24"/>
          <w:szCs w:val="24"/>
        </w:rPr>
        <w:t xml:space="preserve">regulations </w:t>
      </w:r>
      <w:r>
        <w:rPr>
          <w:rFonts w:ascii="Times New Roman" w:eastAsia="Calibri" w:hAnsi="Times New Roman" w:cs="Times New Roman"/>
          <w:sz w:val="24"/>
          <w:szCs w:val="24"/>
        </w:rPr>
        <w:t>thereunder,</w:t>
      </w:r>
      <w:r w:rsidRPr="00352533">
        <w:rPr>
          <w:rFonts w:ascii="Times New Roman" w:eastAsia="Calibri" w:hAnsi="Times New Roman" w:cs="Times New Roman"/>
          <w:sz w:val="24"/>
          <w:szCs w:val="24"/>
        </w:rPr>
        <w:t xml:space="preserve"> NASDAQ Futures, Inc. (“</w:t>
      </w:r>
      <w:r w:rsidRPr="00352533">
        <w:rPr>
          <w:rFonts w:ascii="Times New Roman" w:eastAsia="Calibri" w:hAnsi="Times New Roman" w:cs="Times New Roman"/>
          <w:sz w:val="24"/>
          <w:szCs w:val="24"/>
          <w:u w:val="single"/>
        </w:rPr>
        <w:t>NFX</w:t>
      </w:r>
      <w:r w:rsidRPr="00352533">
        <w:rPr>
          <w:rFonts w:ascii="Times New Roman" w:eastAsia="Calibri" w:hAnsi="Times New Roman" w:cs="Times New Roman"/>
          <w:sz w:val="24"/>
          <w:szCs w:val="24"/>
        </w:rPr>
        <w:t>” or “</w:t>
      </w:r>
      <w:r w:rsidRPr="00352533">
        <w:rPr>
          <w:rFonts w:ascii="Times New Roman" w:eastAsia="Calibri" w:hAnsi="Times New Roman" w:cs="Times New Roman"/>
          <w:sz w:val="24"/>
          <w:szCs w:val="24"/>
          <w:u w:val="single"/>
        </w:rPr>
        <w:t>Exchange</w:t>
      </w:r>
      <w:r w:rsidRPr="00352533">
        <w:rPr>
          <w:rFonts w:ascii="Times New Roman" w:eastAsia="Calibri" w:hAnsi="Times New Roman" w:cs="Times New Roman"/>
          <w:sz w:val="24"/>
          <w:szCs w:val="24"/>
        </w:rPr>
        <w:t xml:space="preserve">”) </w:t>
      </w:r>
      <w:r w:rsidRPr="00722839">
        <w:rPr>
          <w:rFonts w:ascii="Times New Roman" w:eastAsia="Times New Roman" w:hAnsi="Times New Roman" w:cs="Times New Roman"/>
          <w:sz w:val="24"/>
          <w:szCs w:val="24"/>
        </w:rPr>
        <w:t>sub</w:t>
      </w:r>
      <w:r>
        <w:rPr>
          <w:rFonts w:ascii="Times New Roman" w:eastAsia="Times New Roman" w:hAnsi="Times New Roman" w:cs="Times New Roman"/>
          <w:sz w:val="24"/>
          <w:szCs w:val="24"/>
        </w:rPr>
        <w:t xml:space="preserve">mits this self-certification to </w:t>
      </w:r>
      <w:r w:rsidR="004E0D16">
        <w:rPr>
          <w:rFonts w:ascii="Times New Roman" w:eastAsia="Calibri" w:hAnsi="Times New Roman" w:cs="Times New Roman"/>
          <w:sz w:val="24"/>
          <w:szCs w:val="24"/>
        </w:rPr>
        <w:t>adopt a market maker program (the “</w:t>
      </w:r>
      <w:r w:rsidR="004E0D16" w:rsidRPr="008D3674">
        <w:rPr>
          <w:rFonts w:ascii="Times New Roman" w:eastAsia="Calibri" w:hAnsi="Times New Roman" w:cs="Times New Roman"/>
          <w:sz w:val="24"/>
          <w:szCs w:val="24"/>
          <w:u w:val="single"/>
        </w:rPr>
        <w:t>Program</w:t>
      </w:r>
      <w:r w:rsidR="004E0D16">
        <w:rPr>
          <w:rFonts w:ascii="Times New Roman" w:eastAsia="Calibri" w:hAnsi="Times New Roman" w:cs="Times New Roman"/>
          <w:sz w:val="24"/>
          <w:szCs w:val="24"/>
        </w:rPr>
        <w:t xml:space="preserve">”) for energy contracts that the Exchange </w:t>
      </w:r>
      <w:r w:rsidR="007824A2">
        <w:rPr>
          <w:rFonts w:ascii="Times New Roman" w:eastAsia="Calibri" w:hAnsi="Times New Roman" w:cs="Times New Roman"/>
          <w:sz w:val="24"/>
          <w:szCs w:val="24"/>
        </w:rPr>
        <w:t>has</w:t>
      </w:r>
      <w:r w:rsidR="004E0D16">
        <w:rPr>
          <w:rFonts w:ascii="Times New Roman" w:eastAsia="Calibri" w:hAnsi="Times New Roman" w:cs="Times New Roman"/>
          <w:sz w:val="24"/>
          <w:szCs w:val="24"/>
        </w:rPr>
        <w:t xml:space="preserve"> list</w:t>
      </w:r>
      <w:r w:rsidR="007824A2">
        <w:rPr>
          <w:rFonts w:ascii="Times New Roman" w:eastAsia="Calibri" w:hAnsi="Times New Roman" w:cs="Times New Roman"/>
          <w:sz w:val="24"/>
          <w:szCs w:val="24"/>
        </w:rPr>
        <w:t>ed pursuant to Appendix A of the Exchange Rulebook</w:t>
      </w:r>
      <w:r w:rsidR="004E0D16">
        <w:rPr>
          <w:rFonts w:ascii="Times New Roman" w:eastAsia="Calibri" w:hAnsi="Times New Roman" w:cs="Times New Roman"/>
          <w:sz w:val="24"/>
          <w:szCs w:val="24"/>
        </w:rPr>
        <w:t xml:space="preserve"> (the “</w:t>
      </w:r>
      <w:r w:rsidR="004E0D16" w:rsidRPr="008D3674">
        <w:rPr>
          <w:rFonts w:ascii="Times New Roman" w:eastAsia="Calibri" w:hAnsi="Times New Roman" w:cs="Times New Roman"/>
          <w:sz w:val="24"/>
          <w:szCs w:val="24"/>
          <w:u w:val="single"/>
        </w:rPr>
        <w:t>Energy Contracts</w:t>
      </w:r>
      <w:r w:rsidR="004E0D16">
        <w:rPr>
          <w:rFonts w:ascii="Times New Roman" w:eastAsia="Calibri" w:hAnsi="Times New Roman" w:cs="Times New Roman"/>
          <w:sz w:val="24"/>
          <w:szCs w:val="24"/>
        </w:rPr>
        <w:t>”)</w:t>
      </w:r>
      <w:r>
        <w:rPr>
          <w:rFonts w:ascii="Times New Roman" w:eastAsia="Calibri" w:hAnsi="Times New Roman" w:cs="Times New Roman"/>
          <w:sz w:val="24"/>
          <w:szCs w:val="24"/>
        </w:rPr>
        <w:t>, as may be amended from time to time</w:t>
      </w:r>
      <w:r w:rsidR="004E0D16">
        <w:rPr>
          <w:rFonts w:ascii="Times New Roman" w:eastAsia="Calibri" w:hAnsi="Times New Roman" w:cs="Times New Roman"/>
          <w:sz w:val="24"/>
          <w:szCs w:val="24"/>
        </w:rPr>
        <w:t>.</w:t>
      </w:r>
      <w:r w:rsidR="004E0D16">
        <w:rPr>
          <w:rStyle w:val="FootnoteReference"/>
          <w:rFonts w:ascii="Times New Roman" w:eastAsia="Calibri" w:hAnsi="Times New Roman" w:cs="Times New Roman"/>
          <w:sz w:val="24"/>
          <w:szCs w:val="24"/>
        </w:rPr>
        <w:footnoteReference w:id="1"/>
      </w:r>
      <w:r w:rsidR="004E0D16" w:rsidRPr="00021A62">
        <w:rPr>
          <w:rFonts w:ascii="Times New Roman" w:eastAsia="Calibri" w:hAnsi="Times New Roman" w:cs="Times New Roman"/>
          <w:sz w:val="24"/>
          <w:szCs w:val="24"/>
        </w:rPr>
        <w:t xml:space="preserve">  </w:t>
      </w:r>
      <w:r w:rsidR="004E0D16" w:rsidRPr="00D61EDD">
        <w:rPr>
          <w:rFonts w:ascii="Times New Roman" w:eastAsia="Calibri" w:hAnsi="Times New Roman" w:cs="Times New Roman"/>
          <w:sz w:val="24"/>
          <w:szCs w:val="24"/>
        </w:rPr>
        <w:t xml:space="preserve">The Program will become effective </w:t>
      </w:r>
      <w:r w:rsidR="004F42A5" w:rsidRPr="00D61EDD">
        <w:rPr>
          <w:rFonts w:ascii="Times New Roman" w:eastAsia="Calibri" w:hAnsi="Times New Roman" w:cs="Times New Roman"/>
          <w:sz w:val="24"/>
          <w:szCs w:val="24"/>
        </w:rPr>
        <w:t xml:space="preserve">on </w:t>
      </w:r>
      <w:r w:rsidR="00977F03" w:rsidRPr="00D61EDD">
        <w:rPr>
          <w:rFonts w:ascii="Times New Roman" w:eastAsia="Calibri" w:hAnsi="Times New Roman" w:cs="Times New Roman"/>
          <w:sz w:val="24"/>
          <w:szCs w:val="24"/>
        </w:rPr>
        <w:t xml:space="preserve">April 24, 2016 </w:t>
      </w:r>
      <w:r w:rsidR="004E0D16" w:rsidRPr="00D61EDD">
        <w:rPr>
          <w:rFonts w:ascii="Times New Roman" w:eastAsia="Calibri" w:hAnsi="Times New Roman" w:cs="Times New Roman"/>
          <w:sz w:val="24"/>
          <w:szCs w:val="24"/>
        </w:rPr>
        <w:t xml:space="preserve">and </w:t>
      </w:r>
      <w:r w:rsidR="000B5E2C" w:rsidRPr="00D61EDD">
        <w:rPr>
          <w:rFonts w:ascii="Times New Roman" w:eastAsia="Calibri" w:hAnsi="Times New Roman" w:cs="Times New Roman"/>
          <w:sz w:val="24"/>
          <w:szCs w:val="24"/>
        </w:rPr>
        <w:t xml:space="preserve">will </w:t>
      </w:r>
      <w:r w:rsidR="004E0D16" w:rsidRPr="00D61EDD">
        <w:rPr>
          <w:rFonts w:ascii="Times New Roman" w:eastAsia="Calibri" w:hAnsi="Times New Roman" w:cs="Times New Roman"/>
          <w:sz w:val="24"/>
          <w:szCs w:val="24"/>
        </w:rPr>
        <w:t>terminate</w:t>
      </w:r>
      <w:r w:rsidR="000B5E2C" w:rsidRPr="00D61EDD">
        <w:rPr>
          <w:rFonts w:ascii="Times New Roman" w:eastAsia="Calibri" w:hAnsi="Times New Roman" w:cs="Times New Roman"/>
          <w:sz w:val="24"/>
          <w:szCs w:val="24"/>
        </w:rPr>
        <w:t xml:space="preserve"> </w:t>
      </w:r>
      <w:r w:rsidR="004F42A5" w:rsidRPr="00D61EDD">
        <w:rPr>
          <w:rFonts w:ascii="Times New Roman" w:eastAsia="Calibri" w:hAnsi="Times New Roman" w:cs="Times New Roman"/>
          <w:sz w:val="24"/>
          <w:szCs w:val="24"/>
        </w:rPr>
        <w:t xml:space="preserve">on </w:t>
      </w:r>
      <w:r w:rsidR="000B5E2C" w:rsidRPr="00D61EDD">
        <w:rPr>
          <w:rFonts w:ascii="Times New Roman" w:eastAsia="Calibri" w:hAnsi="Times New Roman" w:cs="Times New Roman"/>
          <w:sz w:val="24"/>
          <w:szCs w:val="24"/>
        </w:rPr>
        <w:t>April 28</w:t>
      </w:r>
      <w:r w:rsidR="00977F03" w:rsidRPr="00D61EDD">
        <w:rPr>
          <w:rFonts w:ascii="Times New Roman" w:eastAsia="Calibri" w:hAnsi="Times New Roman" w:cs="Times New Roman"/>
          <w:sz w:val="24"/>
          <w:szCs w:val="24"/>
        </w:rPr>
        <w:t>, 2017</w:t>
      </w:r>
      <w:r w:rsidR="004E0D16" w:rsidRPr="00D61EDD">
        <w:rPr>
          <w:rFonts w:ascii="Times New Roman" w:eastAsia="Calibri" w:hAnsi="Times New Roman" w:cs="Times New Roman"/>
          <w:sz w:val="24"/>
          <w:szCs w:val="24"/>
        </w:rPr>
        <w:t>.</w:t>
      </w:r>
      <w:r w:rsidR="004E0D16">
        <w:rPr>
          <w:rFonts w:ascii="Times New Roman" w:eastAsia="Calibri" w:hAnsi="Times New Roman" w:cs="Times New Roman"/>
          <w:sz w:val="24"/>
          <w:szCs w:val="24"/>
        </w:rPr>
        <w:t xml:space="preserve">  </w:t>
      </w:r>
    </w:p>
    <w:p w:rsidR="004E0D16" w:rsidRDefault="004E0D16" w:rsidP="004E0D16">
      <w:pPr>
        <w:pStyle w:val="NoSpacing"/>
        <w:ind w:firstLine="1310"/>
        <w:rPr>
          <w:rFonts w:ascii="Times New Roman" w:eastAsia="Calibri" w:hAnsi="Times New Roman" w:cs="Times New Roman"/>
          <w:sz w:val="24"/>
          <w:szCs w:val="24"/>
        </w:rPr>
      </w:pPr>
    </w:p>
    <w:p w:rsidR="004E0D16" w:rsidRDefault="004E0D16" w:rsidP="004E0D16">
      <w:pPr>
        <w:pStyle w:val="NoSpacing"/>
        <w:ind w:firstLine="1310"/>
        <w:rPr>
          <w:rFonts w:ascii="Times New Roman" w:eastAsia="Calibri" w:hAnsi="Times New Roman" w:cs="Times New Roman"/>
          <w:sz w:val="24"/>
          <w:szCs w:val="24"/>
        </w:rPr>
      </w:pPr>
      <w:r>
        <w:rPr>
          <w:rFonts w:ascii="Times New Roman" w:eastAsia="Calibri" w:hAnsi="Times New Roman" w:cs="Times New Roman"/>
          <w:sz w:val="24"/>
          <w:szCs w:val="24"/>
        </w:rPr>
        <w:t xml:space="preserve">Participants in the Program will be selected by Exchange staff using the process described in the attached </w:t>
      </w:r>
      <w:r w:rsidRPr="00A1032E">
        <w:rPr>
          <w:rFonts w:ascii="Times New Roman" w:eastAsia="Calibri" w:hAnsi="Times New Roman" w:cs="Times New Roman"/>
          <w:sz w:val="24"/>
          <w:szCs w:val="24"/>
        </w:rPr>
        <w:t xml:space="preserve">Designated Market Maker </w:t>
      </w:r>
      <w:r>
        <w:rPr>
          <w:rFonts w:ascii="Times New Roman" w:eastAsia="Calibri" w:hAnsi="Times New Roman" w:cs="Times New Roman"/>
          <w:sz w:val="24"/>
          <w:szCs w:val="24"/>
        </w:rPr>
        <w:t>Tender</w:t>
      </w:r>
      <w:r w:rsidRPr="00A1032E">
        <w:rPr>
          <w:rFonts w:ascii="Times New Roman" w:eastAsia="Calibri" w:hAnsi="Times New Roman" w:cs="Times New Roman"/>
          <w:sz w:val="24"/>
          <w:szCs w:val="24"/>
        </w:rPr>
        <w:t xml:space="preserve"> for Appointment in Energy Futures and Options </w:t>
      </w:r>
      <w:r w:rsidRPr="00FE0EA8">
        <w:rPr>
          <w:rFonts w:ascii="Times New Roman" w:eastAsia="Calibri" w:hAnsi="Times New Roman" w:cs="Times New Roman"/>
          <w:sz w:val="24"/>
          <w:szCs w:val="24"/>
        </w:rPr>
        <w:t>Products (the “</w:t>
      </w:r>
      <w:r w:rsidRPr="008D3674">
        <w:rPr>
          <w:rFonts w:ascii="Times New Roman" w:eastAsia="Calibri" w:hAnsi="Times New Roman" w:cs="Times New Roman"/>
          <w:sz w:val="24"/>
          <w:szCs w:val="24"/>
          <w:u w:val="single"/>
        </w:rPr>
        <w:t>Tender</w:t>
      </w:r>
      <w:r w:rsidRPr="00FE0EA8">
        <w:rPr>
          <w:rFonts w:ascii="Times New Roman" w:eastAsia="Calibri" w:hAnsi="Times New Roman" w:cs="Times New Roman"/>
          <w:sz w:val="24"/>
          <w:szCs w:val="24"/>
        </w:rPr>
        <w:t>”)</w:t>
      </w:r>
      <w:r w:rsidRPr="00FE0EA8">
        <w:rPr>
          <w:rFonts w:ascii="Times New Roman" w:eastAsia="Calibri" w:hAnsi="Times New Roman" w:cs="Times New Roman"/>
          <w:b/>
          <w:sz w:val="24"/>
          <w:szCs w:val="24"/>
        </w:rPr>
        <w:t>.</w:t>
      </w:r>
      <w:r>
        <w:rPr>
          <w:rFonts w:ascii="Times New Roman" w:eastAsia="Calibri" w:hAnsi="Times New Roman" w:cs="Times New Roman"/>
          <w:sz w:val="24"/>
          <w:szCs w:val="24"/>
        </w:rPr>
        <w:t xml:space="preserve">  NFX will select one or more Designated Market Makers for the Program from among the Futures Participants and Authorized Customers who submit proposals in response to the Tender.</w:t>
      </w:r>
      <w:r w:rsidR="004F42A5" w:rsidRPr="004F42A5">
        <w:rPr>
          <w:rFonts w:ascii="Times New Roman" w:eastAsia="Calibri" w:hAnsi="Times New Roman" w:cs="Times New Roman"/>
          <w:sz w:val="24"/>
          <w:szCs w:val="24"/>
        </w:rPr>
        <w:t xml:space="preserve"> </w:t>
      </w:r>
      <w:r w:rsidR="004F42A5">
        <w:rPr>
          <w:rFonts w:ascii="Times New Roman" w:eastAsia="Calibri" w:hAnsi="Times New Roman" w:cs="Times New Roman"/>
          <w:sz w:val="24"/>
          <w:szCs w:val="24"/>
        </w:rPr>
        <w:t xml:space="preserve"> The Tender and selection process will be concluded prior to April 24, 2016.  </w:t>
      </w:r>
    </w:p>
    <w:p w:rsidR="004E0D16" w:rsidRDefault="004E0D16" w:rsidP="004E0D16">
      <w:pPr>
        <w:pStyle w:val="NoSpacing"/>
        <w:ind w:firstLine="1310"/>
        <w:rPr>
          <w:rFonts w:ascii="Times New Roman" w:eastAsia="Calibri" w:hAnsi="Times New Roman" w:cs="Times New Roman"/>
          <w:sz w:val="24"/>
          <w:szCs w:val="24"/>
        </w:rPr>
      </w:pPr>
    </w:p>
    <w:p w:rsidR="002B56C0" w:rsidRPr="006974BA" w:rsidRDefault="004E0D16" w:rsidP="00977F03">
      <w:pPr>
        <w:spacing w:line="240" w:lineRule="auto"/>
        <w:rPr>
          <w:rFonts w:ascii="Times New Roman" w:hAnsi="Times New Roman" w:cs="Times New Roman"/>
          <w:sz w:val="24"/>
          <w:szCs w:val="24"/>
        </w:rPr>
      </w:pPr>
      <w:r>
        <w:rPr>
          <w:rFonts w:ascii="Times New Roman" w:eastAsia="Calibri" w:hAnsi="Times New Roman" w:cs="Times New Roman"/>
          <w:sz w:val="24"/>
          <w:szCs w:val="24"/>
        </w:rPr>
        <w:tab/>
        <w:t xml:space="preserve">The Exchange believes that the Program complies with Core Principle 4 (Monitoring of Trading), Core Principle 9 (Execution of Transactions) and Core Principle 12 (Protection of Market Participants).  The Program will not impact order execution priority or otherwise give participants any execution preference or advantage. </w:t>
      </w:r>
      <w:r w:rsidR="004F42A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The Program will not impact the Exchange’s ability to perform its trade practice and market surveillance obligations under the Act and Exchange staff will monitor trading in the Program’s products to prevent manipulative </w:t>
      </w:r>
      <w:r>
        <w:rPr>
          <w:rFonts w:ascii="Times New Roman" w:eastAsia="Calibri" w:hAnsi="Times New Roman" w:cs="Times New Roman"/>
          <w:sz w:val="24"/>
          <w:szCs w:val="24"/>
        </w:rPr>
        <w:lastRenderedPageBreak/>
        <w:t>trading and market abuse.  Additionally, the Exchange has systems to track Program participants’ volume to ensure proper distribution of earned incentives.  Finally, NFX rules include prohibitions against fraudulent, non-competitive</w:t>
      </w:r>
      <w:r w:rsidRPr="000B5E2C">
        <w:rPr>
          <w:rFonts w:ascii="Times New Roman" w:eastAsia="Calibri" w:hAnsi="Times New Roman" w:cs="Times New Roman"/>
          <w:sz w:val="24"/>
          <w:szCs w:val="24"/>
        </w:rPr>
        <w:t>, unfair or abusive practices</w:t>
      </w:r>
      <w:r>
        <w:rPr>
          <w:rFonts w:ascii="Times New Roman" w:eastAsia="Calibri" w:hAnsi="Times New Roman" w:cs="Times New Roman"/>
          <w:sz w:val="24"/>
          <w:szCs w:val="24"/>
        </w:rPr>
        <w:t>.</w:t>
      </w:r>
    </w:p>
    <w:p w:rsidR="002B56C0" w:rsidRPr="0013104F" w:rsidRDefault="002B56C0" w:rsidP="002B56C0">
      <w:pPr>
        <w:pStyle w:val="Default"/>
        <w:ind w:firstLine="1310"/>
        <w:rPr>
          <w:color w:val="auto"/>
          <w:szCs w:val="23"/>
        </w:rPr>
      </w:pPr>
      <w:r w:rsidRPr="0013104F">
        <w:rPr>
          <w:color w:val="auto"/>
          <w:szCs w:val="23"/>
        </w:rPr>
        <w:t xml:space="preserve">The Exchange has reviewed the designated contract market core principles as set forth in the Act in connection with the amendments presented herein. Consistent with Core Principle 7 - Availability of General Information, the Exchange will post general information, including the NFX Rulebook as amended herein, on its website: </w:t>
      </w:r>
      <w:hyperlink r:id="rId12" w:history="1">
        <w:r w:rsidR="00F2689F">
          <w:rPr>
            <w:rStyle w:val="Hyperlink"/>
          </w:rPr>
          <w:t>business.nasdaq.com/futures</w:t>
        </w:r>
      </w:hyperlink>
      <w:r w:rsidRPr="0013104F">
        <w:rPr>
          <w:color w:val="auto"/>
          <w:szCs w:val="23"/>
        </w:rPr>
        <w:t>.</w:t>
      </w:r>
    </w:p>
    <w:p w:rsidR="002B56C0" w:rsidRPr="0013104F" w:rsidRDefault="002B56C0" w:rsidP="002B56C0">
      <w:pPr>
        <w:pStyle w:val="Default"/>
        <w:ind w:firstLine="1310"/>
        <w:rPr>
          <w:color w:val="auto"/>
          <w:szCs w:val="23"/>
        </w:rPr>
      </w:pPr>
    </w:p>
    <w:p w:rsidR="002B56C0" w:rsidRPr="0013104F" w:rsidRDefault="002B56C0" w:rsidP="004F42A5">
      <w:pPr>
        <w:pStyle w:val="Default"/>
        <w:ind w:left="2620" w:firstLine="1310"/>
        <w:rPr>
          <w:b/>
          <w:bCs/>
          <w:color w:val="auto"/>
          <w:szCs w:val="23"/>
          <w:u w:val="single"/>
        </w:rPr>
      </w:pPr>
      <w:r w:rsidRPr="0013104F">
        <w:rPr>
          <w:b/>
          <w:bCs/>
          <w:color w:val="auto"/>
          <w:szCs w:val="23"/>
          <w:u w:val="single"/>
        </w:rPr>
        <w:t xml:space="preserve">Certifications </w:t>
      </w:r>
    </w:p>
    <w:p w:rsidR="002B56C0" w:rsidRPr="0013104F" w:rsidRDefault="002B56C0" w:rsidP="002B56C0">
      <w:pPr>
        <w:pStyle w:val="Default"/>
        <w:ind w:left="2620"/>
        <w:rPr>
          <w:color w:val="auto"/>
        </w:rPr>
      </w:pPr>
    </w:p>
    <w:p w:rsidR="002B56C0" w:rsidRPr="0013104F" w:rsidRDefault="002B56C0" w:rsidP="002B56C0">
      <w:pPr>
        <w:pStyle w:val="PlainText"/>
        <w:ind w:firstLine="1310"/>
        <w:rPr>
          <w:rFonts w:ascii="Times New Roman" w:eastAsia="Calibri" w:hAnsi="Times New Roman"/>
          <w:sz w:val="24"/>
          <w:szCs w:val="24"/>
        </w:rPr>
      </w:pPr>
      <w:r w:rsidRPr="0013104F">
        <w:rPr>
          <w:rFonts w:ascii="Times New Roman" w:hAnsi="Times New Roman"/>
          <w:sz w:val="24"/>
          <w:szCs w:val="23"/>
        </w:rPr>
        <w:t xml:space="preserve">There were no opposing views among NFX’s Board of Directors, members or market participants. The Exchange hereby certifies that the rule amendments set forth herein comply with the Act and the Commission’s regulations thereunder. </w:t>
      </w:r>
      <w:r w:rsidR="00F2689F">
        <w:rPr>
          <w:rFonts w:ascii="Times New Roman" w:hAnsi="Times New Roman"/>
          <w:sz w:val="24"/>
          <w:szCs w:val="23"/>
        </w:rPr>
        <w:t xml:space="preserve"> </w:t>
      </w:r>
      <w:r w:rsidRPr="0013104F">
        <w:rPr>
          <w:rFonts w:ascii="Times New Roman" w:hAnsi="Times New Roman"/>
          <w:sz w:val="24"/>
          <w:szCs w:val="23"/>
        </w:rPr>
        <w:t xml:space="preserve">The Exchange also certifies that notice of pending certification and a copy of this submission have been concurrently posted on the Exchange’s website at </w:t>
      </w:r>
      <w:hyperlink r:id="rId13" w:history="1">
        <w:r w:rsidR="00F2689F">
          <w:rPr>
            <w:rStyle w:val="Hyperlink"/>
            <w:rFonts w:ascii="Times New Roman" w:hAnsi="Times New Roman"/>
            <w:sz w:val="24"/>
          </w:rPr>
          <w:t>business.nasdaq.com/futures</w:t>
        </w:r>
      </w:hyperlink>
      <w:r w:rsidRPr="0013104F">
        <w:rPr>
          <w:rFonts w:ascii="Times New Roman" w:hAnsi="Times New Roman"/>
          <w:sz w:val="24"/>
          <w:szCs w:val="23"/>
        </w:rPr>
        <w:t>.</w:t>
      </w:r>
    </w:p>
    <w:p w:rsidR="002B56C0" w:rsidRPr="0013104F" w:rsidRDefault="002B56C0" w:rsidP="002B56C0">
      <w:pPr>
        <w:pStyle w:val="PlainText"/>
        <w:ind w:firstLine="1310"/>
        <w:rPr>
          <w:rFonts w:ascii="Times New Roman" w:hAnsi="Times New Roman"/>
          <w:sz w:val="24"/>
          <w:szCs w:val="24"/>
        </w:rPr>
      </w:pPr>
    </w:p>
    <w:p w:rsidR="002B56C0" w:rsidRPr="0013104F" w:rsidRDefault="002B56C0" w:rsidP="00314DE6">
      <w:pPr>
        <w:keepNext/>
        <w:spacing w:after="0" w:line="240" w:lineRule="auto"/>
        <w:ind w:firstLine="1310"/>
        <w:rPr>
          <w:rFonts w:ascii="Times New Roman" w:hAnsi="Times New Roman" w:cs="Times New Roman"/>
          <w:spacing w:val="-6"/>
          <w:sz w:val="24"/>
          <w:szCs w:val="24"/>
        </w:rPr>
      </w:pPr>
      <w:r w:rsidRPr="0013104F">
        <w:rPr>
          <w:rFonts w:ascii="Times New Roman" w:eastAsia="Calibri" w:hAnsi="Times New Roman" w:cs="Times New Roman"/>
          <w:sz w:val="24"/>
          <w:szCs w:val="24"/>
        </w:rPr>
        <w:t>If you require any additional information regarding th</w:t>
      </w:r>
      <w:r>
        <w:rPr>
          <w:rFonts w:ascii="Times New Roman" w:eastAsia="Calibri" w:hAnsi="Times New Roman" w:cs="Times New Roman"/>
          <w:sz w:val="24"/>
          <w:szCs w:val="24"/>
        </w:rPr>
        <w:t>is</w:t>
      </w:r>
      <w:r w:rsidRPr="0013104F">
        <w:rPr>
          <w:rFonts w:ascii="Times New Roman" w:eastAsia="Calibri" w:hAnsi="Times New Roman" w:cs="Times New Roman"/>
          <w:sz w:val="24"/>
          <w:szCs w:val="24"/>
        </w:rPr>
        <w:t xml:space="preserve"> submission, please </w:t>
      </w:r>
      <w:r w:rsidRPr="0013104F">
        <w:rPr>
          <w:rFonts w:ascii="Times New Roman" w:hAnsi="Times New Roman" w:cs="Times New Roman"/>
          <w:sz w:val="24"/>
          <w:szCs w:val="24"/>
        </w:rPr>
        <w:t>contact</w:t>
      </w:r>
      <w:r w:rsidRPr="0013104F">
        <w:rPr>
          <w:rFonts w:ascii="Times New Roman" w:hAnsi="Times New Roman" w:cs="Times New Roman"/>
          <w:spacing w:val="-6"/>
          <w:sz w:val="24"/>
          <w:szCs w:val="24"/>
        </w:rPr>
        <w:t xml:space="preserve"> </w:t>
      </w:r>
      <w:r w:rsidR="000B5E2C" w:rsidRPr="00B14D27">
        <w:rPr>
          <w:rFonts w:ascii="Times New Roman" w:eastAsia="Times New Roman" w:hAnsi="Times New Roman" w:cs="Times New Roman"/>
          <w:sz w:val="24"/>
          <w:szCs w:val="24"/>
        </w:rPr>
        <w:t>Stephen Matthews at (301) 978-8458</w:t>
      </w:r>
      <w:r w:rsidRPr="0013104F">
        <w:rPr>
          <w:rFonts w:ascii="Times New Roman" w:hAnsi="Times New Roman" w:cs="Times New Roman"/>
          <w:spacing w:val="-6"/>
          <w:sz w:val="24"/>
          <w:szCs w:val="24"/>
        </w:rPr>
        <w:t xml:space="preserve"> </w:t>
      </w:r>
      <w:r w:rsidRPr="0013104F">
        <w:rPr>
          <w:rFonts w:ascii="Times New Roman" w:hAnsi="Times New Roman" w:cs="Times New Roman"/>
          <w:sz w:val="24"/>
          <w:szCs w:val="24"/>
        </w:rPr>
        <w:t>or</w:t>
      </w:r>
      <w:r w:rsidRPr="0013104F">
        <w:rPr>
          <w:rFonts w:ascii="Times New Roman" w:hAnsi="Times New Roman" w:cs="Times New Roman"/>
          <w:spacing w:val="-6"/>
          <w:sz w:val="24"/>
          <w:szCs w:val="24"/>
        </w:rPr>
        <w:t xml:space="preserve"> </w:t>
      </w:r>
      <w:r w:rsidR="000B5E2C">
        <w:rPr>
          <w:rFonts w:ascii="Times New Roman" w:hAnsi="Times New Roman" w:cs="Times New Roman"/>
          <w:sz w:val="24"/>
          <w:szCs w:val="24"/>
        </w:rPr>
        <w:t>steve</w:t>
      </w:r>
      <w:r w:rsidRPr="0013104F">
        <w:rPr>
          <w:rFonts w:ascii="Times New Roman" w:hAnsi="Times New Roman" w:cs="Times New Roman"/>
          <w:sz w:val="24"/>
          <w:szCs w:val="24"/>
        </w:rPr>
        <w:t>.</w:t>
      </w:r>
      <w:r w:rsidR="000B5E2C">
        <w:rPr>
          <w:rFonts w:ascii="Times New Roman" w:hAnsi="Times New Roman" w:cs="Times New Roman"/>
          <w:sz w:val="24"/>
          <w:szCs w:val="24"/>
        </w:rPr>
        <w:t>matthews</w:t>
      </w:r>
      <w:r w:rsidRPr="0013104F">
        <w:rPr>
          <w:rFonts w:ascii="Times New Roman" w:hAnsi="Times New Roman" w:cs="Times New Roman"/>
          <w:sz w:val="24"/>
          <w:szCs w:val="24"/>
        </w:rPr>
        <w:t>@nasdaq.com</w:t>
      </w:r>
      <w:r w:rsidRPr="0013104F">
        <w:rPr>
          <w:rFonts w:ascii="Times New Roman" w:hAnsi="Times New Roman" w:cs="Times New Roman"/>
          <w:spacing w:val="-6"/>
          <w:sz w:val="24"/>
          <w:szCs w:val="24"/>
        </w:rPr>
        <w:t xml:space="preserve">.  </w:t>
      </w:r>
      <w:r w:rsidRPr="0013104F">
        <w:rPr>
          <w:rFonts w:ascii="Times New Roman" w:hAnsi="Times New Roman" w:cs="Times New Roman"/>
          <w:sz w:val="24"/>
          <w:szCs w:val="24"/>
        </w:rPr>
        <w:t>Please</w:t>
      </w:r>
      <w:r w:rsidRPr="0013104F">
        <w:rPr>
          <w:rFonts w:ascii="Times New Roman" w:hAnsi="Times New Roman" w:cs="Times New Roman"/>
          <w:spacing w:val="-6"/>
          <w:sz w:val="24"/>
          <w:szCs w:val="24"/>
        </w:rPr>
        <w:t xml:space="preserve"> </w:t>
      </w:r>
      <w:r w:rsidRPr="002B3578">
        <w:rPr>
          <w:rFonts w:ascii="Times New Roman" w:hAnsi="Times New Roman" w:cs="Times New Roman"/>
          <w:sz w:val="24"/>
          <w:szCs w:val="24"/>
        </w:rPr>
        <w:t>refer to</w:t>
      </w:r>
      <w:r w:rsidRPr="002B3578">
        <w:rPr>
          <w:rFonts w:ascii="Times New Roman" w:hAnsi="Times New Roman" w:cs="Times New Roman"/>
          <w:spacing w:val="-6"/>
          <w:sz w:val="24"/>
          <w:szCs w:val="24"/>
        </w:rPr>
        <w:t xml:space="preserve"> </w:t>
      </w:r>
      <w:r w:rsidRPr="002B3578">
        <w:rPr>
          <w:rFonts w:ascii="Times New Roman" w:hAnsi="Times New Roman" w:cs="Times New Roman"/>
          <w:sz w:val="24"/>
          <w:szCs w:val="24"/>
        </w:rPr>
        <w:t>SR-NFX-2016-</w:t>
      </w:r>
      <w:r w:rsidR="004C1439">
        <w:rPr>
          <w:rFonts w:ascii="Times New Roman" w:hAnsi="Times New Roman" w:cs="Times New Roman"/>
          <w:sz w:val="24"/>
          <w:szCs w:val="24"/>
        </w:rPr>
        <w:t>40</w:t>
      </w:r>
      <w:r w:rsidRPr="002B3578">
        <w:rPr>
          <w:rFonts w:ascii="Times New Roman" w:hAnsi="Times New Roman" w:cs="Times New Roman"/>
          <w:spacing w:val="-9"/>
          <w:sz w:val="24"/>
          <w:szCs w:val="24"/>
        </w:rPr>
        <w:t xml:space="preserve"> </w:t>
      </w:r>
      <w:r w:rsidRPr="002B3578">
        <w:rPr>
          <w:rFonts w:ascii="Times New Roman" w:eastAsia="Calibri" w:hAnsi="Times New Roman" w:cs="Times New Roman"/>
          <w:sz w:val="24"/>
          <w:szCs w:val="24"/>
        </w:rPr>
        <w:t>in any related correspondence.</w:t>
      </w:r>
    </w:p>
    <w:p w:rsidR="002B56C0" w:rsidRPr="0013104F" w:rsidRDefault="002B56C0" w:rsidP="002B56C0">
      <w:pPr>
        <w:pStyle w:val="NoSpacing"/>
        <w:keepNext/>
        <w:rPr>
          <w:rFonts w:ascii="Times New Roman" w:eastAsia="Times New Roman" w:hAnsi="Times New Roman" w:cs="Times New Roman"/>
          <w:sz w:val="24"/>
          <w:szCs w:val="24"/>
        </w:rPr>
      </w:pPr>
    </w:p>
    <w:p w:rsidR="002B56C0" w:rsidRPr="0013104F" w:rsidRDefault="002B56C0" w:rsidP="002B56C0">
      <w:pPr>
        <w:pStyle w:val="NoSpacing"/>
        <w:keepNext/>
        <w:rPr>
          <w:rFonts w:ascii="Times New Roman" w:eastAsia="Calibri" w:hAnsi="Times New Roman" w:cs="Times New Roman"/>
          <w:sz w:val="24"/>
          <w:szCs w:val="24"/>
        </w:rPr>
      </w:pPr>
      <w:r w:rsidRPr="0013104F">
        <w:rPr>
          <w:rFonts w:ascii="Times New Roman" w:eastAsia="Calibri" w:hAnsi="Times New Roman" w:cs="Times New Roman"/>
          <w:noProof/>
          <w:sz w:val="24"/>
          <w:szCs w:val="24"/>
        </w:rPr>
        <w:drawing>
          <wp:anchor distT="0" distB="0" distL="114300" distR="114300" simplePos="0" relativeHeight="251662336" behindDoc="1" locked="0" layoutInCell="1" allowOverlap="1" wp14:anchorId="7A066FCD" wp14:editId="63FC0155">
            <wp:simplePos x="0" y="0"/>
            <wp:positionH relativeFrom="column">
              <wp:posOffset>2150744</wp:posOffset>
            </wp:positionH>
            <wp:positionV relativeFrom="paragraph">
              <wp:posOffset>168275</wp:posOffset>
            </wp:positionV>
            <wp:extent cx="2886075" cy="638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886075" cy="638175"/>
                    </a:xfrm>
                    <a:prstGeom prst="rect">
                      <a:avLst/>
                    </a:prstGeom>
                    <a:noFill/>
                    <a:ln w="9525">
                      <a:noFill/>
                      <a:miter lim="800000"/>
                      <a:headEnd/>
                      <a:tailEnd/>
                    </a:ln>
                  </pic:spPr>
                </pic:pic>
              </a:graphicData>
            </a:graphic>
            <wp14:sizeRelH relativeFrom="margin">
              <wp14:pctWidth>0</wp14:pctWidth>
            </wp14:sizeRelH>
          </wp:anchor>
        </w:drawing>
      </w:r>
    </w:p>
    <w:p w:rsidR="002B56C0" w:rsidRPr="0013104F" w:rsidRDefault="002B56C0" w:rsidP="002B56C0">
      <w:pPr>
        <w:pStyle w:val="NoSpacing"/>
        <w:keepNext/>
        <w:ind w:left="2880" w:firstLine="720"/>
        <w:rPr>
          <w:rFonts w:ascii="Times New Roman" w:eastAsia="Calibri" w:hAnsi="Times New Roman" w:cs="Times New Roman"/>
          <w:sz w:val="24"/>
          <w:szCs w:val="24"/>
        </w:rPr>
      </w:pPr>
      <w:r w:rsidRPr="0013104F">
        <w:rPr>
          <w:rFonts w:ascii="Times New Roman" w:eastAsia="Calibri" w:hAnsi="Times New Roman" w:cs="Times New Roman"/>
          <w:sz w:val="24"/>
          <w:szCs w:val="24"/>
        </w:rPr>
        <w:t>Regards,</w:t>
      </w:r>
    </w:p>
    <w:p w:rsidR="002B56C0" w:rsidRPr="0013104F" w:rsidRDefault="002B56C0" w:rsidP="002B56C0">
      <w:pPr>
        <w:pStyle w:val="NoSpacing"/>
        <w:keepNext/>
        <w:ind w:left="2880" w:firstLine="720"/>
        <w:rPr>
          <w:rFonts w:ascii="Times New Roman" w:hAnsi="Times New Roman"/>
          <w:sz w:val="24"/>
        </w:rPr>
      </w:pPr>
    </w:p>
    <w:p w:rsidR="002B56C0" w:rsidRPr="0013104F" w:rsidRDefault="002B56C0" w:rsidP="002B56C0">
      <w:pPr>
        <w:pStyle w:val="NoSpacing"/>
        <w:keepNext/>
        <w:ind w:left="2880" w:firstLine="720"/>
        <w:rPr>
          <w:rFonts w:ascii="Times New Roman" w:eastAsia="Calibri" w:hAnsi="Times New Roman" w:cs="Times New Roman"/>
          <w:sz w:val="24"/>
          <w:szCs w:val="24"/>
        </w:rPr>
      </w:pPr>
    </w:p>
    <w:p w:rsidR="002B56C0" w:rsidRPr="0013104F" w:rsidRDefault="002B56C0" w:rsidP="002B56C0">
      <w:pPr>
        <w:pStyle w:val="NoSpacing"/>
        <w:keepNext/>
        <w:ind w:left="2880" w:firstLine="720"/>
        <w:rPr>
          <w:rFonts w:ascii="Times New Roman" w:eastAsia="Calibri" w:hAnsi="Times New Roman" w:cs="Times New Roman"/>
          <w:sz w:val="24"/>
          <w:szCs w:val="24"/>
        </w:rPr>
      </w:pPr>
      <w:r w:rsidRPr="0013104F">
        <w:rPr>
          <w:rFonts w:ascii="Times New Roman" w:eastAsia="Calibri" w:hAnsi="Times New Roman" w:cs="Times New Roman"/>
          <w:sz w:val="24"/>
          <w:szCs w:val="24"/>
        </w:rPr>
        <w:t>Daniel R. Carrigan</w:t>
      </w:r>
    </w:p>
    <w:p w:rsidR="002B56C0" w:rsidRPr="0013104F" w:rsidRDefault="002B56C0" w:rsidP="002B56C0">
      <w:pPr>
        <w:pStyle w:val="NoSpacing"/>
        <w:ind w:left="2880" w:firstLine="720"/>
        <w:rPr>
          <w:rFonts w:ascii="Times New Roman" w:eastAsia="Calibri" w:hAnsi="Times New Roman" w:cs="Times New Roman"/>
          <w:sz w:val="24"/>
          <w:szCs w:val="24"/>
        </w:rPr>
      </w:pPr>
      <w:r w:rsidRPr="0013104F">
        <w:rPr>
          <w:rFonts w:ascii="Times New Roman" w:eastAsia="Calibri" w:hAnsi="Times New Roman" w:cs="Times New Roman"/>
          <w:sz w:val="24"/>
          <w:szCs w:val="24"/>
        </w:rPr>
        <w:t>President</w:t>
      </w:r>
    </w:p>
    <w:p w:rsidR="002B56C0" w:rsidRPr="0013104F" w:rsidRDefault="002B56C0" w:rsidP="002B56C0">
      <w:pPr>
        <w:pStyle w:val="NoSpacing"/>
        <w:rPr>
          <w:rFonts w:ascii="Times New Roman" w:eastAsia="Calibri" w:hAnsi="Times New Roman" w:cs="Times New Roman"/>
          <w:sz w:val="24"/>
          <w:szCs w:val="24"/>
        </w:rPr>
      </w:pPr>
    </w:p>
    <w:p w:rsidR="002B56C0" w:rsidRPr="0013104F" w:rsidRDefault="002B56C0" w:rsidP="002B56C0">
      <w:pPr>
        <w:pStyle w:val="NoSpacing"/>
        <w:rPr>
          <w:rFonts w:ascii="Times New Roman" w:eastAsia="Calibri" w:hAnsi="Times New Roman" w:cs="Times New Roman"/>
          <w:sz w:val="24"/>
          <w:szCs w:val="24"/>
        </w:rPr>
      </w:pPr>
    </w:p>
    <w:p w:rsidR="004F4E47" w:rsidRDefault="002B56C0" w:rsidP="002B56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9159EA" w:rsidRDefault="009159EA" w:rsidP="009159E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Attachment A – </w:t>
      </w:r>
      <w:r w:rsidRPr="00A1032E">
        <w:rPr>
          <w:rFonts w:ascii="Times New Roman" w:eastAsia="Calibri" w:hAnsi="Times New Roman" w:cs="Times New Roman"/>
          <w:sz w:val="24"/>
          <w:szCs w:val="24"/>
        </w:rPr>
        <w:t>Designated Market Mak</w:t>
      </w:r>
      <w:bookmarkStart w:id="0" w:name="_GoBack"/>
      <w:bookmarkEnd w:id="0"/>
      <w:r w:rsidRPr="00A1032E">
        <w:rPr>
          <w:rFonts w:ascii="Times New Roman" w:eastAsia="Calibri" w:hAnsi="Times New Roman" w:cs="Times New Roman"/>
          <w:sz w:val="24"/>
          <w:szCs w:val="24"/>
        </w:rPr>
        <w:t xml:space="preserve">er </w:t>
      </w:r>
      <w:r>
        <w:rPr>
          <w:rFonts w:ascii="Times New Roman" w:eastAsia="Calibri" w:hAnsi="Times New Roman" w:cs="Times New Roman"/>
          <w:sz w:val="24"/>
          <w:szCs w:val="24"/>
        </w:rPr>
        <w:t>Tender</w:t>
      </w:r>
      <w:r w:rsidRPr="00A1032E">
        <w:rPr>
          <w:rFonts w:ascii="Times New Roman" w:eastAsia="Calibri" w:hAnsi="Times New Roman" w:cs="Times New Roman"/>
          <w:sz w:val="24"/>
          <w:szCs w:val="24"/>
        </w:rPr>
        <w:t xml:space="preserve"> for Appointment in Energy Futures and Options Products</w:t>
      </w:r>
    </w:p>
    <w:p w:rsidR="002B3578" w:rsidRDefault="002B3578" w:rsidP="009159EA">
      <w:pPr>
        <w:spacing w:after="0" w:line="240" w:lineRule="auto"/>
        <w:rPr>
          <w:rFonts w:ascii="Times New Roman" w:eastAsia="Calibri" w:hAnsi="Times New Roman" w:cs="Times New Roman"/>
          <w:sz w:val="24"/>
          <w:szCs w:val="24"/>
        </w:rPr>
      </w:pPr>
    </w:p>
    <w:p w:rsidR="009159EA" w:rsidRDefault="009159EA" w:rsidP="009159E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Attachment B – </w:t>
      </w:r>
      <w:r w:rsidRPr="00A1032E">
        <w:rPr>
          <w:rFonts w:ascii="Times New Roman" w:eastAsia="Calibri" w:hAnsi="Times New Roman" w:cs="Times New Roman"/>
          <w:sz w:val="24"/>
          <w:szCs w:val="24"/>
        </w:rPr>
        <w:t xml:space="preserve">Designated Market Maker </w:t>
      </w:r>
      <w:r>
        <w:rPr>
          <w:rFonts w:ascii="Times New Roman" w:eastAsia="Calibri" w:hAnsi="Times New Roman" w:cs="Times New Roman"/>
          <w:sz w:val="24"/>
          <w:szCs w:val="24"/>
        </w:rPr>
        <w:t>Tender Template</w:t>
      </w:r>
    </w:p>
    <w:p w:rsidR="002B56C0" w:rsidRDefault="002B56C0" w:rsidP="002B56C0">
      <w:pPr>
        <w:spacing w:after="0" w:line="240" w:lineRule="auto"/>
        <w:ind w:left="1350" w:hanging="1350"/>
        <w:rPr>
          <w:rFonts w:ascii="Times New Roman" w:hAnsi="Times New Roman" w:cs="Times New Roman"/>
          <w:sz w:val="24"/>
          <w:szCs w:val="24"/>
        </w:rPr>
      </w:pPr>
      <w:r w:rsidRPr="0013104F">
        <w:rPr>
          <w:rFonts w:ascii="Times New Roman" w:hAnsi="Times New Roman" w:cs="Times New Roman"/>
          <w:sz w:val="24"/>
          <w:szCs w:val="24"/>
        </w:rPr>
        <w:t xml:space="preserve">  </w:t>
      </w:r>
    </w:p>
    <w:p w:rsidR="004F42A5" w:rsidRDefault="004F42A5">
      <w:pPr>
        <w:spacing w:after="0" w:line="240" w:lineRule="auto"/>
        <w:rPr>
          <w:rFonts w:ascii="Times New Roman" w:eastAsia="Arial" w:hAnsi="Times New Roman" w:cs="Times New Roman"/>
          <w:b/>
          <w:spacing w:val="-4"/>
          <w:sz w:val="24"/>
          <w:szCs w:val="20"/>
          <w:lang w:eastAsia="sv-SE"/>
        </w:rPr>
      </w:pPr>
      <w:r>
        <w:rPr>
          <w:rFonts w:ascii="Times New Roman" w:hAnsi="Times New Roman"/>
          <w:sz w:val="24"/>
        </w:rPr>
        <w:br w:type="page"/>
      </w:r>
    </w:p>
    <w:p w:rsidR="00543FF5" w:rsidRPr="00543FF5" w:rsidRDefault="00543FF5" w:rsidP="00543FF5">
      <w:pPr>
        <w:pStyle w:val="Subhead1Style"/>
        <w:jc w:val="center"/>
        <w:rPr>
          <w:rFonts w:ascii="Times New Roman" w:hAnsi="Times New Roman"/>
          <w:color w:val="auto"/>
          <w:sz w:val="24"/>
          <w:highlight w:val="yellow"/>
        </w:rPr>
      </w:pPr>
      <w:r w:rsidRPr="00543FF5">
        <w:rPr>
          <w:rFonts w:ascii="Times New Roman" w:hAnsi="Times New Roman"/>
          <w:color w:val="auto"/>
          <w:sz w:val="24"/>
        </w:rPr>
        <w:lastRenderedPageBreak/>
        <w:t>Attachment A</w:t>
      </w:r>
    </w:p>
    <w:p w:rsidR="00543FF5" w:rsidRDefault="00232FFF" w:rsidP="0032079E">
      <w:pPr>
        <w:pStyle w:val="Subhead1Style"/>
        <w:jc w:val="both"/>
        <w:rPr>
          <w:color w:val="0070C0"/>
          <w:highlight w:val="yellow"/>
        </w:rPr>
      </w:pPr>
      <w:r>
        <w:rPr>
          <w:bCs/>
          <w:caps/>
          <w:noProof/>
          <w:lang w:eastAsia="en-US"/>
        </w:rPr>
        <mc:AlternateContent>
          <mc:Choice Requires="wps">
            <w:drawing>
              <wp:anchor distT="0" distB="0" distL="114300" distR="114300" simplePos="0" relativeHeight="251668480" behindDoc="0" locked="0" layoutInCell="1" allowOverlap="1" wp14:anchorId="3B6BE8A4" wp14:editId="35C8AB61">
                <wp:simplePos x="0" y="0"/>
                <wp:positionH relativeFrom="column">
                  <wp:posOffset>2760345</wp:posOffset>
                </wp:positionH>
                <wp:positionV relativeFrom="paragraph">
                  <wp:posOffset>142240</wp:posOffset>
                </wp:positionV>
                <wp:extent cx="1280160" cy="443865"/>
                <wp:effectExtent l="0" t="0" r="0" b="0"/>
                <wp:wrapNone/>
                <wp:docPr id="8" name="Rectangle 8"/>
                <wp:cNvGraphicFramePr/>
                <a:graphic xmlns:a="http://schemas.openxmlformats.org/drawingml/2006/main">
                  <a:graphicData uri="http://schemas.microsoft.com/office/word/2010/wordprocessingShape">
                    <wps:wsp>
                      <wps:cNvSpPr/>
                      <wps:spPr>
                        <a:xfrm>
                          <a:off x="0" y="0"/>
                          <a:ext cx="1280160" cy="44386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196E" w:rsidRPr="00E46DD2" w:rsidRDefault="00D1196E" w:rsidP="00D1196E">
                            <w:pPr>
                              <w:rPr>
                                <w:rFonts w:ascii="Calibri" w:hAnsi="Calibri"/>
                                <w:color w:val="FFFFFF" w:themeColor="background1"/>
                                <w:sz w:val="36"/>
                              </w:rPr>
                            </w:pPr>
                            <w:r>
                              <w:rPr>
                                <w:rFonts w:ascii="Calibri" w:hAnsi="Calibri"/>
                                <w:color w:val="FFFFFF" w:themeColor="background1"/>
                                <w:sz w:val="36"/>
                              </w:rPr>
                              <w:t xml:space="preserve">    Futures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217.35pt;margin-top:11.2pt;width:100.8pt;height:3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" fillcolor="#bfbfbf [2412]" stroked="f" strokeweight="2pt">
                <v:textbox inset="0,0,0,0">
                  <w:txbxContent>
                    <w:p w:rsidR="00D1196E" w:rsidRPr="00E46DD2" w:rsidRDefault="00D1196E" w:rsidP="00D1196E">
                      <w:pPr>
                        <w:rPr>
                          <w:rFonts w:ascii="Calibri" w:hAnsi="Calibri"/>
                          <w:color w:val="FFFFFF" w:themeColor="background1"/>
                          <w:sz w:val="36"/>
                        </w:rPr>
                      </w:pPr>
                      <w:r>
                        <w:rPr>
                          <w:rFonts w:ascii="Calibri" w:hAnsi="Calibri"/>
                          <w:color w:val="FFFFFF" w:themeColor="background1"/>
                          <w:sz w:val="36"/>
                        </w:rPr>
                        <w:t xml:space="preserve">    Futures</w:t>
                      </w:r>
                    </w:p>
                  </w:txbxContent>
                </v:textbox>
              </v:rect>
            </w:pict>
          </mc:Fallback>
        </mc:AlternateContent>
      </w:r>
    </w:p>
    <w:p w:rsidR="00543FF5" w:rsidRDefault="00D1196E" w:rsidP="0032079E">
      <w:pPr>
        <w:pStyle w:val="Subhead1Style"/>
        <w:jc w:val="both"/>
        <w:rPr>
          <w:color w:val="0070C0"/>
          <w:highlight w:val="yellow"/>
        </w:rPr>
      </w:pPr>
      <w:r>
        <w:rPr>
          <w:bCs/>
          <w:caps/>
          <w:noProof/>
          <w:lang w:eastAsia="en-US"/>
        </w:rPr>
        <mc:AlternateContent>
          <mc:Choice Requires="wps">
            <w:drawing>
              <wp:anchor distT="0" distB="0" distL="114300" distR="114300" simplePos="0" relativeHeight="251666432" behindDoc="0" locked="0" layoutInCell="1" allowOverlap="1" wp14:anchorId="22D21CE1" wp14:editId="71AAAAEB">
                <wp:simplePos x="0" y="0"/>
                <wp:positionH relativeFrom="column">
                  <wp:posOffset>2158365</wp:posOffset>
                </wp:positionH>
                <wp:positionV relativeFrom="paragraph">
                  <wp:posOffset>-417195</wp:posOffset>
                </wp:positionV>
                <wp:extent cx="457200" cy="754380"/>
                <wp:effectExtent l="3810" t="0" r="3810" b="3810"/>
                <wp:wrapNone/>
                <wp:docPr id="9" name="Right Triangle 9"/>
                <wp:cNvGraphicFramePr/>
                <a:graphic xmlns:a="http://schemas.openxmlformats.org/drawingml/2006/main">
                  <a:graphicData uri="http://schemas.microsoft.com/office/word/2010/wordprocessingShape">
                    <wps:wsp>
                      <wps:cNvSpPr/>
                      <wps:spPr>
                        <a:xfrm rot="16200000">
                          <a:off x="0" y="0"/>
                          <a:ext cx="457200" cy="754380"/>
                        </a:xfrm>
                        <a:prstGeom prst="r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style="position:absolute;margin-left:169.95pt;margin-top:-32.85pt;width:36pt;height:59.4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" fillcolor="#bfbfbf [2412]" stroked="f" strokeweight="2pt"/>
            </w:pict>
          </mc:Fallback>
        </mc:AlternateContent>
      </w:r>
      <w:r w:rsidR="00543FF5" w:rsidRPr="00500CE8">
        <w:rPr>
          <w:rStyle w:val="Heading3Char"/>
          <w:noProof/>
          <w:color w:val="FFFFFF" w:themeColor="background1"/>
          <w:highlight w:val="lightGray"/>
          <w:lang w:eastAsia="en-US"/>
        </w:rPr>
        <w:drawing>
          <wp:anchor distT="0" distB="0" distL="114300" distR="114300" simplePos="0" relativeHeight="251664384" behindDoc="1" locked="1" layoutInCell="1" allowOverlap="1" wp14:anchorId="71DF98A0" wp14:editId="29EF2717">
            <wp:simplePos x="0" y="0"/>
            <wp:positionH relativeFrom="column">
              <wp:posOffset>-453390</wp:posOffset>
            </wp:positionH>
            <wp:positionV relativeFrom="page">
              <wp:posOffset>1439545</wp:posOffset>
            </wp:positionV>
            <wp:extent cx="2092325" cy="599440"/>
            <wp:effectExtent l="0" t="0" r="3175" b="0"/>
            <wp:wrapNone/>
            <wp:docPr id="3" name="Picture 3"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2005-2010:Desktop:NDAQ_Letterhead_2014:ndaq_colo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2325" cy="599440"/>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32079E" w:rsidRPr="004441F4" w:rsidRDefault="00543FF5" w:rsidP="0032079E">
      <w:pPr>
        <w:pStyle w:val="Subhead1Style"/>
        <w:jc w:val="both"/>
        <w:rPr>
          <w:color w:val="0070C0"/>
        </w:rPr>
      </w:pPr>
      <w:r w:rsidRPr="00232FFF">
        <w:rPr>
          <w:color w:val="0070C0"/>
        </w:rPr>
        <w:t>A</w:t>
      </w:r>
      <w:r w:rsidR="0032079E" w:rsidRPr="00232FFF">
        <w:rPr>
          <w:color w:val="0070C0"/>
        </w:rPr>
        <w:t>pril 1, 2016</w:t>
      </w:r>
    </w:p>
    <w:p w:rsidR="0032079E" w:rsidRPr="00543FF5" w:rsidRDefault="0032079E" w:rsidP="0032079E">
      <w:pPr>
        <w:pStyle w:val="Heading1"/>
        <w:ind w:left="-720"/>
        <w:rPr>
          <w:rFonts w:ascii="Calibri" w:hAnsi="Calibri"/>
        </w:rPr>
      </w:pPr>
      <w:r w:rsidRPr="00543FF5">
        <w:rPr>
          <w:rFonts w:ascii="Calibri" w:hAnsi="Calibri"/>
          <w:color w:val="0070C0"/>
        </w:rPr>
        <w:t>D</w:t>
      </w:r>
      <w:r w:rsidR="00543FF5" w:rsidRPr="00543FF5">
        <w:rPr>
          <w:rFonts w:ascii="Calibri" w:hAnsi="Calibri"/>
          <w:color w:val="0070C0"/>
        </w:rPr>
        <w:t>ESIGNATED</w:t>
      </w:r>
      <w:r w:rsidR="00543FF5">
        <w:rPr>
          <w:rFonts w:ascii="Calibri" w:hAnsi="Calibri"/>
          <w:color w:val="0070C0"/>
        </w:rPr>
        <w:t xml:space="preserve"> MARKET MAKER TENDER FOR APPOINTMENT IN ENERGY FUTURES AND OPTIONS PRODUCTS</w:t>
      </w:r>
    </w:p>
    <w:p w:rsidR="0032079E" w:rsidRPr="004441F4" w:rsidRDefault="0032079E" w:rsidP="0032079E">
      <w:pPr>
        <w:pStyle w:val="Subhead1Style"/>
        <w:jc w:val="both"/>
        <w:rPr>
          <w:color w:val="0070C0"/>
        </w:rPr>
      </w:pPr>
      <w:r>
        <w:rPr>
          <w:color w:val="0070C0"/>
        </w:rPr>
        <w:t>Introduction</w:t>
      </w:r>
    </w:p>
    <w:p w:rsidR="0032079E" w:rsidRDefault="0032079E" w:rsidP="0032079E">
      <w:pPr>
        <w:pStyle w:val="MainText"/>
      </w:pPr>
      <w:r>
        <w:t>Nasdaq Futures, Inc. (</w:t>
      </w:r>
      <w:r w:rsidR="00232FFF">
        <w:t>“</w:t>
      </w:r>
      <w:r>
        <w:t>NFX</w:t>
      </w:r>
      <w:r w:rsidR="00232FFF">
        <w:t>”</w:t>
      </w:r>
      <w:r>
        <w:t xml:space="preserve"> or the </w:t>
      </w:r>
      <w:r w:rsidR="00232FFF">
        <w:t>“</w:t>
      </w:r>
      <w:r>
        <w:t>Exchange</w:t>
      </w:r>
      <w:r w:rsidR="00232FFF">
        <w:t>”</w:t>
      </w:r>
      <w:r>
        <w:t>), the designated contract market owned by Nasdaq, is establishing a new Designated Market Maker (</w:t>
      </w:r>
      <w:r w:rsidR="00232FFF">
        <w:t>“</w:t>
      </w:r>
      <w:r>
        <w:t>DMM</w:t>
      </w:r>
      <w:r w:rsidR="00232FFF">
        <w:t>”</w:t>
      </w:r>
      <w:r>
        <w:t>) program which will commence on April 24, 2016 for NFX Energy Futures and Options Products (</w:t>
      </w:r>
      <w:r w:rsidR="00232FFF">
        <w:t>“</w:t>
      </w:r>
      <w:r>
        <w:t>Energy Products</w:t>
      </w:r>
      <w:r w:rsidR="00232FFF">
        <w:t>”</w:t>
      </w:r>
      <w:r>
        <w:t>)</w:t>
      </w:r>
      <w:r>
        <w:rPr>
          <w:rStyle w:val="FootnoteReference"/>
        </w:rPr>
        <w:footnoteReference w:id="2"/>
      </w:r>
      <w:r>
        <w:t xml:space="preserve"> and will continue until April 28, 2017.</w:t>
      </w:r>
    </w:p>
    <w:p w:rsidR="0032079E" w:rsidRDefault="0032079E" w:rsidP="0032079E">
      <w:pPr>
        <w:pStyle w:val="MainText"/>
      </w:pPr>
    </w:p>
    <w:p w:rsidR="0032079E" w:rsidRDefault="0032079E" w:rsidP="0032079E">
      <w:pPr>
        <w:pStyle w:val="MainText"/>
      </w:pPr>
      <w:r>
        <w:t>The purpose of the program is to support liquidity in the Energy Products by recruiting DMMs to maintain competitive bid/ask spreads across the forward Contract curves, in Intra-Commodity (Time) Spreads, and in Inter-Commodity Spreads.  The program will also enhance price discovery in the less liquid Energy Products by establishing commitments with DMMs to participate in a R</w:t>
      </w:r>
      <w:r w:rsidRPr="00F84E4E">
        <w:t xml:space="preserve">equest for </w:t>
      </w:r>
      <w:r>
        <w:t>Q</w:t>
      </w:r>
      <w:r w:rsidRPr="00F84E4E">
        <w:t>uotes process</w:t>
      </w:r>
      <w:r>
        <w:t>.</w:t>
      </w:r>
    </w:p>
    <w:p w:rsidR="0032079E" w:rsidRDefault="0032079E" w:rsidP="0032079E">
      <w:pPr>
        <w:pStyle w:val="MainText"/>
      </w:pPr>
    </w:p>
    <w:p w:rsidR="0032079E" w:rsidRDefault="0032079E" w:rsidP="00232FFF">
      <w:pPr>
        <w:pStyle w:val="MainText"/>
      </w:pPr>
      <w:r w:rsidRPr="004E4C83">
        <w:t>During the DMM program term, the Exchange will not assess transactions fees or clearing fees for the Energy Products.</w:t>
      </w:r>
      <w:r>
        <w:t xml:space="preserve">  Appointed DMMs will receive a monthly stipend in an amount to be determined by each DMM and the Exchange.  </w:t>
      </w:r>
    </w:p>
    <w:p w:rsidR="0032079E" w:rsidRDefault="0032079E" w:rsidP="00232FFF">
      <w:pPr>
        <w:pStyle w:val="Subhead1Style"/>
        <w:jc w:val="both"/>
      </w:pPr>
      <w:r>
        <w:t xml:space="preserve">NFX invites Futures Participants and Authorized Customers to apply for DMM appointments in the Energy Products.  NFX will assess tender applications received based upon several qualitative metrics, including each applicants proposed commitments with respect to volume and minimum bid-ask spreads.  Applicants may also request a monthly financial stipend, which the Exchange will evaluate in light of their proposed market making commitments.  </w:t>
      </w:r>
      <w:r w:rsidRPr="00C47136">
        <w:br/>
      </w:r>
    </w:p>
    <w:p w:rsidR="0032079E" w:rsidRPr="004441F4" w:rsidRDefault="0032079E" w:rsidP="0032079E">
      <w:pPr>
        <w:pStyle w:val="Subhead1Style"/>
        <w:jc w:val="both"/>
        <w:rPr>
          <w:color w:val="0070C0"/>
        </w:rPr>
      </w:pPr>
      <w:r>
        <w:rPr>
          <w:color w:val="0070C0"/>
        </w:rPr>
        <w:t>Program Design</w:t>
      </w:r>
    </w:p>
    <w:p w:rsidR="0032079E" w:rsidRDefault="0032079E" w:rsidP="0032079E">
      <w:pPr>
        <w:pStyle w:val="MainText"/>
      </w:pPr>
      <w:r>
        <w:t>The NFX Designated Market Maker program objectives are:</w:t>
      </w:r>
    </w:p>
    <w:p w:rsidR="0032079E" w:rsidRDefault="0032079E" w:rsidP="0032079E">
      <w:pPr>
        <w:pStyle w:val="MainText"/>
      </w:pPr>
      <w:r>
        <w:t xml:space="preserve"> </w:t>
      </w:r>
    </w:p>
    <w:p w:rsidR="0032079E" w:rsidRDefault="0032079E" w:rsidP="0032079E">
      <w:pPr>
        <w:pStyle w:val="MainText"/>
        <w:numPr>
          <w:ilvl w:val="0"/>
          <w:numId w:val="37"/>
        </w:numPr>
      </w:pPr>
      <w:r>
        <w:t>To facilitate competitive bid/ask spreads in the most liquid Contracts and expiries (front 4 months);</w:t>
      </w:r>
    </w:p>
    <w:p w:rsidR="0032079E" w:rsidRDefault="0032079E" w:rsidP="0032079E">
      <w:pPr>
        <w:pStyle w:val="MainText"/>
        <w:numPr>
          <w:ilvl w:val="0"/>
          <w:numId w:val="37"/>
        </w:numPr>
      </w:pPr>
      <w:r>
        <w:t>To provide for sufficient depth in the most liquid Contracts and expiries (front 4 months);</w:t>
      </w:r>
    </w:p>
    <w:p w:rsidR="0032079E" w:rsidRDefault="0032079E" w:rsidP="0032079E">
      <w:pPr>
        <w:pStyle w:val="MainText"/>
        <w:numPr>
          <w:ilvl w:val="0"/>
          <w:numId w:val="37"/>
        </w:numPr>
      </w:pPr>
      <w:r>
        <w:t xml:space="preserve">To provide for competitive bid/ask spreads for each outright Contract for the subsequent 8 months (i.e., months 5 through 12) on the forward curve; </w:t>
      </w:r>
    </w:p>
    <w:p w:rsidR="0032079E" w:rsidRDefault="0032079E" w:rsidP="0032079E">
      <w:pPr>
        <w:pStyle w:val="MainText"/>
        <w:numPr>
          <w:ilvl w:val="0"/>
          <w:numId w:val="37"/>
        </w:numPr>
      </w:pPr>
      <w:r>
        <w:t>To provide for competitive bid/ask spreads for Intra-Commodity (Time) Spreads up to 12 months;</w:t>
      </w:r>
    </w:p>
    <w:p w:rsidR="0032079E" w:rsidRDefault="0032079E" w:rsidP="0032079E">
      <w:pPr>
        <w:pStyle w:val="MainText"/>
        <w:numPr>
          <w:ilvl w:val="0"/>
          <w:numId w:val="37"/>
        </w:numPr>
      </w:pPr>
      <w:r>
        <w:t>To provide for competitive bid/ask spreads for Inter-Commodity Spreads within the nearest 6 months; and</w:t>
      </w:r>
    </w:p>
    <w:p w:rsidR="0032079E" w:rsidRDefault="0032079E" w:rsidP="0032079E">
      <w:pPr>
        <w:pStyle w:val="MainText"/>
        <w:numPr>
          <w:ilvl w:val="0"/>
          <w:numId w:val="37"/>
        </w:numPr>
      </w:pPr>
      <w:r>
        <w:t>To facilitate price discovery in less liquid Futures and Options across the forward curve (up to 60 months).</w:t>
      </w:r>
    </w:p>
    <w:p w:rsidR="0032079E" w:rsidRDefault="0032079E" w:rsidP="0032079E">
      <w:pPr>
        <w:pStyle w:val="MainText"/>
      </w:pPr>
    </w:p>
    <w:p w:rsidR="0032079E" w:rsidRDefault="0032079E" w:rsidP="0032079E">
      <w:pPr>
        <w:pStyle w:val="MainText"/>
      </w:pPr>
    </w:p>
    <w:p w:rsidR="0032079E" w:rsidRPr="00603751" w:rsidRDefault="0032079E" w:rsidP="0032079E">
      <w:pPr>
        <w:pStyle w:val="MainText"/>
      </w:pPr>
      <w:r w:rsidRPr="00603751">
        <w:t xml:space="preserve">Applicants may propose to provide either Continuous Quoting Market Making or Quote Response Market Making, or both. </w:t>
      </w:r>
    </w:p>
    <w:p w:rsidR="0032079E" w:rsidRPr="00C47136" w:rsidRDefault="0032079E" w:rsidP="0032079E">
      <w:pPr>
        <w:pStyle w:val="MainText"/>
      </w:pPr>
    </w:p>
    <w:p w:rsidR="0032079E" w:rsidRDefault="0032079E" w:rsidP="0032079E">
      <w:pPr>
        <w:pStyle w:val="Bullets"/>
      </w:pPr>
      <w:r w:rsidRPr="00FE5FE2">
        <w:rPr>
          <w:b/>
        </w:rPr>
        <w:t>Continuous Quoting Market Making</w:t>
      </w:r>
      <w:r w:rsidRPr="00FE5FE2">
        <w:t xml:space="preserve"> </w:t>
      </w:r>
      <w:r w:rsidRPr="00FE5FE2">
        <w:rPr>
          <w:b/>
        </w:rPr>
        <w:t xml:space="preserve">(CQ) </w:t>
      </w:r>
      <w:r w:rsidRPr="00FE5FE2">
        <w:t xml:space="preserve">is </w:t>
      </w:r>
      <w:r>
        <w:t>c</w:t>
      </w:r>
      <w:r w:rsidRPr="00FE5FE2">
        <w:t xml:space="preserve">ontinuous </w:t>
      </w:r>
      <w:r>
        <w:t>quoting (using Quote or Order functionality)</w:t>
      </w:r>
      <w:r w:rsidRPr="00FE5FE2">
        <w:t xml:space="preserve"> for a set of liquid </w:t>
      </w:r>
      <w:r>
        <w:t>C</w:t>
      </w:r>
      <w:r w:rsidRPr="00FE5FE2">
        <w:t xml:space="preserve">ontracts with </w:t>
      </w:r>
      <w:r>
        <w:t>Q</w:t>
      </w:r>
      <w:r w:rsidRPr="00FE5FE2">
        <w:t xml:space="preserve">uotes for a pre-defined number of </w:t>
      </w:r>
      <w:r>
        <w:t>e</w:t>
      </w:r>
      <w:r w:rsidRPr="00FE5FE2">
        <w:t>xpirations.</w:t>
      </w:r>
    </w:p>
    <w:p w:rsidR="0032079E" w:rsidRDefault="0032079E" w:rsidP="0032079E">
      <w:pPr>
        <w:pStyle w:val="Bullets"/>
        <w:rPr>
          <w:b/>
        </w:rPr>
      </w:pPr>
      <w:r w:rsidRPr="00FE5FE2">
        <w:rPr>
          <w:b/>
        </w:rPr>
        <w:t xml:space="preserve">Quote Response Market Making (QR) </w:t>
      </w:r>
      <w:r w:rsidRPr="00FE5FE2">
        <w:t xml:space="preserve">applies to less liquid contracts </w:t>
      </w:r>
      <w:r>
        <w:t>and requires the DMM to r</w:t>
      </w:r>
      <w:r w:rsidRPr="00FE5FE2">
        <w:t>espon</w:t>
      </w:r>
      <w:r>
        <w:t>d</w:t>
      </w:r>
      <w:r w:rsidRPr="00FE5FE2">
        <w:t xml:space="preserve"> to Request</w:t>
      </w:r>
      <w:r>
        <w:t>s</w:t>
      </w:r>
      <w:r w:rsidRPr="00FE5FE2">
        <w:t xml:space="preserve"> for Quote (RFQ). </w:t>
      </w:r>
      <w:r>
        <w:t xml:space="preserve"> QR market making will be available for Options contracts and less liquid Futures contracts</w:t>
      </w:r>
      <w:r>
        <w:rPr>
          <w:b/>
        </w:rPr>
        <w:t>.</w:t>
      </w:r>
    </w:p>
    <w:p w:rsidR="0032079E" w:rsidRDefault="0032079E" w:rsidP="0032079E">
      <w:pPr>
        <w:pStyle w:val="MainText"/>
      </w:pPr>
    </w:p>
    <w:p w:rsidR="0032079E" w:rsidRDefault="0032079E" w:rsidP="0032079E">
      <w:pPr>
        <w:pStyle w:val="MainText"/>
      </w:pPr>
      <w:r>
        <w:t xml:space="preserve">NFX acknowledges that DMMs might have different areas of focus along the forward curve, as well as different capabilities to manage physical deliveries.  NFX expects a number of DMM appointments to support early liquidity provisioning.  Applications shall be made by the following Product Groups: Crude Oil Futures, Fuel Futures, Crude Oil Options, Natural Gas Futures, and Natural Gas Options. </w:t>
      </w:r>
    </w:p>
    <w:p w:rsidR="0032079E" w:rsidRPr="002E4D16" w:rsidRDefault="0032079E" w:rsidP="0032079E">
      <w:pPr>
        <w:pStyle w:val="Subhead1Style"/>
        <w:numPr>
          <w:ilvl w:val="0"/>
          <w:numId w:val="36"/>
        </w:numPr>
        <w:ind w:left="-360"/>
        <w:rPr>
          <w:color w:val="0070C0"/>
        </w:rPr>
      </w:pPr>
      <w:r>
        <w:rPr>
          <w:color w:val="0070C0"/>
        </w:rPr>
        <w:t xml:space="preserve">DMM Program Products </w:t>
      </w:r>
    </w:p>
    <w:p w:rsidR="0032079E" w:rsidRDefault="0032079E" w:rsidP="0032079E">
      <w:pPr>
        <w:pStyle w:val="MainText"/>
      </w:pPr>
      <w:r w:rsidRPr="00F31DD7">
        <w:t>A D</w:t>
      </w:r>
      <w:r>
        <w:t>MM</w:t>
      </w:r>
      <w:r w:rsidRPr="00F31DD7">
        <w:t xml:space="preserve"> may</w:t>
      </w:r>
      <w:r>
        <w:t xml:space="preserve"> apply</w:t>
      </w:r>
      <w:r w:rsidRPr="00F31DD7">
        <w:t xml:space="preserve"> </w:t>
      </w:r>
      <w:r>
        <w:t>for</w:t>
      </w:r>
      <w:r w:rsidRPr="00F31DD7">
        <w:t xml:space="preserve"> any combination of Energy Produ</w:t>
      </w:r>
      <w:r>
        <w:t>cts listed below:</w:t>
      </w:r>
    </w:p>
    <w:p w:rsidR="0032079E" w:rsidRDefault="0032079E" w:rsidP="0032079E">
      <w:pPr>
        <w:pStyle w:val="MainText"/>
      </w:pPr>
    </w:p>
    <w:tbl>
      <w:tblPr>
        <w:tblStyle w:val="NLXStx"/>
        <w:tblW w:w="5212" w:type="pct"/>
        <w:tblInd w:w="-406" w:type="dxa"/>
        <w:tblLook w:val="04A0" w:firstRow="1" w:lastRow="0" w:firstColumn="1" w:lastColumn="0" w:noHBand="0" w:noVBand="1"/>
      </w:tblPr>
      <w:tblGrid>
        <w:gridCol w:w="5281"/>
        <w:gridCol w:w="894"/>
        <w:gridCol w:w="1510"/>
        <w:gridCol w:w="1141"/>
        <w:gridCol w:w="1141"/>
      </w:tblGrid>
      <w:tr w:rsidR="0032079E" w:rsidRPr="0079555F" w:rsidTr="00F0711D">
        <w:trPr>
          <w:cnfStyle w:val="100000000000" w:firstRow="1" w:lastRow="0" w:firstColumn="0" w:lastColumn="0" w:oddVBand="0" w:evenVBand="0" w:oddHBand="0" w:evenHBand="0" w:firstRowFirstColumn="0" w:firstRowLastColumn="0" w:lastRowFirstColumn="0" w:lastRowLastColumn="0"/>
        </w:trPr>
        <w:tc>
          <w:tcPr>
            <w:tcW w:w="2697" w:type="pct"/>
          </w:tcPr>
          <w:p w:rsidR="0032079E" w:rsidRPr="00643A41" w:rsidRDefault="0032079E" w:rsidP="00F0711D">
            <w:pPr>
              <w:rPr>
                <w:rFonts w:ascii="Calibri" w:hAnsi="Calibri"/>
              </w:rPr>
            </w:pPr>
            <w:r w:rsidRPr="00643A41">
              <w:rPr>
                <w:rFonts w:ascii="Calibri" w:hAnsi="Calibri"/>
              </w:rPr>
              <w:t>Contract Name</w:t>
            </w:r>
          </w:p>
        </w:tc>
        <w:tc>
          <w:tcPr>
            <w:tcW w:w="441" w:type="pct"/>
          </w:tcPr>
          <w:p w:rsidR="0032079E" w:rsidRPr="00643A41" w:rsidRDefault="0032079E" w:rsidP="00F0711D">
            <w:pPr>
              <w:jc w:val="center"/>
              <w:rPr>
                <w:rFonts w:ascii="Calibri" w:hAnsi="Calibri"/>
              </w:rPr>
            </w:pPr>
            <w:r w:rsidRPr="00643A41">
              <w:rPr>
                <w:rFonts w:ascii="Calibri" w:hAnsi="Calibri"/>
              </w:rPr>
              <w:t>NFX Symbol</w:t>
            </w:r>
          </w:p>
        </w:tc>
        <w:tc>
          <w:tcPr>
            <w:tcW w:w="805" w:type="pct"/>
          </w:tcPr>
          <w:p w:rsidR="0032079E" w:rsidRPr="00643A41" w:rsidRDefault="0032079E" w:rsidP="00F0711D">
            <w:pPr>
              <w:jc w:val="center"/>
              <w:rPr>
                <w:rFonts w:ascii="Calibri" w:hAnsi="Calibri"/>
              </w:rPr>
            </w:pPr>
            <w:r w:rsidRPr="00643A41">
              <w:rPr>
                <w:rFonts w:ascii="Calibri" w:hAnsi="Calibri"/>
              </w:rPr>
              <w:t>Size</w:t>
            </w:r>
          </w:p>
        </w:tc>
        <w:tc>
          <w:tcPr>
            <w:tcW w:w="499" w:type="pct"/>
          </w:tcPr>
          <w:p w:rsidR="0032079E" w:rsidRPr="00643A41" w:rsidRDefault="0032079E" w:rsidP="00F0711D">
            <w:pPr>
              <w:jc w:val="center"/>
              <w:rPr>
                <w:rFonts w:ascii="Calibri" w:hAnsi="Calibri"/>
              </w:rPr>
            </w:pPr>
            <w:r w:rsidRPr="00643A41">
              <w:rPr>
                <w:rFonts w:ascii="Calibri" w:hAnsi="Calibri"/>
              </w:rPr>
              <w:t>Reference Exchange</w:t>
            </w:r>
          </w:p>
        </w:tc>
        <w:tc>
          <w:tcPr>
            <w:tcW w:w="558" w:type="pct"/>
          </w:tcPr>
          <w:p w:rsidR="0032079E" w:rsidRPr="00643A41" w:rsidRDefault="0032079E" w:rsidP="00F0711D">
            <w:pPr>
              <w:jc w:val="center"/>
              <w:rPr>
                <w:rFonts w:ascii="Calibri" w:hAnsi="Calibri"/>
              </w:rPr>
            </w:pPr>
            <w:r w:rsidRPr="00643A41">
              <w:t>Reference</w:t>
            </w:r>
            <w:r w:rsidRPr="00643A41">
              <w:rPr>
                <w:rFonts w:ascii="Calibri" w:hAnsi="Calibri"/>
              </w:rPr>
              <w:t xml:space="preserve"> Symbol</w:t>
            </w:r>
          </w:p>
        </w:tc>
      </w:tr>
      <w:tr w:rsidR="0032079E" w:rsidRPr="0079555F" w:rsidTr="00F0711D">
        <w:trPr>
          <w:cnfStyle w:val="000000100000" w:firstRow="0" w:lastRow="0" w:firstColumn="0" w:lastColumn="0" w:oddVBand="0" w:evenVBand="0" w:oddHBand="1" w:evenHBand="0" w:firstRowFirstColumn="0" w:firstRowLastColumn="0" w:lastRowFirstColumn="0" w:lastRowLastColumn="0"/>
        </w:trPr>
        <w:tc>
          <w:tcPr>
            <w:tcW w:w="2697" w:type="pct"/>
          </w:tcPr>
          <w:p w:rsidR="0032079E" w:rsidRPr="00002C80" w:rsidRDefault="0032079E" w:rsidP="00F0711D">
            <w:pPr>
              <w:rPr>
                <w:rFonts w:ascii="Calibri" w:hAnsi="Calibri"/>
                <w:b/>
                <w:u w:val="single"/>
              </w:rPr>
            </w:pPr>
            <w:r w:rsidRPr="00B76D31">
              <w:rPr>
                <w:rFonts w:ascii="Calibri" w:hAnsi="Calibri"/>
              </w:rPr>
              <w:t>NFX Henry Hub Natural Gas Financial Futures – 10,000</w:t>
            </w:r>
          </w:p>
        </w:tc>
        <w:tc>
          <w:tcPr>
            <w:tcW w:w="441" w:type="pct"/>
          </w:tcPr>
          <w:p w:rsidR="0032079E" w:rsidRPr="0079555F" w:rsidRDefault="0032079E" w:rsidP="00F0711D">
            <w:pPr>
              <w:jc w:val="center"/>
              <w:rPr>
                <w:rFonts w:ascii="Calibri" w:hAnsi="Calibri"/>
                <w:sz w:val="14"/>
              </w:rPr>
            </w:pPr>
            <w:r w:rsidRPr="00B76D31">
              <w:rPr>
                <w:rFonts w:ascii="Calibri" w:hAnsi="Calibri"/>
              </w:rPr>
              <w:t>HHQ</w:t>
            </w:r>
          </w:p>
        </w:tc>
        <w:tc>
          <w:tcPr>
            <w:tcW w:w="805" w:type="pct"/>
          </w:tcPr>
          <w:p w:rsidR="0032079E" w:rsidRPr="0079555F" w:rsidRDefault="0032079E" w:rsidP="00F0711D">
            <w:pPr>
              <w:jc w:val="center"/>
              <w:rPr>
                <w:rFonts w:ascii="Calibri" w:hAnsi="Calibri"/>
                <w:sz w:val="14"/>
              </w:rPr>
            </w:pPr>
            <w:r w:rsidRPr="00B76D31">
              <w:rPr>
                <w:rFonts w:ascii="Calibri" w:hAnsi="Calibri"/>
              </w:rPr>
              <w:t>10,000mmBtu</w:t>
            </w:r>
          </w:p>
        </w:tc>
        <w:tc>
          <w:tcPr>
            <w:tcW w:w="499" w:type="pct"/>
          </w:tcPr>
          <w:p w:rsidR="0032079E" w:rsidRPr="0079555F" w:rsidRDefault="0032079E" w:rsidP="00F0711D">
            <w:pPr>
              <w:jc w:val="center"/>
              <w:rPr>
                <w:rFonts w:ascii="Calibri" w:hAnsi="Calibri"/>
                <w:sz w:val="14"/>
              </w:rPr>
            </w:pPr>
            <w:r w:rsidRPr="00B76D31">
              <w:rPr>
                <w:rFonts w:ascii="Calibri" w:hAnsi="Calibri"/>
              </w:rPr>
              <w:t>CME</w:t>
            </w:r>
          </w:p>
        </w:tc>
        <w:tc>
          <w:tcPr>
            <w:tcW w:w="558" w:type="pct"/>
          </w:tcPr>
          <w:p w:rsidR="0032079E" w:rsidRPr="0079555F" w:rsidRDefault="0032079E" w:rsidP="00F0711D">
            <w:pPr>
              <w:jc w:val="center"/>
              <w:rPr>
                <w:rFonts w:ascii="Calibri" w:hAnsi="Calibri"/>
                <w:sz w:val="14"/>
              </w:rPr>
            </w:pPr>
            <w:r w:rsidRPr="00B76D31">
              <w:rPr>
                <w:rFonts w:ascii="Calibri" w:hAnsi="Calibri"/>
              </w:rPr>
              <w:t>HH</w:t>
            </w:r>
          </w:p>
        </w:tc>
      </w:tr>
      <w:tr w:rsidR="0032079E" w:rsidRPr="0079555F" w:rsidTr="00F0711D">
        <w:tc>
          <w:tcPr>
            <w:tcW w:w="2697" w:type="pct"/>
          </w:tcPr>
          <w:p w:rsidR="0032079E" w:rsidRPr="0079555F" w:rsidRDefault="0032079E" w:rsidP="00F0711D">
            <w:pPr>
              <w:rPr>
                <w:rFonts w:ascii="Calibri" w:hAnsi="Calibri"/>
              </w:rPr>
            </w:pPr>
            <w:r w:rsidRPr="00B76D31">
              <w:rPr>
                <w:rFonts w:ascii="Calibri" w:hAnsi="Calibri"/>
              </w:rPr>
              <w:t xml:space="preserve">NFX Henry Hub Natural Gas Financial Futures – 2,500 </w:t>
            </w:r>
          </w:p>
        </w:tc>
        <w:tc>
          <w:tcPr>
            <w:tcW w:w="441" w:type="pct"/>
          </w:tcPr>
          <w:p w:rsidR="0032079E" w:rsidRPr="0079555F" w:rsidRDefault="0032079E" w:rsidP="00F0711D">
            <w:pPr>
              <w:jc w:val="center"/>
              <w:rPr>
                <w:rFonts w:ascii="Calibri" w:hAnsi="Calibri"/>
                <w:sz w:val="14"/>
              </w:rPr>
            </w:pPr>
            <w:r w:rsidRPr="00B76D31">
              <w:rPr>
                <w:rFonts w:ascii="Calibri" w:hAnsi="Calibri"/>
              </w:rPr>
              <w:t>NNQ</w:t>
            </w:r>
          </w:p>
        </w:tc>
        <w:tc>
          <w:tcPr>
            <w:tcW w:w="805" w:type="pct"/>
          </w:tcPr>
          <w:p w:rsidR="0032079E" w:rsidRPr="0079555F" w:rsidRDefault="0032079E" w:rsidP="00F0711D">
            <w:pPr>
              <w:jc w:val="center"/>
              <w:rPr>
                <w:rFonts w:ascii="Calibri" w:hAnsi="Calibri"/>
                <w:sz w:val="14"/>
              </w:rPr>
            </w:pPr>
            <w:r w:rsidRPr="00B76D31">
              <w:rPr>
                <w:rFonts w:ascii="Calibri" w:hAnsi="Calibri"/>
              </w:rPr>
              <w:t>2,500mmBtu</w:t>
            </w:r>
          </w:p>
        </w:tc>
        <w:tc>
          <w:tcPr>
            <w:tcW w:w="499" w:type="pct"/>
          </w:tcPr>
          <w:p w:rsidR="0032079E" w:rsidRPr="0079555F" w:rsidRDefault="0032079E" w:rsidP="00F0711D">
            <w:pPr>
              <w:jc w:val="center"/>
              <w:rPr>
                <w:rFonts w:ascii="Calibri" w:hAnsi="Calibri"/>
                <w:sz w:val="14"/>
              </w:rPr>
            </w:pPr>
            <w:r w:rsidRPr="00B76D31">
              <w:rPr>
                <w:rFonts w:ascii="Calibri" w:hAnsi="Calibri"/>
              </w:rPr>
              <w:t>CME</w:t>
            </w:r>
          </w:p>
        </w:tc>
        <w:tc>
          <w:tcPr>
            <w:tcW w:w="558" w:type="pct"/>
          </w:tcPr>
          <w:p w:rsidR="0032079E" w:rsidRPr="0079555F" w:rsidRDefault="0032079E" w:rsidP="00F0711D">
            <w:pPr>
              <w:jc w:val="center"/>
              <w:rPr>
                <w:rFonts w:ascii="Calibri" w:hAnsi="Calibri"/>
                <w:sz w:val="14"/>
              </w:rPr>
            </w:pPr>
            <w:r w:rsidRPr="00B76D31">
              <w:rPr>
                <w:rFonts w:ascii="Calibri" w:hAnsi="Calibri"/>
              </w:rPr>
              <w:t>NN</w:t>
            </w:r>
          </w:p>
        </w:tc>
      </w:tr>
      <w:tr w:rsidR="0032079E" w:rsidRPr="0079555F" w:rsidTr="00F0711D">
        <w:trPr>
          <w:cnfStyle w:val="000000100000" w:firstRow="0" w:lastRow="0" w:firstColumn="0" w:lastColumn="0" w:oddVBand="0" w:evenVBand="0" w:oddHBand="1" w:evenHBand="0" w:firstRowFirstColumn="0" w:firstRowLastColumn="0" w:lastRowFirstColumn="0" w:lastRowLastColumn="0"/>
        </w:trPr>
        <w:tc>
          <w:tcPr>
            <w:tcW w:w="2697" w:type="pct"/>
          </w:tcPr>
          <w:p w:rsidR="0032079E" w:rsidRPr="0079555F" w:rsidRDefault="0032079E" w:rsidP="00F0711D">
            <w:pPr>
              <w:rPr>
                <w:rFonts w:ascii="Calibri" w:hAnsi="Calibri"/>
              </w:rPr>
            </w:pPr>
            <w:r w:rsidRPr="00B76D31">
              <w:rPr>
                <w:rFonts w:ascii="Calibri" w:hAnsi="Calibri"/>
              </w:rPr>
              <w:t xml:space="preserve">NFX Henry Hub Penultimate Financial Futures – 2,500 </w:t>
            </w:r>
          </w:p>
        </w:tc>
        <w:tc>
          <w:tcPr>
            <w:tcW w:w="441" w:type="pct"/>
          </w:tcPr>
          <w:p w:rsidR="0032079E" w:rsidRPr="0079555F" w:rsidRDefault="0032079E" w:rsidP="00F0711D">
            <w:pPr>
              <w:jc w:val="center"/>
              <w:rPr>
                <w:rFonts w:ascii="Calibri" w:hAnsi="Calibri"/>
                <w:sz w:val="14"/>
              </w:rPr>
            </w:pPr>
            <w:r w:rsidRPr="00B76D31">
              <w:rPr>
                <w:rFonts w:ascii="Calibri" w:hAnsi="Calibri"/>
              </w:rPr>
              <w:t>NPQ</w:t>
            </w:r>
          </w:p>
        </w:tc>
        <w:tc>
          <w:tcPr>
            <w:tcW w:w="805" w:type="pct"/>
          </w:tcPr>
          <w:p w:rsidR="0032079E" w:rsidRPr="0079555F" w:rsidRDefault="0032079E" w:rsidP="00F0711D">
            <w:pPr>
              <w:jc w:val="center"/>
              <w:rPr>
                <w:rFonts w:ascii="Calibri" w:hAnsi="Calibri"/>
                <w:sz w:val="14"/>
              </w:rPr>
            </w:pPr>
            <w:r w:rsidRPr="00B76D31">
              <w:rPr>
                <w:rFonts w:ascii="Calibri" w:hAnsi="Calibri"/>
              </w:rPr>
              <w:t>2,500mmBtu</w:t>
            </w:r>
          </w:p>
        </w:tc>
        <w:tc>
          <w:tcPr>
            <w:tcW w:w="499" w:type="pct"/>
          </w:tcPr>
          <w:p w:rsidR="0032079E" w:rsidRPr="0079555F" w:rsidRDefault="0032079E" w:rsidP="00F0711D">
            <w:pPr>
              <w:jc w:val="center"/>
              <w:rPr>
                <w:rFonts w:ascii="Calibri" w:hAnsi="Calibri"/>
                <w:sz w:val="14"/>
              </w:rPr>
            </w:pPr>
            <w:r w:rsidRPr="00B76D31">
              <w:rPr>
                <w:rFonts w:ascii="Calibri" w:hAnsi="Calibri"/>
              </w:rPr>
              <w:t>CME</w:t>
            </w:r>
          </w:p>
        </w:tc>
        <w:tc>
          <w:tcPr>
            <w:tcW w:w="558" w:type="pct"/>
          </w:tcPr>
          <w:p w:rsidR="0032079E" w:rsidRPr="0079555F" w:rsidRDefault="0032079E" w:rsidP="00F0711D">
            <w:pPr>
              <w:jc w:val="center"/>
              <w:rPr>
                <w:rFonts w:ascii="Calibri" w:hAnsi="Calibri"/>
                <w:sz w:val="14"/>
              </w:rPr>
            </w:pPr>
            <w:r w:rsidRPr="00B76D31">
              <w:rPr>
                <w:rFonts w:ascii="Calibri" w:hAnsi="Calibri"/>
              </w:rPr>
              <w:t>NP</w:t>
            </w:r>
          </w:p>
        </w:tc>
      </w:tr>
      <w:tr w:rsidR="0032079E" w:rsidRPr="0079555F" w:rsidTr="00F0711D">
        <w:tc>
          <w:tcPr>
            <w:tcW w:w="2697" w:type="pct"/>
            <w:tcBorders>
              <w:bottom w:val="single" w:sz="4" w:space="0" w:color="0094B3"/>
            </w:tcBorders>
          </w:tcPr>
          <w:p w:rsidR="0032079E" w:rsidRPr="0079555F" w:rsidRDefault="0032079E" w:rsidP="00F0711D">
            <w:pPr>
              <w:rPr>
                <w:rFonts w:ascii="Calibri" w:hAnsi="Calibri"/>
              </w:rPr>
            </w:pPr>
            <w:r w:rsidRPr="00B76D31">
              <w:rPr>
                <w:rFonts w:ascii="Calibri" w:hAnsi="Calibri"/>
              </w:rPr>
              <w:t xml:space="preserve">NFX Henry Hub Penultimate Financial Futures – 10,000 </w:t>
            </w:r>
          </w:p>
        </w:tc>
        <w:tc>
          <w:tcPr>
            <w:tcW w:w="441" w:type="pct"/>
            <w:tcBorders>
              <w:bottom w:val="single" w:sz="4" w:space="0" w:color="0094B3"/>
            </w:tcBorders>
          </w:tcPr>
          <w:p w:rsidR="0032079E" w:rsidRPr="0079555F" w:rsidRDefault="0032079E" w:rsidP="00F0711D">
            <w:pPr>
              <w:jc w:val="center"/>
              <w:rPr>
                <w:rFonts w:ascii="Calibri" w:hAnsi="Calibri"/>
                <w:sz w:val="14"/>
              </w:rPr>
            </w:pPr>
            <w:r w:rsidRPr="00B76D31">
              <w:rPr>
                <w:rFonts w:ascii="Calibri" w:hAnsi="Calibri"/>
              </w:rPr>
              <w:t>HPQ</w:t>
            </w:r>
          </w:p>
        </w:tc>
        <w:tc>
          <w:tcPr>
            <w:tcW w:w="805" w:type="pct"/>
            <w:tcBorders>
              <w:bottom w:val="single" w:sz="4" w:space="0" w:color="0094B3"/>
            </w:tcBorders>
          </w:tcPr>
          <w:p w:rsidR="0032079E" w:rsidRPr="0079555F" w:rsidRDefault="0032079E" w:rsidP="00F0711D">
            <w:pPr>
              <w:jc w:val="center"/>
              <w:rPr>
                <w:rFonts w:ascii="Calibri" w:hAnsi="Calibri"/>
                <w:sz w:val="14"/>
              </w:rPr>
            </w:pPr>
            <w:r w:rsidRPr="00B76D31">
              <w:rPr>
                <w:rFonts w:ascii="Calibri" w:hAnsi="Calibri"/>
              </w:rPr>
              <w:t>10,000mmBtu</w:t>
            </w:r>
          </w:p>
        </w:tc>
        <w:tc>
          <w:tcPr>
            <w:tcW w:w="499" w:type="pct"/>
            <w:tcBorders>
              <w:bottom w:val="single" w:sz="4" w:space="0" w:color="0094B3"/>
            </w:tcBorders>
          </w:tcPr>
          <w:p w:rsidR="0032079E" w:rsidRPr="0079555F" w:rsidRDefault="0032079E" w:rsidP="00F0711D">
            <w:pPr>
              <w:jc w:val="center"/>
              <w:rPr>
                <w:rFonts w:ascii="Calibri" w:hAnsi="Calibri"/>
                <w:sz w:val="14"/>
              </w:rPr>
            </w:pPr>
            <w:r w:rsidRPr="00B76D31">
              <w:rPr>
                <w:rFonts w:ascii="Calibri" w:hAnsi="Calibri"/>
              </w:rPr>
              <w:t>CME</w:t>
            </w:r>
          </w:p>
        </w:tc>
        <w:tc>
          <w:tcPr>
            <w:tcW w:w="558" w:type="pct"/>
            <w:tcBorders>
              <w:bottom w:val="single" w:sz="4" w:space="0" w:color="0094B3"/>
            </w:tcBorders>
          </w:tcPr>
          <w:p w:rsidR="0032079E" w:rsidRPr="0079555F" w:rsidRDefault="0032079E" w:rsidP="00F0711D">
            <w:pPr>
              <w:jc w:val="center"/>
              <w:rPr>
                <w:rFonts w:ascii="Calibri" w:hAnsi="Calibri"/>
                <w:sz w:val="14"/>
              </w:rPr>
            </w:pPr>
            <w:r w:rsidRPr="00B76D31">
              <w:rPr>
                <w:rFonts w:ascii="Calibri" w:hAnsi="Calibri"/>
              </w:rPr>
              <w:t>HP</w:t>
            </w:r>
          </w:p>
        </w:tc>
      </w:tr>
      <w:tr w:rsidR="0032079E" w:rsidRPr="0079555F" w:rsidTr="00F0711D">
        <w:trPr>
          <w:cnfStyle w:val="000000100000" w:firstRow="0" w:lastRow="0" w:firstColumn="0" w:lastColumn="0" w:oddVBand="0" w:evenVBand="0" w:oddHBand="1" w:evenHBand="0" w:firstRowFirstColumn="0" w:firstRowLastColumn="0" w:lastRowFirstColumn="0" w:lastRowLastColumn="0"/>
        </w:trPr>
        <w:tc>
          <w:tcPr>
            <w:tcW w:w="2697" w:type="pct"/>
            <w:tcBorders>
              <w:bottom w:val="single" w:sz="4" w:space="0" w:color="0094B3"/>
            </w:tcBorders>
          </w:tcPr>
          <w:p w:rsidR="0032079E" w:rsidRPr="0079555F" w:rsidRDefault="0032079E" w:rsidP="00F0711D">
            <w:pPr>
              <w:rPr>
                <w:rFonts w:ascii="Calibri" w:hAnsi="Calibri"/>
              </w:rPr>
            </w:pPr>
            <w:r w:rsidRPr="00B76D31">
              <w:rPr>
                <w:rFonts w:ascii="Calibri" w:hAnsi="Calibri"/>
              </w:rPr>
              <w:t>NFX Option</w:t>
            </w:r>
            <w:r>
              <w:rPr>
                <w:rFonts w:ascii="Calibri" w:hAnsi="Calibri"/>
              </w:rPr>
              <w:t>s</w:t>
            </w:r>
            <w:r w:rsidRPr="00B76D31">
              <w:rPr>
                <w:rFonts w:ascii="Calibri" w:hAnsi="Calibri"/>
              </w:rPr>
              <w:t xml:space="preserve"> on NFX Henry Hub Penultimate Financial Futures - 10,000</w:t>
            </w:r>
          </w:p>
        </w:tc>
        <w:tc>
          <w:tcPr>
            <w:tcW w:w="441" w:type="pct"/>
            <w:tcBorders>
              <w:bottom w:val="single" w:sz="4" w:space="0" w:color="0094B3"/>
            </w:tcBorders>
          </w:tcPr>
          <w:p w:rsidR="0032079E" w:rsidRPr="00BF55CE" w:rsidRDefault="0032079E" w:rsidP="00F0711D">
            <w:pPr>
              <w:jc w:val="center"/>
              <w:rPr>
                <w:rFonts w:ascii="Calibri" w:hAnsi="Calibri"/>
              </w:rPr>
            </w:pPr>
            <w:r w:rsidRPr="00B76D31">
              <w:rPr>
                <w:rFonts w:ascii="Calibri" w:hAnsi="Calibri"/>
              </w:rPr>
              <w:t>LNQ</w:t>
            </w:r>
          </w:p>
        </w:tc>
        <w:tc>
          <w:tcPr>
            <w:tcW w:w="805" w:type="pct"/>
            <w:tcBorders>
              <w:bottom w:val="single" w:sz="4" w:space="0" w:color="0094B3"/>
            </w:tcBorders>
          </w:tcPr>
          <w:p w:rsidR="0032079E" w:rsidRPr="00BF55CE" w:rsidRDefault="0032079E" w:rsidP="00F0711D">
            <w:pPr>
              <w:jc w:val="center"/>
              <w:rPr>
                <w:rFonts w:ascii="Calibri" w:hAnsi="Calibri"/>
              </w:rPr>
            </w:pPr>
            <w:r w:rsidRPr="00B76D31">
              <w:rPr>
                <w:rFonts w:ascii="Calibri" w:hAnsi="Calibri"/>
              </w:rPr>
              <w:t>10,000mmBtu</w:t>
            </w:r>
          </w:p>
        </w:tc>
        <w:tc>
          <w:tcPr>
            <w:tcW w:w="499" w:type="pct"/>
            <w:tcBorders>
              <w:bottom w:val="single" w:sz="4" w:space="0" w:color="0094B3"/>
            </w:tcBorders>
          </w:tcPr>
          <w:p w:rsidR="0032079E" w:rsidRPr="00BF55CE" w:rsidRDefault="0032079E" w:rsidP="00F0711D">
            <w:pPr>
              <w:jc w:val="center"/>
              <w:rPr>
                <w:rFonts w:ascii="Calibri" w:hAnsi="Calibri"/>
              </w:rPr>
            </w:pPr>
            <w:r w:rsidRPr="00B76D31">
              <w:rPr>
                <w:rFonts w:ascii="Calibri" w:hAnsi="Calibri"/>
              </w:rPr>
              <w:t>CME</w:t>
            </w:r>
          </w:p>
        </w:tc>
        <w:tc>
          <w:tcPr>
            <w:tcW w:w="558" w:type="pct"/>
            <w:tcBorders>
              <w:bottom w:val="single" w:sz="4" w:space="0" w:color="0094B3"/>
            </w:tcBorders>
          </w:tcPr>
          <w:p w:rsidR="0032079E" w:rsidRPr="00BF55CE" w:rsidRDefault="0032079E" w:rsidP="00F0711D">
            <w:pPr>
              <w:jc w:val="center"/>
              <w:rPr>
                <w:rFonts w:ascii="Calibri" w:hAnsi="Calibri"/>
              </w:rPr>
            </w:pPr>
            <w:r w:rsidRPr="00B76D31">
              <w:rPr>
                <w:rFonts w:ascii="Calibri" w:hAnsi="Calibri"/>
              </w:rPr>
              <w:t>LN</w:t>
            </w:r>
          </w:p>
        </w:tc>
      </w:tr>
      <w:tr w:rsidR="0032079E" w:rsidRPr="0079555F" w:rsidTr="00F0711D">
        <w:tc>
          <w:tcPr>
            <w:tcW w:w="2697" w:type="pct"/>
            <w:tcBorders>
              <w:top w:val="single" w:sz="4" w:space="0" w:color="0094B3"/>
            </w:tcBorders>
          </w:tcPr>
          <w:p w:rsidR="0032079E" w:rsidRPr="0079555F" w:rsidRDefault="0032079E" w:rsidP="00F0711D">
            <w:pPr>
              <w:rPr>
                <w:rFonts w:ascii="Calibri" w:hAnsi="Calibri"/>
              </w:rPr>
            </w:pPr>
            <w:r w:rsidRPr="00B76D31">
              <w:rPr>
                <w:rFonts w:ascii="Calibri" w:hAnsi="Calibri"/>
              </w:rPr>
              <w:t>NFX Brent Crude Financial Futures</w:t>
            </w:r>
          </w:p>
        </w:tc>
        <w:tc>
          <w:tcPr>
            <w:tcW w:w="441" w:type="pct"/>
            <w:tcBorders>
              <w:top w:val="single" w:sz="4" w:space="0" w:color="0094B3"/>
            </w:tcBorders>
          </w:tcPr>
          <w:p w:rsidR="0032079E" w:rsidRPr="0079555F" w:rsidRDefault="0032079E" w:rsidP="00F0711D">
            <w:pPr>
              <w:jc w:val="center"/>
              <w:rPr>
                <w:rFonts w:ascii="Calibri" w:hAnsi="Calibri"/>
                <w:sz w:val="14"/>
              </w:rPr>
            </w:pPr>
            <w:r w:rsidRPr="00B76D31">
              <w:rPr>
                <w:rFonts w:ascii="Calibri" w:hAnsi="Calibri"/>
              </w:rPr>
              <w:t>BFQ</w:t>
            </w:r>
          </w:p>
        </w:tc>
        <w:tc>
          <w:tcPr>
            <w:tcW w:w="805" w:type="pct"/>
            <w:tcBorders>
              <w:top w:val="single" w:sz="4" w:space="0" w:color="0094B3"/>
            </w:tcBorders>
          </w:tcPr>
          <w:p w:rsidR="0032079E" w:rsidRPr="0079555F" w:rsidRDefault="0032079E" w:rsidP="00F0711D">
            <w:pPr>
              <w:jc w:val="center"/>
              <w:rPr>
                <w:rFonts w:ascii="Calibri" w:hAnsi="Calibri"/>
                <w:sz w:val="14"/>
              </w:rPr>
            </w:pPr>
            <w:r w:rsidRPr="00B76D31">
              <w:rPr>
                <w:rFonts w:ascii="Calibri" w:hAnsi="Calibri"/>
              </w:rPr>
              <w:t>1,000bbl</w:t>
            </w:r>
          </w:p>
        </w:tc>
        <w:tc>
          <w:tcPr>
            <w:tcW w:w="499" w:type="pct"/>
            <w:tcBorders>
              <w:top w:val="single" w:sz="4" w:space="0" w:color="0094B3"/>
            </w:tcBorders>
          </w:tcPr>
          <w:p w:rsidR="0032079E" w:rsidRPr="0079555F" w:rsidRDefault="0032079E" w:rsidP="00F0711D">
            <w:pPr>
              <w:jc w:val="center"/>
              <w:rPr>
                <w:rFonts w:ascii="Calibri" w:hAnsi="Calibri"/>
                <w:sz w:val="14"/>
              </w:rPr>
            </w:pPr>
            <w:r w:rsidRPr="00B76D31">
              <w:rPr>
                <w:rFonts w:ascii="Calibri" w:hAnsi="Calibri"/>
              </w:rPr>
              <w:t>ICE</w:t>
            </w:r>
          </w:p>
        </w:tc>
        <w:tc>
          <w:tcPr>
            <w:tcW w:w="558" w:type="pct"/>
            <w:tcBorders>
              <w:top w:val="single" w:sz="4" w:space="0" w:color="0094B3"/>
            </w:tcBorders>
          </w:tcPr>
          <w:p w:rsidR="0032079E" w:rsidRPr="0079555F" w:rsidRDefault="0032079E" w:rsidP="00F0711D">
            <w:pPr>
              <w:jc w:val="center"/>
              <w:rPr>
                <w:rFonts w:ascii="Calibri" w:hAnsi="Calibri"/>
                <w:sz w:val="14"/>
              </w:rPr>
            </w:pPr>
            <w:r w:rsidRPr="00B76D31">
              <w:rPr>
                <w:rFonts w:ascii="Calibri" w:hAnsi="Calibri"/>
              </w:rPr>
              <w:t>B</w:t>
            </w:r>
          </w:p>
        </w:tc>
      </w:tr>
      <w:tr w:rsidR="0032079E" w:rsidRPr="0079555F" w:rsidTr="00F0711D">
        <w:trPr>
          <w:cnfStyle w:val="000000100000" w:firstRow="0" w:lastRow="0" w:firstColumn="0" w:lastColumn="0" w:oddVBand="0" w:evenVBand="0" w:oddHBand="1" w:evenHBand="0" w:firstRowFirstColumn="0" w:firstRowLastColumn="0" w:lastRowFirstColumn="0" w:lastRowLastColumn="0"/>
        </w:trPr>
        <w:tc>
          <w:tcPr>
            <w:tcW w:w="2697" w:type="pct"/>
          </w:tcPr>
          <w:p w:rsidR="0032079E" w:rsidRPr="008D32A3" w:rsidRDefault="0032079E" w:rsidP="00F0711D">
            <w:pPr>
              <w:rPr>
                <w:rFonts w:ascii="Calibri" w:hAnsi="Calibri"/>
                <w:i/>
                <w:iCs/>
              </w:rPr>
            </w:pPr>
            <w:r w:rsidRPr="00B76D31">
              <w:rPr>
                <w:rFonts w:ascii="Calibri" w:hAnsi="Calibri"/>
              </w:rPr>
              <w:t>NFX Low Sulphur Gasoil Financial Futures</w:t>
            </w:r>
          </w:p>
        </w:tc>
        <w:tc>
          <w:tcPr>
            <w:tcW w:w="441" w:type="pct"/>
          </w:tcPr>
          <w:p w:rsidR="0032079E" w:rsidRPr="0079555F" w:rsidRDefault="0032079E" w:rsidP="00F0711D">
            <w:pPr>
              <w:jc w:val="center"/>
              <w:rPr>
                <w:rFonts w:ascii="Calibri" w:hAnsi="Calibri"/>
                <w:i/>
                <w:iCs/>
                <w:sz w:val="14"/>
              </w:rPr>
            </w:pPr>
            <w:r w:rsidRPr="00B76D31">
              <w:rPr>
                <w:rFonts w:ascii="Calibri" w:hAnsi="Calibri"/>
              </w:rPr>
              <w:t>GOQ</w:t>
            </w:r>
          </w:p>
        </w:tc>
        <w:tc>
          <w:tcPr>
            <w:tcW w:w="805" w:type="pct"/>
          </w:tcPr>
          <w:p w:rsidR="0032079E" w:rsidRPr="0079555F" w:rsidRDefault="0032079E" w:rsidP="00F0711D">
            <w:pPr>
              <w:jc w:val="center"/>
              <w:rPr>
                <w:rFonts w:ascii="Calibri" w:hAnsi="Calibri"/>
                <w:i/>
                <w:iCs/>
                <w:sz w:val="14"/>
              </w:rPr>
            </w:pPr>
            <w:r w:rsidRPr="00B76D31">
              <w:rPr>
                <w:rFonts w:ascii="Calibri" w:hAnsi="Calibri"/>
              </w:rPr>
              <w:t>100mT</w:t>
            </w:r>
          </w:p>
        </w:tc>
        <w:tc>
          <w:tcPr>
            <w:tcW w:w="499" w:type="pct"/>
          </w:tcPr>
          <w:p w:rsidR="0032079E" w:rsidRPr="0079555F" w:rsidRDefault="0032079E" w:rsidP="00F0711D">
            <w:pPr>
              <w:jc w:val="center"/>
              <w:rPr>
                <w:rFonts w:ascii="Calibri" w:hAnsi="Calibri"/>
                <w:i/>
                <w:iCs/>
                <w:sz w:val="14"/>
              </w:rPr>
            </w:pPr>
            <w:r w:rsidRPr="00B76D31">
              <w:rPr>
                <w:rFonts w:ascii="Calibri" w:hAnsi="Calibri"/>
              </w:rPr>
              <w:t>ICE</w:t>
            </w:r>
          </w:p>
        </w:tc>
        <w:tc>
          <w:tcPr>
            <w:tcW w:w="558" w:type="pct"/>
          </w:tcPr>
          <w:p w:rsidR="0032079E" w:rsidRPr="0079555F" w:rsidRDefault="0032079E" w:rsidP="00F0711D">
            <w:pPr>
              <w:jc w:val="center"/>
              <w:rPr>
                <w:rFonts w:ascii="Calibri" w:hAnsi="Calibri"/>
                <w:i/>
                <w:iCs/>
                <w:sz w:val="14"/>
              </w:rPr>
            </w:pPr>
            <w:r w:rsidRPr="00B76D31">
              <w:rPr>
                <w:rFonts w:ascii="Calibri" w:hAnsi="Calibri"/>
              </w:rPr>
              <w:t>G</w:t>
            </w:r>
          </w:p>
        </w:tc>
      </w:tr>
      <w:tr w:rsidR="0032079E" w:rsidRPr="0079555F" w:rsidTr="00F0711D">
        <w:tc>
          <w:tcPr>
            <w:tcW w:w="2697" w:type="pct"/>
          </w:tcPr>
          <w:p w:rsidR="0032079E" w:rsidRPr="008D32A3" w:rsidRDefault="0032079E" w:rsidP="00F0711D">
            <w:pPr>
              <w:rPr>
                <w:rFonts w:ascii="Calibri" w:hAnsi="Calibri"/>
                <w:i/>
                <w:iCs/>
              </w:rPr>
            </w:pPr>
            <w:r w:rsidRPr="00B76D31">
              <w:rPr>
                <w:rFonts w:ascii="Calibri" w:hAnsi="Calibri"/>
              </w:rPr>
              <w:t>NFX Option</w:t>
            </w:r>
            <w:r>
              <w:rPr>
                <w:rFonts w:ascii="Calibri" w:hAnsi="Calibri"/>
              </w:rPr>
              <w:t>s</w:t>
            </w:r>
            <w:r w:rsidRPr="00B76D31">
              <w:rPr>
                <w:rFonts w:ascii="Calibri" w:hAnsi="Calibri"/>
              </w:rPr>
              <w:t xml:space="preserve"> on Brent Crude Financial Futures</w:t>
            </w:r>
          </w:p>
        </w:tc>
        <w:tc>
          <w:tcPr>
            <w:tcW w:w="441" w:type="pct"/>
          </w:tcPr>
          <w:p w:rsidR="0032079E" w:rsidRPr="0079555F" w:rsidRDefault="0032079E" w:rsidP="00F0711D">
            <w:pPr>
              <w:jc w:val="center"/>
              <w:rPr>
                <w:rFonts w:ascii="Calibri" w:hAnsi="Calibri"/>
                <w:i/>
                <w:iCs/>
                <w:sz w:val="14"/>
              </w:rPr>
            </w:pPr>
            <w:r w:rsidRPr="00B76D31">
              <w:rPr>
                <w:rFonts w:ascii="Calibri" w:hAnsi="Calibri"/>
              </w:rPr>
              <w:t>BCQ</w:t>
            </w:r>
          </w:p>
        </w:tc>
        <w:tc>
          <w:tcPr>
            <w:tcW w:w="805" w:type="pct"/>
          </w:tcPr>
          <w:p w:rsidR="0032079E" w:rsidRPr="0079555F" w:rsidRDefault="0032079E" w:rsidP="00F0711D">
            <w:pPr>
              <w:jc w:val="center"/>
              <w:rPr>
                <w:rFonts w:ascii="Calibri" w:hAnsi="Calibri"/>
                <w:i/>
                <w:iCs/>
                <w:sz w:val="14"/>
              </w:rPr>
            </w:pPr>
            <w:r w:rsidRPr="00B76D31">
              <w:rPr>
                <w:rFonts w:ascii="Calibri" w:hAnsi="Calibri"/>
              </w:rPr>
              <w:t>1,000bbl</w:t>
            </w:r>
          </w:p>
        </w:tc>
        <w:tc>
          <w:tcPr>
            <w:tcW w:w="499" w:type="pct"/>
          </w:tcPr>
          <w:p w:rsidR="0032079E" w:rsidRPr="0079555F" w:rsidRDefault="0032079E" w:rsidP="00F0711D">
            <w:pPr>
              <w:jc w:val="center"/>
              <w:rPr>
                <w:rFonts w:ascii="Calibri" w:hAnsi="Calibri"/>
                <w:i/>
                <w:iCs/>
                <w:sz w:val="14"/>
              </w:rPr>
            </w:pPr>
            <w:r w:rsidRPr="00B76D31">
              <w:rPr>
                <w:rFonts w:ascii="Calibri" w:hAnsi="Calibri"/>
              </w:rPr>
              <w:t>ICE</w:t>
            </w:r>
          </w:p>
        </w:tc>
        <w:tc>
          <w:tcPr>
            <w:tcW w:w="558" w:type="pct"/>
          </w:tcPr>
          <w:p w:rsidR="0032079E" w:rsidRPr="0079555F" w:rsidRDefault="0032079E" w:rsidP="00F0711D">
            <w:pPr>
              <w:jc w:val="center"/>
              <w:rPr>
                <w:rFonts w:ascii="Calibri" w:hAnsi="Calibri"/>
                <w:i/>
                <w:iCs/>
                <w:sz w:val="14"/>
              </w:rPr>
            </w:pPr>
            <w:r w:rsidRPr="00B76D31">
              <w:rPr>
                <w:rFonts w:ascii="Calibri" w:hAnsi="Calibri"/>
              </w:rPr>
              <w:t>B</w:t>
            </w:r>
          </w:p>
        </w:tc>
      </w:tr>
      <w:tr w:rsidR="0032079E" w:rsidRPr="0079555F" w:rsidTr="00F0711D">
        <w:trPr>
          <w:cnfStyle w:val="000000100000" w:firstRow="0" w:lastRow="0" w:firstColumn="0" w:lastColumn="0" w:oddVBand="0" w:evenVBand="0" w:oddHBand="1" w:evenHBand="0" w:firstRowFirstColumn="0" w:firstRowLastColumn="0" w:lastRowFirstColumn="0" w:lastRowLastColumn="0"/>
        </w:trPr>
        <w:tc>
          <w:tcPr>
            <w:tcW w:w="2697" w:type="pct"/>
          </w:tcPr>
          <w:p w:rsidR="0032079E" w:rsidRPr="008D32A3" w:rsidRDefault="0032079E" w:rsidP="00F0711D">
            <w:pPr>
              <w:rPr>
                <w:rFonts w:ascii="Calibri" w:hAnsi="Calibri"/>
                <w:i/>
                <w:iCs/>
              </w:rPr>
            </w:pPr>
            <w:r w:rsidRPr="00B76D31">
              <w:rPr>
                <w:rFonts w:ascii="Calibri" w:hAnsi="Calibri"/>
              </w:rPr>
              <w:t>NFX Option</w:t>
            </w:r>
            <w:r>
              <w:rPr>
                <w:rFonts w:ascii="Calibri" w:hAnsi="Calibri"/>
              </w:rPr>
              <w:t>s</w:t>
            </w:r>
            <w:r w:rsidRPr="00B76D31">
              <w:rPr>
                <w:rFonts w:ascii="Calibri" w:hAnsi="Calibri"/>
              </w:rPr>
              <w:t xml:space="preserve"> on NFX WTI Crude </w:t>
            </w:r>
            <w:r>
              <w:rPr>
                <w:rFonts w:ascii="Calibri" w:hAnsi="Calibri"/>
              </w:rPr>
              <w:t xml:space="preserve">Penultimate </w:t>
            </w:r>
            <w:r w:rsidRPr="00B76D31">
              <w:rPr>
                <w:rFonts w:ascii="Calibri" w:hAnsi="Calibri"/>
              </w:rPr>
              <w:t>Financial Futures</w:t>
            </w:r>
          </w:p>
        </w:tc>
        <w:tc>
          <w:tcPr>
            <w:tcW w:w="441" w:type="pct"/>
          </w:tcPr>
          <w:p w:rsidR="0032079E" w:rsidRPr="0079555F" w:rsidRDefault="0032079E" w:rsidP="00F0711D">
            <w:pPr>
              <w:jc w:val="center"/>
              <w:rPr>
                <w:rFonts w:ascii="Calibri" w:hAnsi="Calibri"/>
                <w:i/>
                <w:iCs/>
                <w:sz w:val="14"/>
              </w:rPr>
            </w:pPr>
            <w:r>
              <w:rPr>
                <w:rFonts w:ascii="Calibri" w:hAnsi="Calibri"/>
              </w:rPr>
              <w:t>T</w:t>
            </w:r>
            <w:r w:rsidRPr="00B76D31">
              <w:rPr>
                <w:rFonts w:ascii="Calibri" w:hAnsi="Calibri"/>
              </w:rPr>
              <w:t>OQ</w:t>
            </w:r>
          </w:p>
        </w:tc>
        <w:tc>
          <w:tcPr>
            <w:tcW w:w="805" w:type="pct"/>
          </w:tcPr>
          <w:p w:rsidR="0032079E" w:rsidRPr="0079555F" w:rsidRDefault="0032079E" w:rsidP="00F0711D">
            <w:pPr>
              <w:jc w:val="center"/>
              <w:rPr>
                <w:rFonts w:ascii="Calibri" w:hAnsi="Calibri"/>
                <w:i/>
                <w:iCs/>
                <w:sz w:val="14"/>
              </w:rPr>
            </w:pPr>
            <w:r w:rsidRPr="00B76D31">
              <w:rPr>
                <w:rFonts w:ascii="Calibri" w:hAnsi="Calibri"/>
              </w:rPr>
              <w:t>1,000bbl</w:t>
            </w:r>
          </w:p>
        </w:tc>
        <w:tc>
          <w:tcPr>
            <w:tcW w:w="499" w:type="pct"/>
          </w:tcPr>
          <w:p w:rsidR="0032079E" w:rsidRPr="0079555F" w:rsidRDefault="0032079E" w:rsidP="00F0711D">
            <w:pPr>
              <w:jc w:val="center"/>
              <w:rPr>
                <w:rFonts w:ascii="Calibri" w:hAnsi="Calibri"/>
                <w:i/>
                <w:iCs/>
                <w:sz w:val="14"/>
              </w:rPr>
            </w:pPr>
            <w:r w:rsidRPr="00B76D31">
              <w:rPr>
                <w:rFonts w:ascii="Calibri" w:hAnsi="Calibri"/>
              </w:rPr>
              <w:t>CME</w:t>
            </w:r>
          </w:p>
        </w:tc>
        <w:tc>
          <w:tcPr>
            <w:tcW w:w="558" w:type="pct"/>
          </w:tcPr>
          <w:p w:rsidR="0032079E" w:rsidRPr="0079555F" w:rsidRDefault="0032079E" w:rsidP="00F0711D">
            <w:pPr>
              <w:jc w:val="center"/>
              <w:rPr>
                <w:rFonts w:ascii="Calibri" w:hAnsi="Calibri"/>
                <w:i/>
                <w:iCs/>
                <w:sz w:val="14"/>
              </w:rPr>
            </w:pPr>
            <w:r w:rsidRPr="00B76D31">
              <w:rPr>
                <w:rFonts w:ascii="Calibri" w:hAnsi="Calibri"/>
              </w:rPr>
              <w:t>LO</w:t>
            </w:r>
          </w:p>
        </w:tc>
      </w:tr>
      <w:tr w:rsidR="0032079E" w:rsidRPr="0079555F" w:rsidTr="00F0711D">
        <w:tc>
          <w:tcPr>
            <w:tcW w:w="2697" w:type="pct"/>
          </w:tcPr>
          <w:p w:rsidR="0032079E" w:rsidRPr="008D32A3" w:rsidRDefault="0032079E" w:rsidP="00F0711D">
            <w:pPr>
              <w:rPr>
                <w:rFonts w:ascii="Calibri" w:hAnsi="Calibri"/>
              </w:rPr>
            </w:pPr>
            <w:r w:rsidRPr="00B76D31">
              <w:rPr>
                <w:rFonts w:ascii="Calibri" w:hAnsi="Calibri"/>
              </w:rPr>
              <w:t>NFX WTI Crude</w:t>
            </w:r>
            <w:r>
              <w:rPr>
                <w:rFonts w:ascii="Calibri" w:hAnsi="Calibri"/>
              </w:rPr>
              <w:t xml:space="preserve"> Penultimate</w:t>
            </w:r>
            <w:r w:rsidRPr="00B76D31">
              <w:rPr>
                <w:rFonts w:ascii="Calibri" w:hAnsi="Calibri"/>
              </w:rPr>
              <w:t xml:space="preserve"> Financial Futures</w:t>
            </w:r>
          </w:p>
        </w:tc>
        <w:tc>
          <w:tcPr>
            <w:tcW w:w="441" w:type="pct"/>
          </w:tcPr>
          <w:p w:rsidR="0032079E" w:rsidRPr="008D32A3" w:rsidRDefault="0032079E" w:rsidP="00F0711D">
            <w:pPr>
              <w:jc w:val="center"/>
              <w:rPr>
                <w:rFonts w:ascii="Calibri" w:hAnsi="Calibri"/>
                <w:sz w:val="14"/>
              </w:rPr>
            </w:pPr>
            <w:r>
              <w:rPr>
                <w:rFonts w:ascii="Calibri" w:hAnsi="Calibri"/>
              </w:rPr>
              <w:t>T</w:t>
            </w:r>
            <w:r w:rsidRPr="00B76D31">
              <w:rPr>
                <w:rFonts w:ascii="Calibri" w:hAnsi="Calibri"/>
              </w:rPr>
              <w:t>Q</w:t>
            </w:r>
          </w:p>
        </w:tc>
        <w:tc>
          <w:tcPr>
            <w:tcW w:w="805" w:type="pct"/>
          </w:tcPr>
          <w:p w:rsidR="0032079E" w:rsidRPr="008D32A3" w:rsidRDefault="0032079E" w:rsidP="00F0711D">
            <w:pPr>
              <w:jc w:val="center"/>
              <w:rPr>
                <w:rFonts w:ascii="Calibri" w:hAnsi="Calibri"/>
                <w:sz w:val="14"/>
              </w:rPr>
            </w:pPr>
            <w:r w:rsidRPr="00B76D31">
              <w:rPr>
                <w:rFonts w:ascii="Calibri" w:hAnsi="Calibri"/>
              </w:rPr>
              <w:t>1,000bbl</w:t>
            </w:r>
          </w:p>
        </w:tc>
        <w:tc>
          <w:tcPr>
            <w:tcW w:w="499" w:type="pct"/>
          </w:tcPr>
          <w:p w:rsidR="0032079E" w:rsidRPr="008D32A3" w:rsidRDefault="0032079E" w:rsidP="00F0711D">
            <w:pPr>
              <w:jc w:val="center"/>
              <w:rPr>
                <w:rFonts w:ascii="Calibri" w:hAnsi="Calibri"/>
                <w:sz w:val="14"/>
              </w:rPr>
            </w:pPr>
            <w:r w:rsidRPr="00B76D31">
              <w:rPr>
                <w:rFonts w:ascii="Calibri" w:hAnsi="Calibri"/>
              </w:rPr>
              <w:t>CME</w:t>
            </w:r>
          </w:p>
        </w:tc>
        <w:tc>
          <w:tcPr>
            <w:tcW w:w="558" w:type="pct"/>
          </w:tcPr>
          <w:p w:rsidR="0032079E" w:rsidRPr="008D32A3" w:rsidRDefault="0032079E" w:rsidP="00F0711D">
            <w:pPr>
              <w:jc w:val="center"/>
              <w:rPr>
                <w:rFonts w:ascii="Calibri" w:hAnsi="Calibri"/>
                <w:sz w:val="14"/>
              </w:rPr>
            </w:pPr>
            <w:r w:rsidRPr="00B76D31">
              <w:rPr>
                <w:rFonts w:ascii="Calibri" w:hAnsi="Calibri"/>
              </w:rPr>
              <w:t>CL</w:t>
            </w:r>
          </w:p>
        </w:tc>
      </w:tr>
      <w:tr w:rsidR="0032079E" w:rsidRPr="0079555F" w:rsidTr="00F0711D">
        <w:trPr>
          <w:cnfStyle w:val="000000100000" w:firstRow="0" w:lastRow="0" w:firstColumn="0" w:lastColumn="0" w:oddVBand="0" w:evenVBand="0" w:oddHBand="1" w:evenHBand="0" w:firstRowFirstColumn="0" w:firstRowLastColumn="0" w:lastRowFirstColumn="0" w:lastRowLastColumn="0"/>
        </w:trPr>
        <w:tc>
          <w:tcPr>
            <w:tcW w:w="2697" w:type="pct"/>
          </w:tcPr>
          <w:p w:rsidR="0032079E" w:rsidRPr="008D32A3" w:rsidRDefault="0032079E" w:rsidP="00F0711D">
            <w:pPr>
              <w:rPr>
                <w:rFonts w:ascii="Calibri" w:hAnsi="Calibri"/>
              </w:rPr>
            </w:pPr>
            <w:r>
              <w:rPr>
                <w:rFonts w:ascii="Calibri" w:hAnsi="Calibri"/>
              </w:rPr>
              <w:t>NFX Power Financial Futures</w:t>
            </w:r>
          </w:p>
        </w:tc>
        <w:tc>
          <w:tcPr>
            <w:tcW w:w="441" w:type="pct"/>
          </w:tcPr>
          <w:p w:rsidR="0032079E" w:rsidRPr="008D32A3" w:rsidRDefault="0032079E" w:rsidP="00F0711D">
            <w:pPr>
              <w:jc w:val="center"/>
              <w:rPr>
                <w:rFonts w:ascii="Calibri" w:hAnsi="Calibri"/>
                <w:sz w:val="14"/>
              </w:rPr>
            </w:pPr>
            <w:r>
              <w:rPr>
                <w:rFonts w:ascii="Calibri" w:hAnsi="Calibri"/>
              </w:rPr>
              <w:t>ALL</w:t>
            </w:r>
          </w:p>
        </w:tc>
        <w:tc>
          <w:tcPr>
            <w:tcW w:w="805" w:type="pct"/>
          </w:tcPr>
          <w:p w:rsidR="0032079E" w:rsidRPr="008D32A3" w:rsidRDefault="0032079E" w:rsidP="00F0711D">
            <w:pPr>
              <w:jc w:val="center"/>
              <w:rPr>
                <w:rFonts w:ascii="Calibri" w:hAnsi="Calibri"/>
                <w:sz w:val="14"/>
              </w:rPr>
            </w:pPr>
            <w:r>
              <w:rPr>
                <w:rFonts w:ascii="Calibri" w:hAnsi="Calibri"/>
              </w:rPr>
              <w:t>Various</w:t>
            </w:r>
          </w:p>
        </w:tc>
        <w:tc>
          <w:tcPr>
            <w:tcW w:w="499" w:type="pct"/>
          </w:tcPr>
          <w:p w:rsidR="0032079E" w:rsidRPr="008D32A3" w:rsidRDefault="0032079E" w:rsidP="00F0711D">
            <w:pPr>
              <w:jc w:val="center"/>
              <w:rPr>
                <w:rFonts w:ascii="Calibri" w:hAnsi="Calibri"/>
                <w:sz w:val="14"/>
              </w:rPr>
            </w:pPr>
            <w:r>
              <w:rPr>
                <w:rFonts w:ascii="Calibri" w:hAnsi="Calibri"/>
              </w:rPr>
              <w:t>N/A</w:t>
            </w:r>
          </w:p>
        </w:tc>
        <w:tc>
          <w:tcPr>
            <w:tcW w:w="558" w:type="pct"/>
          </w:tcPr>
          <w:p w:rsidR="0032079E" w:rsidRPr="008D32A3" w:rsidRDefault="0032079E" w:rsidP="00F0711D">
            <w:pPr>
              <w:jc w:val="center"/>
              <w:rPr>
                <w:rFonts w:ascii="Calibri" w:hAnsi="Calibri"/>
                <w:sz w:val="14"/>
              </w:rPr>
            </w:pPr>
            <w:r>
              <w:rPr>
                <w:rFonts w:ascii="Calibri" w:hAnsi="Calibri"/>
              </w:rPr>
              <w:t>N/A</w:t>
            </w:r>
          </w:p>
        </w:tc>
      </w:tr>
    </w:tbl>
    <w:p w:rsidR="0032079E" w:rsidRDefault="0032079E" w:rsidP="0032079E">
      <w:pPr>
        <w:pStyle w:val="MainText"/>
      </w:pPr>
    </w:p>
    <w:p w:rsidR="0032079E" w:rsidRDefault="0032079E" w:rsidP="0032079E">
      <w:pPr>
        <w:pStyle w:val="MainText"/>
      </w:pPr>
      <w:r>
        <w:t xml:space="preserve">In addition to the outright Contracts listed above, NFX wants to incentivize market making in Intra-Commodity (Time) Spreads and Inter-Commodity Spreads.  </w:t>
      </w:r>
      <w:r w:rsidRPr="007336E3">
        <w:t xml:space="preserve">DMMs </w:t>
      </w:r>
      <w:r>
        <w:t>may</w:t>
      </w:r>
      <w:r w:rsidRPr="007336E3">
        <w:t xml:space="preserve"> </w:t>
      </w:r>
      <w:r>
        <w:t>apply</w:t>
      </w:r>
      <w:r w:rsidRPr="007336E3">
        <w:t xml:space="preserve"> </w:t>
      </w:r>
      <w:r>
        <w:t>to</w:t>
      </w:r>
      <w:r w:rsidRPr="007336E3">
        <w:t xml:space="preserve"> </w:t>
      </w:r>
      <w:r>
        <w:t xml:space="preserve">make </w:t>
      </w:r>
      <w:r w:rsidRPr="007336E3">
        <w:t>market</w:t>
      </w:r>
      <w:r>
        <w:t>s</w:t>
      </w:r>
      <w:r w:rsidRPr="007336E3">
        <w:t xml:space="preserve"> </w:t>
      </w:r>
      <w:r>
        <w:t>in</w:t>
      </w:r>
      <w:r w:rsidRPr="007336E3">
        <w:t xml:space="preserve"> </w:t>
      </w:r>
      <w:r>
        <w:t>C</w:t>
      </w:r>
      <w:r w:rsidRPr="007336E3">
        <w:t>ombination</w:t>
      </w:r>
      <w:r>
        <w:t xml:space="preserve"> Strategies</w:t>
      </w:r>
      <w:r w:rsidRPr="007336E3">
        <w:t xml:space="preserve"> (</w:t>
      </w:r>
      <w:r w:rsidRPr="00792F9D">
        <w:t>an Order to simultaneously buy and/or sell at least two contracts in one or more Contracts</w:t>
      </w:r>
      <w:r w:rsidRPr="007336E3">
        <w:t xml:space="preserve">) of the above listed </w:t>
      </w:r>
      <w:r>
        <w:t>E</w:t>
      </w:r>
      <w:r w:rsidRPr="007336E3">
        <w:t xml:space="preserve">nergy </w:t>
      </w:r>
      <w:r>
        <w:t>P</w:t>
      </w:r>
      <w:r w:rsidRPr="007336E3">
        <w:t>roducts (</w:t>
      </w:r>
      <w:r w:rsidRPr="00603751">
        <w:rPr>
          <w:u w:val="single"/>
        </w:rPr>
        <w:t>e.g</w:t>
      </w:r>
      <w:r w:rsidRPr="007336E3">
        <w:t xml:space="preserve">. </w:t>
      </w:r>
      <w:r w:rsidRPr="00B76D31">
        <w:t>NFX WTI Crude Financial Futures</w:t>
      </w:r>
      <w:r w:rsidRPr="007336E3" w:rsidDel="00792F9D">
        <w:t xml:space="preserve"> </w:t>
      </w:r>
      <w:r w:rsidRPr="007336E3">
        <w:t>/</w:t>
      </w:r>
      <w:r w:rsidRPr="00792F9D">
        <w:t xml:space="preserve"> NFX Brent Crude Financial Futures</w:t>
      </w:r>
      <w:r w:rsidRPr="007336E3">
        <w:t>).</w:t>
      </w:r>
      <w:r>
        <w:t xml:space="preserve">  The Exchange seeks DMM proposals that include, but are not limited to, market making commitments for: </w:t>
      </w:r>
    </w:p>
    <w:p w:rsidR="0032079E" w:rsidRDefault="0032079E" w:rsidP="0032079E">
      <w:pPr>
        <w:pStyle w:val="MainText"/>
      </w:pPr>
    </w:p>
    <w:p w:rsidR="0032079E" w:rsidRPr="00EF18F3" w:rsidRDefault="0032079E" w:rsidP="0032079E">
      <w:pPr>
        <w:pStyle w:val="MainText"/>
        <w:rPr>
          <w:b/>
        </w:rPr>
      </w:pPr>
      <w:r w:rsidRPr="00EF18F3">
        <w:rPr>
          <w:b/>
        </w:rPr>
        <w:lastRenderedPageBreak/>
        <w:t>Oil Complex</w:t>
      </w:r>
    </w:p>
    <w:p w:rsidR="0032079E" w:rsidRDefault="0032079E" w:rsidP="0032079E">
      <w:pPr>
        <w:pStyle w:val="MainText"/>
        <w:numPr>
          <w:ilvl w:val="0"/>
          <w:numId w:val="38"/>
        </w:numPr>
      </w:pPr>
      <w:r w:rsidRPr="00B76D31">
        <w:t>NFX Brent Crude Financial Futures</w:t>
      </w:r>
      <w:r>
        <w:t>: Intra-Commodity (Time) Spreads (</w:t>
      </w:r>
      <w:r w:rsidRPr="00603751">
        <w:rPr>
          <w:u w:val="single"/>
        </w:rPr>
        <w:t>e.g</w:t>
      </w:r>
      <w:r>
        <w:t>. month 3 vs 4) up to 12 months</w:t>
      </w:r>
    </w:p>
    <w:p w:rsidR="0032079E" w:rsidRDefault="0032079E" w:rsidP="0032079E">
      <w:pPr>
        <w:pStyle w:val="MainText"/>
        <w:numPr>
          <w:ilvl w:val="0"/>
          <w:numId w:val="38"/>
        </w:numPr>
      </w:pPr>
      <w:r w:rsidRPr="00B76D31">
        <w:t xml:space="preserve">NFX WTI Crude </w:t>
      </w:r>
      <w:r>
        <w:t xml:space="preserve">Penultimate </w:t>
      </w:r>
      <w:r w:rsidRPr="00B76D31">
        <w:t>Financial Futures</w:t>
      </w:r>
      <w:r>
        <w:t>:</w:t>
      </w:r>
      <w:r w:rsidDel="00175587">
        <w:t xml:space="preserve"> </w:t>
      </w:r>
      <w:r>
        <w:t>Intra-Commodity (Time) Spreads (</w:t>
      </w:r>
      <w:r w:rsidRPr="00603751">
        <w:rPr>
          <w:u w:val="single"/>
        </w:rPr>
        <w:t>e.g</w:t>
      </w:r>
      <w:r>
        <w:t>. month 3 vs 4) up to 12 months</w:t>
      </w:r>
    </w:p>
    <w:p w:rsidR="0032079E" w:rsidRPr="00281BFF" w:rsidRDefault="0032079E" w:rsidP="0032079E">
      <w:pPr>
        <w:pStyle w:val="MainText"/>
        <w:numPr>
          <w:ilvl w:val="0"/>
          <w:numId w:val="38"/>
        </w:numPr>
      </w:pPr>
      <w:r w:rsidRPr="00B76D31">
        <w:t xml:space="preserve">NFX WTI Crude </w:t>
      </w:r>
      <w:r>
        <w:t xml:space="preserve">Penultimate </w:t>
      </w:r>
      <w:r w:rsidRPr="00B76D31">
        <w:t>Financial Futures</w:t>
      </w:r>
      <w:r w:rsidDel="00181495">
        <w:t xml:space="preserve"> </w:t>
      </w:r>
      <w:r>
        <w:t>/</w:t>
      </w:r>
      <w:r w:rsidRPr="00181495">
        <w:t xml:space="preserve"> </w:t>
      </w:r>
      <w:r w:rsidRPr="00B76D31">
        <w:t>NFX Brent Crude Financial Futures</w:t>
      </w:r>
      <w:r>
        <w:t>:  Inter-Commodity Spread (</w:t>
      </w:r>
      <w:r w:rsidRPr="000250D4">
        <w:rPr>
          <w:u w:val="single"/>
        </w:rPr>
        <w:t>e.g</w:t>
      </w:r>
      <w:r>
        <w:t>. same month for most liquid expiries)</w:t>
      </w:r>
    </w:p>
    <w:p w:rsidR="0032079E" w:rsidRDefault="0032079E" w:rsidP="0032079E">
      <w:pPr>
        <w:pStyle w:val="MainText"/>
      </w:pPr>
    </w:p>
    <w:p w:rsidR="0032079E" w:rsidRPr="00CE70D4" w:rsidRDefault="0032079E" w:rsidP="0032079E">
      <w:pPr>
        <w:pStyle w:val="MainText"/>
        <w:rPr>
          <w:b/>
        </w:rPr>
      </w:pPr>
      <w:r w:rsidRPr="00CE70D4">
        <w:rPr>
          <w:b/>
        </w:rPr>
        <w:t>Natural Gas</w:t>
      </w:r>
    </w:p>
    <w:p w:rsidR="0032079E" w:rsidRDefault="0032079E" w:rsidP="0032079E">
      <w:pPr>
        <w:pStyle w:val="MainText"/>
        <w:numPr>
          <w:ilvl w:val="0"/>
          <w:numId w:val="38"/>
        </w:numPr>
      </w:pPr>
      <w:r w:rsidRPr="00B76D31">
        <w:t>NFX Henry Hub Natural Gas Financial Futures – 10,000</w:t>
      </w:r>
      <w:r>
        <w:t>:  Intra-Commodity (Time) Spreads</w:t>
      </w:r>
      <w:r w:rsidDel="006B2F6E">
        <w:t xml:space="preserve"> </w:t>
      </w:r>
      <w:r>
        <w:t>(</w:t>
      </w:r>
      <w:r w:rsidRPr="00603751">
        <w:rPr>
          <w:u w:val="single"/>
        </w:rPr>
        <w:t>e.g</w:t>
      </w:r>
      <w:r>
        <w:t>. month 3 vs 4 and up to 12 months)</w:t>
      </w:r>
    </w:p>
    <w:p w:rsidR="0032079E" w:rsidRDefault="0032079E" w:rsidP="0032079E">
      <w:pPr>
        <w:pStyle w:val="MainText"/>
        <w:numPr>
          <w:ilvl w:val="0"/>
          <w:numId w:val="38"/>
        </w:numPr>
      </w:pPr>
      <w:r w:rsidRPr="00B76D31">
        <w:t>NFX Henry Hub Nat</w:t>
      </w:r>
      <w:r>
        <w:t>ural Gas Financial Futures – 2,500:  Intra-Commodity (Time) Spreads</w:t>
      </w:r>
      <w:r w:rsidDel="006B2F6E">
        <w:t xml:space="preserve"> </w:t>
      </w:r>
      <w:r>
        <w:t>(</w:t>
      </w:r>
      <w:r w:rsidRPr="00603751">
        <w:rPr>
          <w:u w:val="single"/>
        </w:rPr>
        <w:t>e.g</w:t>
      </w:r>
      <w:r>
        <w:t>. month 3 vs 4 and up to 12 months)</w:t>
      </w:r>
    </w:p>
    <w:p w:rsidR="0032079E" w:rsidRPr="002E4D16" w:rsidRDefault="0032079E" w:rsidP="0032079E">
      <w:pPr>
        <w:pStyle w:val="Subhead1Style"/>
        <w:numPr>
          <w:ilvl w:val="0"/>
          <w:numId w:val="36"/>
        </w:numPr>
        <w:ind w:left="-360"/>
        <w:jc w:val="both"/>
        <w:rPr>
          <w:color w:val="0070C0"/>
        </w:rPr>
      </w:pPr>
      <w:r>
        <w:rPr>
          <w:color w:val="0070C0"/>
        </w:rPr>
        <w:t>DMM B</w:t>
      </w:r>
      <w:r w:rsidRPr="002E4D16">
        <w:rPr>
          <w:color w:val="0070C0"/>
        </w:rPr>
        <w:t>enefits</w:t>
      </w:r>
    </w:p>
    <w:p w:rsidR="0032079E" w:rsidRDefault="0032079E" w:rsidP="0032079E">
      <w:pPr>
        <w:pStyle w:val="MainText"/>
      </w:pPr>
      <w:r>
        <w:t xml:space="preserve">Appointed DMMs shall receive a nominal monthly stipend to contribute towards the direct costs associated with providing the DMM service.  In addition, as mentioned above, no execution or clearing fees will be charged by the Exchange or the Clearing Corporation for any transactions in Energy Products during the </w:t>
      </w:r>
      <w:r w:rsidR="00D61EDD">
        <w:t xml:space="preserve">term of the </w:t>
      </w:r>
      <w:r>
        <w:t xml:space="preserve">program. </w:t>
      </w:r>
    </w:p>
    <w:p w:rsidR="0032079E" w:rsidRDefault="0032079E" w:rsidP="0032079E">
      <w:pPr>
        <w:pStyle w:val="MainText"/>
      </w:pPr>
    </w:p>
    <w:p w:rsidR="0032079E" w:rsidRDefault="0032079E" w:rsidP="0032079E">
      <w:pPr>
        <w:pStyle w:val="MainText"/>
        <w:rPr>
          <w:rStyle w:val="Hyperlink"/>
          <w:color w:val="auto"/>
        </w:rPr>
      </w:pPr>
      <w:r>
        <w:t>Appointed DMMs will be able to use all functionality in the NFX Trading System.  The DMM will be able to use both Orders as well as Quotes.  Mass Quotes, Mass Quote</w:t>
      </w:r>
      <w:r w:rsidRPr="00D57D36">
        <w:t xml:space="preserve"> Protection (M</w:t>
      </w:r>
      <w:r>
        <w:t>Q</w:t>
      </w:r>
      <w:r w:rsidRPr="00D57D36">
        <w:t>P) and Self-Match Prevention functionality</w:t>
      </w:r>
      <w:r>
        <w:t xml:space="preserve"> is also available.  An</w:t>
      </w:r>
      <w:r w:rsidRPr="00D57D36">
        <w:t xml:space="preserve"> explanatory reference guide for these key concepts and services provided by NFX</w:t>
      </w:r>
      <w:r>
        <w:t xml:space="preserve"> may be found here: </w:t>
      </w:r>
      <w:hyperlink r:id="rId16" w:history="1">
        <w:r w:rsidRPr="00546C1D">
          <w:rPr>
            <w:rStyle w:val="Hyperlink"/>
            <w:color w:val="auto"/>
          </w:rPr>
          <w:t>business.nasdaq.com/futures</w:t>
        </w:r>
      </w:hyperlink>
      <w:r w:rsidRPr="00546C1D">
        <w:rPr>
          <w:rStyle w:val="Hyperlink"/>
          <w:color w:val="auto"/>
        </w:rPr>
        <w:t>.</w:t>
      </w:r>
    </w:p>
    <w:p w:rsidR="0032079E" w:rsidRPr="004441F4" w:rsidRDefault="0032079E" w:rsidP="0032079E">
      <w:pPr>
        <w:pStyle w:val="Subhead1Style"/>
        <w:numPr>
          <w:ilvl w:val="0"/>
          <w:numId w:val="36"/>
        </w:numPr>
        <w:ind w:left="-360"/>
        <w:jc w:val="both"/>
        <w:rPr>
          <w:color w:val="0070C0"/>
        </w:rPr>
      </w:pPr>
      <w:r>
        <w:rPr>
          <w:color w:val="0070C0"/>
        </w:rPr>
        <w:t>DMM O</w:t>
      </w:r>
      <w:r w:rsidRPr="004441F4">
        <w:rPr>
          <w:color w:val="0070C0"/>
        </w:rPr>
        <w:t xml:space="preserve">bligations and Assessment Metrics </w:t>
      </w:r>
    </w:p>
    <w:p w:rsidR="0032079E" w:rsidRDefault="0032079E" w:rsidP="0032079E">
      <w:pPr>
        <w:pStyle w:val="MainText"/>
      </w:pPr>
      <w:r>
        <w:t>DMMs must be NFX Futures Participants or an NFX Futures Participant’s Authorized Customer capable of executing transactions on the NFX Trading System on the commencement date of the program.  Applications received in response to this solicitation will be evaluated with respect to the following criteria:</w:t>
      </w:r>
    </w:p>
    <w:p w:rsidR="0032079E" w:rsidRDefault="0032079E" w:rsidP="0032079E">
      <w:pPr>
        <w:pStyle w:val="MainText"/>
      </w:pPr>
    </w:p>
    <w:p w:rsidR="0032079E" w:rsidRDefault="0032079E" w:rsidP="0032079E">
      <w:pPr>
        <w:pStyle w:val="Subhead2Style"/>
      </w:pPr>
      <w:r>
        <w:t>Continuous Quote Market Making</w:t>
      </w:r>
    </w:p>
    <w:p w:rsidR="0032079E" w:rsidRDefault="0032079E" w:rsidP="0032079E">
      <w:pPr>
        <w:pStyle w:val="Subhead2Style"/>
      </w:pPr>
    </w:p>
    <w:p w:rsidR="0032079E" w:rsidRDefault="0032079E" w:rsidP="0032079E">
      <w:pPr>
        <w:pStyle w:val="Bullets"/>
      </w:pPr>
      <w:r>
        <w:t xml:space="preserve">Combination Orders vs. single leg Orders;  </w:t>
      </w:r>
    </w:p>
    <w:p w:rsidR="0032079E" w:rsidRDefault="0032079E" w:rsidP="0032079E">
      <w:pPr>
        <w:pStyle w:val="Bullets"/>
      </w:pPr>
      <w:r>
        <w:t>Liquidity: 80% minimum adding liquidity versus removing liquidity;</w:t>
      </w:r>
    </w:p>
    <w:p w:rsidR="0032079E" w:rsidRDefault="0032079E" w:rsidP="0032079E">
      <w:pPr>
        <w:pStyle w:val="Bullets"/>
      </w:pPr>
      <w:r>
        <w:t>Number of Strikes above and below At The Money (Options market making only);</w:t>
      </w:r>
    </w:p>
    <w:p w:rsidR="0032079E" w:rsidRDefault="0032079E" w:rsidP="0032079E">
      <w:pPr>
        <w:pStyle w:val="Bullets"/>
        <w:jc w:val="both"/>
      </w:pPr>
      <w:r>
        <w:t>Minimum size of spread between bid and ask price;</w:t>
      </w:r>
    </w:p>
    <w:p w:rsidR="0032079E" w:rsidRDefault="0032079E" w:rsidP="0032079E">
      <w:pPr>
        <w:pStyle w:val="Bullets"/>
        <w:jc w:val="both"/>
      </w:pPr>
      <w:r>
        <w:t>Minimum volume in the symmetrical bid and ask of the Quotes;</w:t>
      </w:r>
    </w:p>
    <w:p w:rsidR="0032079E" w:rsidRDefault="0032079E" w:rsidP="0032079E">
      <w:pPr>
        <w:pStyle w:val="Bullets"/>
        <w:jc w:val="both"/>
      </w:pPr>
      <w:r>
        <w:t>Assessment of the stipend which offers most value to NFX for the range of market maker activities applied for; and</w:t>
      </w:r>
    </w:p>
    <w:p w:rsidR="0032079E" w:rsidRDefault="0032079E" w:rsidP="0032079E">
      <w:pPr>
        <w:pStyle w:val="Bullets"/>
        <w:jc w:val="both"/>
      </w:pPr>
      <w:r>
        <w:t>Highest trading session presence, meaning the percentage of time the DMM will meet quoting obligations in specified trading sessions.</w:t>
      </w:r>
    </w:p>
    <w:p w:rsidR="0032079E" w:rsidRPr="00474734" w:rsidRDefault="0032079E" w:rsidP="0032079E">
      <w:pPr>
        <w:pStyle w:val="Subhead2Style"/>
        <w:rPr>
          <w:b w:val="0"/>
          <w:color w:val="auto"/>
        </w:rPr>
      </w:pPr>
      <w:r w:rsidRPr="00CE70D4">
        <w:rPr>
          <w:b w:val="0"/>
        </w:rPr>
        <w:t xml:space="preserve">An explanatory </w:t>
      </w:r>
      <w:r>
        <w:rPr>
          <w:b w:val="0"/>
        </w:rPr>
        <w:t>“General R</w:t>
      </w:r>
      <w:r w:rsidRPr="00CE70D4">
        <w:rPr>
          <w:b w:val="0"/>
        </w:rPr>
        <w:t xml:space="preserve">eference </w:t>
      </w:r>
      <w:r>
        <w:rPr>
          <w:b w:val="0"/>
        </w:rPr>
        <w:t>G</w:t>
      </w:r>
      <w:r w:rsidRPr="00CE70D4">
        <w:rPr>
          <w:b w:val="0"/>
        </w:rPr>
        <w:t>uide</w:t>
      </w:r>
      <w:r>
        <w:rPr>
          <w:b w:val="0"/>
        </w:rPr>
        <w:t xml:space="preserve">” describing Order types may be found here: </w:t>
      </w:r>
      <w:hyperlink r:id="rId17" w:history="1">
        <w:r w:rsidRPr="00474734">
          <w:rPr>
            <w:rStyle w:val="Hyperlink"/>
            <w:b w:val="0"/>
            <w:color w:val="auto"/>
          </w:rPr>
          <w:t>business.nasdaq.com/futures</w:t>
        </w:r>
      </w:hyperlink>
      <w:r w:rsidRPr="00474734">
        <w:rPr>
          <w:b w:val="0"/>
          <w:color w:val="auto"/>
        </w:rPr>
        <w:t>.</w:t>
      </w:r>
    </w:p>
    <w:p w:rsidR="0032079E" w:rsidRPr="00CE70D4" w:rsidRDefault="0032079E" w:rsidP="0032079E">
      <w:pPr>
        <w:pStyle w:val="Subhead2Style"/>
        <w:rPr>
          <w:b w:val="0"/>
        </w:rPr>
      </w:pPr>
    </w:p>
    <w:p w:rsidR="0032079E" w:rsidRDefault="0032079E" w:rsidP="0032079E">
      <w:pPr>
        <w:pStyle w:val="Subhead2Style"/>
      </w:pPr>
    </w:p>
    <w:p w:rsidR="0032079E" w:rsidRDefault="0032079E" w:rsidP="0032079E">
      <w:pPr>
        <w:pStyle w:val="Subhead2Style"/>
      </w:pPr>
      <w:r>
        <w:t xml:space="preserve">Quote Response Market Making </w:t>
      </w:r>
    </w:p>
    <w:p w:rsidR="0032079E" w:rsidRDefault="0032079E" w:rsidP="0032079E">
      <w:pPr>
        <w:pStyle w:val="Subhead2Style"/>
        <w:rPr>
          <w:b w:val="0"/>
        </w:rPr>
      </w:pPr>
      <w:r w:rsidRPr="009B3B67">
        <w:rPr>
          <w:b w:val="0"/>
        </w:rPr>
        <w:t>In addition to the metrics listed above</w:t>
      </w:r>
      <w:r>
        <w:rPr>
          <w:b w:val="0"/>
        </w:rPr>
        <w:t>,</w:t>
      </w:r>
      <w:r w:rsidRPr="009B3B67">
        <w:rPr>
          <w:b w:val="0"/>
        </w:rPr>
        <w:t xml:space="preserve"> </w:t>
      </w:r>
      <w:r>
        <w:rPr>
          <w:b w:val="0"/>
        </w:rPr>
        <w:t>the Exchange will evaluate applications with respect to the following criteria:</w:t>
      </w:r>
    </w:p>
    <w:p w:rsidR="0032079E" w:rsidRPr="009B3B67" w:rsidRDefault="0032079E" w:rsidP="0032079E">
      <w:pPr>
        <w:pStyle w:val="Subhead2Style"/>
        <w:rPr>
          <w:b w:val="0"/>
        </w:rPr>
      </w:pPr>
    </w:p>
    <w:p w:rsidR="0032079E" w:rsidRDefault="0032079E" w:rsidP="0032079E">
      <w:pPr>
        <w:pStyle w:val="Bullets"/>
        <w:jc w:val="both"/>
      </w:pPr>
      <w:r>
        <w:t>Request for Quotes (RFQ) in all strike prices and all expirations (for example an application might specify that at least 50% of all RFQs will be answered by the DMM on a monthly average, but only up to a maximum of 150 Quote requests per day);</w:t>
      </w:r>
    </w:p>
    <w:p w:rsidR="0032079E" w:rsidRDefault="0032079E" w:rsidP="0032079E">
      <w:pPr>
        <w:pStyle w:val="Bullets"/>
        <w:jc w:val="both"/>
      </w:pPr>
      <w:r>
        <w:lastRenderedPageBreak/>
        <w:t>Accessibility to Nasdaq’s Drop Copy functionality;</w:t>
      </w:r>
    </w:p>
    <w:p w:rsidR="0032079E" w:rsidRDefault="0032079E" w:rsidP="0032079E">
      <w:pPr>
        <w:pStyle w:val="Bullets"/>
        <w:jc w:val="both"/>
      </w:pPr>
      <w:r>
        <w:t>Minimum bid / ask size (volume) of the Quotes;</w:t>
      </w:r>
    </w:p>
    <w:p w:rsidR="0032079E" w:rsidRDefault="0032079E" w:rsidP="0032079E">
      <w:pPr>
        <w:pStyle w:val="Bullets"/>
        <w:jc w:val="both"/>
      </w:pPr>
      <w:r>
        <w:t>Response times (these may differ between outrights (legs) and Combinations or Strategies); and</w:t>
      </w:r>
    </w:p>
    <w:p w:rsidR="0032079E" w:rsidRDefault="0032079E" w:rsidP="0032079E">
      <w:pPr>
        <w:pStyle w:val="Bullets"/>
        <w:jc w:val="both"/>
      </w:pPr>
      <w:r>
        <w:t>Minimum percent of RFQ matches (e.g. Company A’s RFQ trades divided by Total RFQ trades for a period in Natural Gas Options).</w:t>
      </w:r>
    </w:p>
    <w:p w:rsidR="0032079E" w:rsidRPr="004441F4" w:rsidRDefault="0032079E" w:rsidP="0032079E">
      <w:pPr>
        <w:pStyle w:val="Subhead1Style"/>
        <w:numPr>
          <w:ilvl w:val="0"/>
          <w:numId w:val="36"/>
        </w:numPr>
        <w:ind w:left="-360"/>
        <w:jc w:val="both"/>
        <w:rPr>
          <w:color w:val="0070C0"/>
        </w:rPr>
      </w:pPr>
      <w:r w:rsidRPr="004441F4">
        <w:rPr>
          <w:color w:val="0070C0"/>
        </w:rPr>
        <w:t>Supervision of Market Maker Performance</w:t>
      </w:r>
    </w:p>
    <w:p w:rsidR="0032079E" w:rsidRDefault="0032079E" w:rsidP="0032079E">
      <w:pPr>
        <w:pStyle w:val="Subhead1Style"/>
        <w:jc w:val="both"/>
        <w:rPr>
          <w:b w:val="0"/>
          <w:color w:val="000000"/>
          <w:sz w:val="20"/>
        </w:rPr>
      </w:pPr>
      <w:r>
        <w:rPr>
          <w:b w:val="0"/>
          <w:color w:val="000000"/>
          <w:sz w:val="20"/>
        </w:rPr>
        <w:t>NFX</w:t>
      </w:r>
      <w:r w:rsidRPr="0038058E">
        <w:rPr>
          <w:b w:val="0"/>
          <w:color w:val="000000"/>
          <w:sz w:val="20"/>
        </w:rPr>
        <w:t xml:space="preserve"> shall monitor </w:t>
      </w:r>
      <w:r>
        <w:rPr>
          <w:b w:val="0"/>
          <w:color w:val="000000"/>
          <w:sz w:val="20"/>
        </w:rPr>
        <w:t>Order Book</w:t>
      </w:r>
      <w:r w:rsidRPr="0038058E">
        <w:rPr>
          <w:b w:val="0"/>
          <w:color w:val="000000"/>
          <w:sz w:val="20"/>
        </w:rPr>
        <w:t xml:space="preserve"> activity to</w:t>
      </w:r>
      <w:r>
        <w:rPr>
          <w:b w:val="0"/>
          <w:color w:val="000000"/>
          <w:sz w:val="20"/>
        </w:rPr>
        <w:t xml:space="preserve"> ensure that DMMs selected for the program comply with their</w:t>
      </w:r>
      <w:r w:rsidRPr="0038058E">
        <w:rPr>
          <w:b w:val="0"/>
          <w:color w:val="000000"/>
          <w:sz w:val="20"/>
        </w:rPr>
        <w:t xml:space="preserve"> obligations under this program</w:t>
      </w:r>
      <w:r>
        <w:rPr>
          <w:b w:val="0"/>
          <w:color w:val="000000"/>
          <w:sz w:val="20"/>
        </w:rPr>
        <w:t>.</w:t>
      </w:r>
      <w:r w:rsidRPr="0038058E">
        <w:rPr>
          <w:b w:val="0"/>
          <w:color w:val="000000"/>
          <w:sz w:val="20"/>
        </w:rPr>
        <w:t xml:space="preserve">  Please note the following:</w:t>
      </w:r>
    </w:p>
    <w:p w:rsidR="0032079E" w:rsidRPr="0038058E" w:rsidRDefault="0032079E" w:rsidP="0032079E">
      <w:pPr>
        <w:pStyle w:val="Bullets"/>
        <w:jc w:val="both"/>
      </w:pPr>
      <w:r w:rsidRPr="0038058E">
        <w:t>I</w:t>
      </w:r>
      <w:r>
        <w:t xml:space="preserve">f Quote </w:t>
      </w:r>
      <w:r w:rsidRPr="0038058E">
        <w:t xml:space="preserve">volume </w:t>
      </w:r>
      <w:r>
        <w:t xml:space="preserve">is </w:t>
      </w:r>
      <w:r w:rsidRPr="0038058E">
        <w:t xml:space="preserve">asymmetrical (the volume on the </w:t>
      </w:r>
      <w:r>
        <w:t>b</w:t>
      </w:r>
      <w:r w:rsidRPr="0038058E">
        <w:t xml:space="preserve">id </w:t>
      </w:r>
      <w:r>
        <w:t>/</w:t>
      </w:r>
      <w:r w:rsidRPr="0038058E">
        <w:t xml:space="preserve"> </w:t>
      </w:r>
      <w:r>
        <w:t>a</w:t>
      </w:r>
      <w:r w:rsidRPr="0038058E">
        <w:t xml:space="preserve">sk not being equal), then the lower volume will be the measured volume of the </w:t>
      </w:r>
      <w:r>
        <w:t>Q</w:t>
      </w:r>
      <w:r w:rsidRPr="0038058E">
        <w:t>uote</w:t>
      </w:r>
      <w:r>
        <w:t>.</w:t>
      </w:r>
    </w:p>
    <w:p w:rsidR="0032079E" w:rsidRPr="0038058E" w:rsidRDefault="0032079E" w:rsidP="0032079E">
      <w:pPr>
        <w:pStyle w:val="Bullets"/>
        <w:jc w:val="both"/>
      </w:pPr>
      <w:r>
        <w:t xml:space="preserve">Time </w:t>
      </w:r>
      <w:r w:rsidRPr="0038058E">
        <w:t xml:space="preserve">spent meeting quoting obligations will not carry over from one </w:t>
      </w:r>
      <w:r>
        <w:t>trading session</w:t>
      </w:r>
      <w:r w:rsidRPr="0038058E">
        <w:t xml:space="preserve"> to the next</w:t>
      </w:r>
      <w:r>
        <w:t xml:space="preserve">.  DMM time commitments </w:t>
      </w:r>
      <w:r w:rsidRPr="0038058E">
        <w:t xml:space="preserve">must be met on each and every </w:t>
      </w:r>
      <w:r>
        <w:t>trading day.</w:t>
      </w:r>
    </w:p>
    <w:p w:rsidR="0032079E" w:rsidRDefault="0032079E" w:rsidP="0032079E">
      <w:pPr>
        <w:pStyle w:val="MainText"/>
      </w:pPr>
      <w:r>
        <w:t>NFX</w:t>
      </w:r>
      <w:r w:rsidRPr="0038058E">
        <w:t xml:space="preserve"> reserve</w:t>
      </w:r>
      <w:r>
        <w:t>s</w:t>
      </w:r>
      <w:r w:rsidRPr="0038058E">
        <w:t xml:space="preserve"> the right to</w:t>
      </w:r>
      <w:r>
        <w:t xml:space="preserve"> suspend or</w:t>
      </w:r>
      <w:r w:rsidRPr="0038058E">
        <w:t xml:space="preserve"> terminate </w:t>
      </w:r>
      <w:r>
        <w:t>the benefits under this DMM Program with</w:t>
      </w:r>
      <w:r w:rsidRPr="0038058E">
        <w:t xml:space="preserve"> immediate effect</w:t>
      </w:r>
      <w:r>
        <w:t xml:space="preserve"> if the DMM fails to meet its obligations</w:t>
      </w:r>
      <w:r w:rsidRPr="0038058E">
        <w:t>.</w:t>
      </w:r>
    </w:p>
    <w:p w:rsidR="0032079E" w:rsidRPr="004441F4" w:rsidRDefault="0032079E" w:rsidP="0032079E">
      <w:pPr>
        <w:pStyle w:val="Subhead1Style"/>
        <w:numPr>
          <w:ilvl w:val="0"/>
          <w:numId w:val="36"/>
        </w:numPr>
        <w:ind w:left="-360"/>
        <w:jc w:val="both"/>
        <w:rPr>
          <w:color w:val="0070C0"/>
        </w:rPr>
      </w:pPr>
      <w:r>
        <w:rPr>
          <w:color w:val="0070C0"/>
        </w:rPr>
        <w:t>DMM Selection</w:t>
      </w:r>
      <w:r w:rsidRPr="004441F4">
        <w:rPr>
          <w:color w:val="0070C0"/>
        </w:rPr>
        <w:t xml:space="preserve"> Process and </w:t>
      </w:r>
      <w:r>
        <w:rPr>
          <w:color w:val="0070C0"/>
        </w:rPr>
        <w:t>Appointment</w:t>
      </w:r>
    </w:p>
    <w:p w:rsidR="0032079E" w:rsidRDefault="0032079E" w:rsidP="0032079E">
      <w:pPr>
        <w:pStyle w:val="Subhead2Style"/>
      </w:pPr>
      <w:r w:rsidRPr="0038058E">
        <w:t>Invitation</w:t>
      </w:r>
    </w:p>
    <w:p w:rsidR="0032079E" w:rsidRDefault="0032079E" w:rsidP="0032079E">
      <w:pPr>
        <w:pStyle w:val="MainText"/>
      </w:pPr>
      <w:r>
        <w:t xml:space="preserve">Futures Participants and Authorized Customers are invited to submit competitive tender applications via tender form template attached in Exhibit 1.  Applications should be submitted to NFX no later than the </w:t>
      </w:r>
      <w:r w:rsidRPr="005F6EC0">
        <w:rPr>
          <w:u w:val="single"/>
        </w:rPr>
        <w:t>close of business (17:00 EPT) on A</w:t>
      </w:r>
      <w:r w:rsidRPr="00B75523">
        <w:rPr>
          <w:u w:val="single"/>
        </w:rPr>
        <w:t xml:space="preserve">pril </w:t>
      </w:r>
      <w:r w:rsidR="00D61EDD" w:rsidRPr="00B75523">
        <w:rPr>
          <w:u w:val="single"/>
        </w:rPr>
        <w:t>15</w:t>
      </w:r>
      <w:r w:rsidRPr="00B75523">
        <w:rPr>
          <w:u w:val="single"/>
        </w:rPr>
        <w:t>, 2016</w:t>
      </w:r>
      <w:r>
        <w:t>.</w:t>
      </w:r>
    </w:p>
    <w:p w:rsidR="0032079E" w:rsidRDefault="0032079E" w:rsidP="0032079E">
      <w:pPr>
        <w:pStyle w:val="MainText"/>
      </w:pPr>
      <w:r>
        <w:t xml:space="preserve">  </w:t>
      </w:r>
    </w:p>
    <w:p w:rsidR="0032079E" w:rsidRDefault="0032079E" w:rsidP="0032079E">
      <w:pPr>
        <w:pStyle w:val="Subhead2Style"/>
      </w:pPr>
      <w:r w:rsidRPr="0038058E">
        <w:t>Eligibility</w:t>
      </w:r>
    </w:p>
    <w:p w:rsidR="0032079E" w:rsidRPr="00CE70D4" w:rsidRDefault="0032079E" w:rsidP="0032079E">
      <w:pPr>
        <w:pStyle w:val="MainText"/>
        <w:rPr>
          <w:highlight w:val="yellow"/>
        </w:rPr>
      </w:pPr>
      <w:r>
        <w:t xml:space="preserve">Applications for this DMM program are invited from all NFX Futures Participants, as well as Authorized Customers of Futures Participants. </w:t>
      </w:r>
    </w:p>
    <w:p w:rsidR="0032079E" w:rsidRDefault="0032079E" w:rsidP="0032079E">
      <w:pPr>
        <w:pStyle w:val="MainText"/>
      </w:pPr>
    </w:p>
    <w:p w:rsidR="0032079E" w:rsidRDefault="0032079E" w:rsidP="0032079E">
      <w:pPr>
        <w:pStyle w:val="Subhead2Style"/>
      </w:pPr>
      <w:r>
        <w:t>Applicant Commitment</w:t>
      </w:r>
    </w:p>
    <w:p w:rsidR="0032079E" w:rsidRDefault="0032079E" w:rsidP="0032079E">
      <w:pPr>
        <w:pStyle w:val="MainText"/>
      </w:pPr>
      <w:r>
        <w:t>The application should contain the following information for each Energy Product which the applicant wishes to submit a tender:</w:t>
      </w:r>
    </w:p>
    <w:p w:rsidR="0032079E" w:rsidRDefault="0032079E" w:rsidP="0032079E">
      <w:pPr>
        <w:pStyle w:val="MainText"/>
      </w:pPr>
    </w:p>
    <w:p w:rsidR="0032079E" w:rsidRDefault="0032079E" w:rsidP="0032079E">
      <w:pPr>
        <w:pStyle w:val="Bullets"/>
        <w:jc w:val="both"/>
      </w:pPr>
      <w:r>
        <w:t>The minimum bid / ask quote spread in basis points and the associated symmetrical volumes to which the DMM will commit for the greatest percentage of time during the Open Session (the trading session);</w:t>
      </w:r>
    </w:p>
    <w:p w:rsidR="0032079E" w:rsidRDefault="0032079E" w:rsidP="0032079E">
      <w:pPr>
        <w:pStyle w:val="Bullets"/>
        <w:jc w:val="both"/>
      </w:pPr>
      <w:r>
        <w:t>The number of Futures and / or Options products, outright expiries, and Combination Strategies to be quoted by the DMM.</w:t>
      </w:r>
    </w:p>
    <w:p w:rsidR="0032079E" w:rsidRDefault="0032079E" w:rsidP="0032079E">
      <w:pPr>
        <w:pStyle w:val="Bullets"/>
        <w:numPr>
          <w:ilvl w:val="0"/>
          <w:numId w:val="0"/>
        </w:numPr>
        <w:ind w:left="-504"/>
        <w:jc w:val="both"/>
      </w:pPr>
      <w:r>
        <w:t>NFX encourages tiered quoting obligations (i.e. several Orders of wider spreads and increasing volume by the DMM).</w:t>
      </w:r>
    </w:p>
    <w:p w:rsidR="0032079E" w:rsidRDefault="0032079E" w:rsidP="0032079E">
      <w:pPr>
        <w:pStyle w:val="Subhead2Style"/>
      </w:pPr>
      <w:r>
        <w:t>Trading Hours</w:t>
      </w:r>
    </w:p>
    <w:p w:rsidR="0032079E" w:rsidRDefault="0032079E" w:rsidP="0032079E">
      <w:pPr>
        <w:pStyle w:val="MainText"/>
      </w:pPr>
      <w:r>
        <w:t xml:space="preserve">The DMM may propose to make markets during any time period within the trading session.  NFX expects applicants to propose market making activity during peak trading hours and off-peak trading hours.  Below are </w:t>
      </w:r>
      <w:proofErr w:type="gramStart"/>
      <w:r>
        <w:t>sample</w:t>
      </w:r>
      <w:proofErr w:type="gramEnd"/>
      <w:r>
        <w:t xml:space="preserve"> time periods:</w:t>
      </w:r>
    </w:p>
    <w:p w:rsidR="0032079E" w:rsidRDefault="0032079E" w:rsidP="0032079E">
      <w:pPr>
        <w:pStyle w:val="MainText"/>
      </w:pPr>
    </w:p>
    <w:p w:rsidR="0032079E" w:rsidRDefault="0032079E" w:rsidP="0032079E">
      <w:pPr>
        <w:pStyle w:val="MainText"/>
      </w:pPr>
      <w:r w:rsidRPr="009F0EFF">
        <w:rPr>
          <w:i/>
        </w:rPr>
        <w:t>Peak Trading Hours (</w:t>
      </w:r>
      <w:r>
        <w:t>PTH) – 03:30 to 14:30 EPT or 08:00 to 15:00 EPT</w:t>
      </w:r>
    </w:p>
    <w:p w:rsidR="0032079E" w:rsidRDefault="0032079E" w:rsidP="0032079E">
      <w:pPr>
        <w:pStyle w:val="MainText"/>
      </w:pPr>
      <w:r w:rsidRPr="009F0EFF">
        <w:rPr>
          <w:i/>
        </w:rPr>
        <w:t>Off</w:t>
      </w:r>
      <w:r>
        <w:rPr>
          <w:i/>
        </w:rPr>
        <w:t>-Peak</w:t>
      </w:r>
      <w:r w:rsidRPr="009F0EFF">
        <w:rPr>
          <w:i/>
        </w:rPr>
        <w:t xml:space="preserve"> Trading Hours </w:t>
      </w:r>
      <w:r>
        <w:t>(OTH) – 15:01 to 16:59 EPT, 19:00 to 07:59 EPT</w:t>
      </w:r>
    </w:p>
    <w:p w:rsidR="0032079E" w:rsidRDefault="0032079E" w:rsidP="0032079E">
      <w:pPr>
        <w:pStyle w:val="MainText"/>
      </w:pPr>
    </w:p>
    <w:p w:rsidR="0032079E" w:rsidRPr="0038058E" w:rsidRDefault="0032079E" w:rsidP="0032079E">
      <w:pPr>
        <w:pStyle w:val="Subhead2Style"/>
      </w:pPr>
      <w:r w:rsidRPr="0038058E">
        <w:t xml:space="preserve">Trader </w:t>
      </w:r>
      <w:r>
        <w:t>L</w:t>
      </w:r>
      <w:r w:rsidRPr="0038058E">
        <w:t>ist</w:t>
      </w:r>
    </w:p>
    <w:p w:rsidR="0032079E" w:rsidRDefault="0032079E" w:rsidP="0032079E">
      <w:pPr>
        <w:pStyle w:val="MainText"/>
      </w:pPr>
      <w:r>
        <w:t>An appointed DMM will be required to provide a list of the Authorized Traders who will be responsible for quoting and executing trades under this DMM program.</w:t>
      </w:r>
    </w:p>
    <w:p w:rsidR="0032079E" w:rsidRDefault="0032079E" w:rsidP="0032079E">
      <w:pPr>
        <w:pStyle w:val="MainText"/>
      </w:pPr>
    </w:p>
    <w:p w:rsidR="0032079E" w:rsidRDefault="0032079E" w:rsidP="0032079E">
      <w:pPr>
        <w:pStyle w:val="Subhead2Style"/>
      </w:pPr>
      <w:r w:rsidRPr="00FC2AED">
        <w:lastRenderedPageBreak/>
        <w:t>Appointment</w:t>
      </w:r>
    </w:p>
    <w:p w:rsidR="0032079E" w:rsidRDefault="0032079E" w:rsidP="0032079E">
      <w:pPr>
        <w:pStyle w:val="MainText"/>
      </w:pPr>
      <w:r>
        <w:t>Selected DMMs will be appointed by NFX following assessment of all applications submitted under this tender.  NFX’s selection and appointment of DMMs shall be final.  NFX will maintain a reserve list (Reserve DMMs) that will be used to replace appointed DMMs in the case appointed DMMs fail to meet their obligations.  Appointed DMMs and Reserve DMMs shall be notified of their appointment status on or around one week after the application deadline.   Appointed DMMs will be engaged by NFX subject to its Rules, this tender, and the applicants’ accepted proposals.  DMM benefits and obligations will commence on April 24, 2016 for the new Energy Products, which will be communicated by NFX and continue for the term of the DMM program.</w:t>
      </w:r>
    </w:p>
    <w:p w:rsidR="0032079E" w:rsidRPr="004441F4" w:rsidRDefault="0032079E" w:rsidP="0032079E">
      <w:pPr>
        <w:pStyle w:val="Subhead1Style"/>
        <w:numPr>
          <w:ilvl w:val="0"/>
          <w:numId w:val="36"/>
        </w:numPr>
        <w:ind w:left="-360"/>
        <w:jc w:val="both"/>
        <w:rPr>
          <w:color w:val="0070C0"/>
        </w:rPr>
      </w:pPr>
      <w:r w:rsidRPr="004441F4">
        <w:rPr>
          <w:color w:val="0070C0"/>
        </w:rPr>
        <w:t>Qualifying Business</w:t>
      </w:r>
    </w:p>
    <w:p w:rsidR="0032079E" w:rsidRDefault="0032079E" w:rsidP="0032079E">
      <w:pPr>
        <w:pStyle w:val="MainText"/>
      </w:pPr>
      <w:r>
        <w:t>Only Quotes (or Orders) in the central limit order book made by the DMM’s Authorized Traders will qualify towards the DMM’s quoting obligations.  If a Quote is asymmetrical, then the lower volume will be used by NFX in assessing the DMM’s compliance with its quoting obligations.</w:t>
      </w:r>
    </w:p>
    <w:p w:rsidR="0032079E" w:rsidRDefault="0032079E" w:rsidP="0032079E">
      <w:pPr>
        <w:pStyle w:val="MainText"/>
      </w:pPr>
    </w:p>
    <w:p w:rsidR="0032079E" w:rsidRDefault="0032079E" w:rsidP="0032079E">
      <w:pPr>
        <w:pStyle w:val="MainText"/>
      </w:pPr>
      <w:r>
        <w:t>If a DMM fails to quote for its contracted percentage of the trading session, its stipend will be reduced by the proportion of the trading day on which it fell short of its quoting obligation.  For clarity, if a DMM is contracted to quote 90% of the trading session, and managed 85% on one trading day and 95% on the next trading day, the two trading days would not average out to 90%, but the DMM would forfeit a pro-rata amount of its stipend, i.e. forfeit = 5/90 x 1/22 x stipend (assuming 22 trading days in the month), to reflect the 85% realized quoting on the first trading day.</w:t>
      </w:r>
    </w:p>
    <w:p w:rsidR="0032079E" w:rsidRDefault="0032079E" w:rsidP="0032079E">
      <w:pPr>
        <w:pStyle w:val="MainText"/>
      </w:pPr>
    </w:p>
    <w:p w:rsidR="0032079E" w:rsidRDefault="0032079E" w:rsidP="0032079E">
      <w:pPr>
        <w:pStyle w:val="MainText"/>
      </w:pPr>
      <w:r>
        <w:t>If a DMM makes any changes to its trading or clearing arrangements, its Authorized Traders, Clearing Futures Participant, or any other aspects of its operations reasonably required by NFX to manage this DMM program, then it is the responsibility of the DMM to notify NFX of those changes in advance in order to ensure continuity of the DMM’s benefits.</w:t>
      </w:r>
    </w:p>
    <w:p w:rsidR="0032079E" w:rsidRPr="004441F4" w:rsidRDefault="0032079E" w:rsidP="0032079E">
      <w:pPr>
        <w:pStyle w:val="Subhead1Style"/>
        <w:numPr>
          <w:ilvl w:val="0"/>
          <w:numId w:val="36"/>
        </w:numPr>
        <w:ind w:left="-360"/>
        <w:jc w:val="both"/>
        <w:rPr>
          <w:color w:val="0070C0"/>
        </w:rPr>
      </w:pPr>
      <w:r w:rsidRPr="004441F4">
        <w:rPr>
          <w:color w:val="0070C0"/>
        </w:rPr>
        <w:t>Administration of Exchange and Clearing Fee Charges, Rebates, and Stipend Payments</w:t>
      </w:r>
    </w:p>
    <w:p w:rsidR="0032079E" w:rsidRDefault="0032079E" w:rsidP="0032079E">
      <w:pPr>
        <w:pStyle w:val="MainText"/>
      </w:pPr>
      <w:r>
        <w:t>As stated above, during the DMM program term, the Exchange will not assess transactions fees or clearing fees for the Energy Products.</w:t>
      </w:r>
    </w:p>
    <w:p w:rsidR="0032079E" w:rsidRDefault="0032079E" w:rsidP="0032079E">
      <w:pPr>
        <w:pStyle w:val="MainText"/>
      </w:pPr>
    </w:p>
    <w:p w:rsidR="00543FF5" w:rsidRDefault="0032079E" w:rsidP="00543FF5">
      <w:pPr>
        <w:pStyle w:val="MainText"/>
      </w:pPr>
      <w:r w:rsidRPr="00E21846">
        <w:t xml:space="preserve">NFX shall monitor </w:t>
      </w:r>
      <w:r>
        <w:t xml:space="preserve">each </w:t>
      </w:r>
      <w:r w:rsidRPr="00E21846">
        <w:t>DMM</w:t>
      </w:r>
      <w:r>
        <w:t>’</w:t>
      </w:r>
      <w:r w:rsidRPr="00E21846">
        <w:t xml:space="preserve">s performance against its obligations, and subsequently calculate </w:t>
      </w:r>
      <w:r>
        <w:t xml:space="preserve">any </w:t>
      </w:r>
      <w:r w:rsidRPr="00E21846">
        <w:t>stipend d</w:t>
      </w:r>
      <w:r>
        <w:t>ue in accordance with this DMM p</w:t>
      </w:r>
      <w:r w:rsidRPr="00E21846">
        <w:t>rogram in the following month.</w:t>
      </w:r>
      <w:r>
        <w:t xml:space="preserve">  </w:t>
      </w:r>
      <w:r w:rsidRPr="00E21846">
        <w:t>Upon request, NFX will provide an invoice breakdown at the Authorized Trader level but will not settle stipend payments directly with Authorized Traders.</w:t>
      </w:r>
    </w:p>
    <w:p w:rsidR="00543FF5" w:rsidRDefault="00543FF5" w:rsidP="00543FF5">
      <w:pPr>
        <w:pStyle w:val="MainText"/>
      </w:pPr>
    </w:p>
    <w:p w:rsidR="005444C0" w:rsidRDefault="0032079E" w:rsidP="00543FF5">
      <w:pPr>
        <w:pStyle w:val="MainText"/>
      </w:pPr>
      <w:r>
        <w:t>NFX reserves the right in its absolute discretion to terminate this DMM program by way of a Futures Trader Alert announcing it has filed with the CFTC for termination of the program, and may announce another market maker program in the future that may include the Energy Products that are the subject of this DMM program</w:t>
      </w:r>
      <w:r w:rsidR="00B75523">
        <w:t>.</w:t>
      </w:r>
    </w:p>
    <w:p w:rsidR="00993F41" w:rsidRDefault="00993F41" w:rsidP="0032079E">
      <w:pPr>
        <w:spacing w:after="0" w:line="240" w:lineRule="auto"/>
      </w:pPr>
    </w:p>
    <w:p w:rsidR="00D61EDD" w:rsidRDefault="00D61EDD">
      <w:pPr>
        <w:spacing w:after="0" w:line="240" w:lineRule="auto"/>
      </w:pPr>
      <w:r>
        <w:br w:type="page"/>
      </w:r>
    </w:p>
    <w:p w:rsidR="00543FF5" w:rsidRPr="00D61EDD" w:rsidRDefault="00053DDB" w:rsidP="00D61EDD">
      <w:pPr>
        <w:pStyle w:val="Subhead1Style"/>
        <w:jc w:val="center"/>
        <w:rPr>
          <w:rFonts w:ascii="Times New Roman" w:hAnsi="Times New Roman"/>
          <w:color w:val="auto"/>
          <w:sz w:val="24"/>
        </w:rPr>
      </w:pPr>
      <w:r w:rsidRPr="00D61EDD">
        <w:rPr>
          <w:rFonts w:ascii="Times New Roman" w:hAnsi="Times New Roman"/>
          <w:color w:val="auto"/>
          <w:sz w:val="24"/>
        </w:rPr>
        <w:lastRenderedPageBreak/>
        <w:t>Attachment B</w:t>
      </w:r>
      <w:r w:rsidR="00B75523">
        <w:rPr>
          <w:rFonts w:ascii="Times New Roman" w:hAnsi="Times New Roman"/>
          <w:color w:val="auto"/>
          <w:sz w:val="24"/>
        </w:rPr>
        <w:t xml:space="preserve"> – Designated Market Maker Tender Template</w:t>
      </w:r>
    </w:p>
    <w:p w:rsidR="00053DDB" w:rsidRDefault="00053DDB" w:rsidP="00053DDB">
      <w:pPr>
        <w:spacing w:after="0" w:line="240" w:lineRule="auto"/>
        <w:jc w:val="both"/>
        <w:rPr>
          <w:rFonts w:ascii="Times New Roman" w:hAnsi="Times New Roman" w:cs="Times New Roman"/>
          <w:sz w:val="24"/>
        </w:rPr>
      </w:pPr>
      <w:r w:rsidRPr="00053DDB">
        <w:rPr>
          <w:noProof/>
        </w:rPr>
        <w:drawing>
          <wp:inline distT="0" distB="0" distL="0" distR="0">
            <wp:extent cx="5875020" cy="4518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5020" cy="4518660"/>
                    </a:xfrm>
                    <a:prstGeom prst="rect">
                      <a:avLst/>
                    </a:prstGeom>
                    <a:noFill/>
                    <a:ln>
                      <a:noFill/>
                    </a:ln>
                  </pic:spPr>
                </pic:pic>
              </a:graphicData>
            </a:graphic>
          </wp:inline>
        </w:drawing>
      </w:r>
    </w:p>
    <w:p w:rsidR="00053DDB" w:rsidRDefault="00053DDB" w:rsidP="00053DDB">
      <w:pPr>
        <w:spacing w:after="0" w:line="240" w:lineRule="auto"/>
        <w:jc w:val="both"/>
        <w:rPr>
          <w:rFonts w:ascii="Times New Roman" w:hAnsi="Times New Roman" w:cs="Times New Roman"/>
          <w:sz w:val="24"/>
        </w:rPr>
      </w:pPr>
    </w:p>
    <w:p w:rsidR="00053DDB" w:rsidRDefault="00053DDB" w:rsidP="00053DDB">
      <w:pPr>
        <w:spacing w:after="0" w:line="240" w:lineRule="auto"/>
        <w:rPr>
          <w:rFonts w:ascii="Times New Roman" w:hAnsi="Times New Roman" w:cs="Times New Roman"/>
          <w:sz w:val="24"/>
        </w:rPr>
      </w:pPr>
      <w:r w:rsidRPr="00053DDB">
        <w:rPr>
          <w:noProof/>
        </w:rPr>
        <w:lastRenderedPageBreak/>
        <w:drawing>
          <wp:inline distT="0" distB="0" distL="0" distR="0">
            <wp:extent cx="5585460" cy="4518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5460" cy="4518660"/>
                    </a:xfrm>
                    <a:prstGeom prst="rect">
                      <a:avLst/>
                    </a:prstGeom>
                    <a:noFill/>
                    <a:ln>
                      <a:noFill/>
                    </a:ln>
                  </pic:spPr>
                </pic:pic>
              </a:graphicData>
            </a:graphic>
          </wp:inline>
        </w:drawing>
      </w:r>
    </w:p>
    <w:p w:rsidR="00053DDB" w:rsidRDefault="00053DDB" w:rsidP="00053DDB">
      <w:pPr>
        <w:spacing w:after="0" w:line="240" w:lineRule="auto"/>
        <w:jc w:val="center"/>
        <w:rPr>
          <w:rFonts w:ascii="Times New Roman" w:hAnsi="Times New Roman" w:cs="Times New Roman"/>
          <w:sz w:val="24"/>
        </w:rPr>
      </w:pPr>
    </w:p>
    <w:p w:rsidR="00053DDB" w:rsidRDefault="00053DDB" w:rsidP="00053DDB">
      <w:pPr>
        <w:spacing w:after="0" w:line="240" w:lineRule="auto"/>
        <w:jc w:val="center"/>
        <w:rPr>
          <w:rFonts w:ascii="Times New Roman" w:hAnsi="Times New Roman" w:cs="Times New Roman"/>
          <w:sz w:val="24"/>
        </w:rPr>
      </w:pPr>
    </w:p>
    <w:p w:rsidR="00053DDB" w:rsidRDefault="00053DDB" w:rsidP="00053DDB">
      <w:pPr>
        <w:spacing w:after="0" w:line="240" w:lineRule="auto"/>
        <w:rPr>
          <w:rFonts w:ascii="Times New Roman" w:hAnsi="Times New Roman" w:cs="Times New Roman"/>
          <w:sz w:val="24"/>
        </w:rPr>
      </w:pPr>
      <w:r w:rsidRPr="00053DDB">
        <w:rPr>
          <w:noProof/>
        </w:rPr>
        <w:lastRenderedPageBreak/>
        <w:drawing>
          <wp:inline distT="0" distB="0" distL="0" distR="0">
            <wp:extent cx="5387340" cy="43662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7340" cy="4366260"/>
                    </a:xfrm>
                    <a:prstGeom prst="rect">
                      <a:avLst/>
                    </a:prstGeom>
                    <a:noFill/>
                    <a:ln>
                      <a:noFill/>
                    </a:ln>
                  </pic:spPr>
                </pic:pic>
              </a:graphicData>
            </a:graphic>
          </wp:inline>
        </w:drawing>
      </w:r>
    </w:p>
    <w:p w:rsidR="00053DDB" w:rsidRDefault="00053DDB" w:rsidP="00053DDB">
      <w:pPr>
        <w:spacing w:after="0" w:line="240" w:lineRule="auto"/>
        <w:rPr>
          <w:rFonts w:ascii="Times New Roman" w:hAnsi="Times New Roman" w:cs="Times New Roman"/>
          <w:sz w:val="24"/>
        </w:rPr>
      </w:pPr>
    </w:p>
    <w:p w:rsidR="00053DDB" w:rsidRDefault="00053DDB" w:rsidP="00053DDB">
      <w:pPr>
        <w:spacing w:after="0" w:line="240" w:lineRule="auto"/>
        <w:rPr>
          <w:rFonts w:ascii="Times New Roman" w:hAnsi="Times New Roman" w:cs="Times New Roman"/>
          <w:sz w:val="24"/>
        </w:rPr>
      </w:pPr>
      <w:r w:rsidRPr="00053DDB">
        <w:rPr>
          <w:noProof/>
        </w:rPr>
        <w:drawing>
          <wp:inline distT="0" distB="0" distL="0" distR="0" wp14:anchorId="7570E42D" wp14:editId="06EE7D46">
            <wp:extent cx="5934710" cy="3702791"/>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710" cy="3702791"/>
                    </a:xfrm>
                    <a:prstGeom prst="rect">
                      <a:avLst/>
                    </a:prstGeom>
                    <a:noFill/>
                    <a:ln>
                      <a:noFill/>
                    </a:ln>
                  </pic:spPr>
                </pic:pic>
              </a:graphicData>
            </a:graphic>
          </wp:inline>
        </w:drawing>
      </w:r>
    </w:p>
    <w:p w:rsidR="00053DDB" w:rsidRDefault="00053DDB" w:rsidP="00053DDB">
      <w:pPr>
        <w:spacing w:after="0" w:line="240" w:lineRule="auto"/>
        <w:jc w:val="center"/>
      </w:pPr>
    </w:p>
    <w:sectPr w:rsidR="00053DDB" w:rsidSect="005444C0">
      <w:headerReference w:type="default" r:id="rId22"/>
      <w:headerReference w:type="first" r:id="rId23"/>
      <w:footerReference w:type="first" r:id="rId24"/>
      <w:pgSz w:w="12242" w:h="15842" w:code="1"/>
      <w:pgMar w:top="760" w:right="1393" w:bottom="709" w:left="1503"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818" w:rsidRDefault="00BF3818">
      <w:r>
        <w:separator/>
      </w:r>
    </w:p>
  </w:endnote>
  <w:endnote w:type="continuationSeparator" w:id="0">
    <w:p w:rsidR="00BF3818" w:rsidRDefault="00BF3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embedRegular r:id="rId1" w:fontKey="{B4FCEDC1-70C1-4FCE-BEBE-84A3DB6E6352}"/>
    <w:embedBold r:id="rId2" w:fontKey="{39C56C32-F67E-421F-9848-51B9E4569748}"/>
    <w:embedItalic r:id="rId3" w:fontKey="{92AC1C71-8373-457E-8B3D-F88B47761642}"/>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4" w:fontKey="{E0AE5649-D2F9-49A9-A098-04F984045E71}"/>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98" w:rsidRDefault="00B67098" w:rsidP="00F06CCD">
    <w:pPr>
      <w:pStyle w:val="Footer"/>
      <w:spacing w:before="6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818" w:rsidRDefault="00BF3818">
      <w:r>
        <w:separator/>
      </w:r>
    </w:p>
  </w:footnote>
  <w:footnote w:type="continuationSeparator" w:id="0">
    <w:p w:rsidR="00BF3818" w:rsidRDefault="00BF3818">
      <w:r>
        <w:continuationSeparator/>
      </w:r>
    </w:p>
  </w:footnote>
  <w:footnote w:id="1">
    <w:p w:rsidR="004E0D16" w:rsidRPr="009C04FC" w:rsidRDefault="004E0D16" w:rsidP="004E0D16">
      <w:pPr>
        <w:pStyle w:val="FootnoteText"/>
        <w:rPr>
          <w:rFonts w:ascii="Times New Roman" w:hAnsi="Times New Roman" w:cs="Times New Roman"/>
          <w:sz w:val="24"/>
          <w:szCs w:val="24"/>
        </w:rPr>
      </w:pPr>
      <w:r w:rsidRPr="009C04FC">
        <w:rPr>
          <w:rStyle w:val="FootnoteReference"/>
          <w:rFonts w:ascii="Times New Roman" w:hAnsi="Times New Roman" w:cs="Times New Roman"/>
          <w:sz w:val="24"/>
          <w:szCs w:val="24"/>
        </w:rPr>
        <w:footnoteRef/>
      </w:r>
      <w:r w:rsidRPr="009C04FC">
        <w:rPr>
          <w:rFonts w:ascii="Times New Roman" w:hAnsi="Times New Roman" w:cs="Times New Roman"/>
          <w:sz w:val="24"/>
          <w:szCs w:val="24"/>
        </w:rPr>
        <w:t xml:space="preserve"> </w:t>
      </w:r>
      <w:r w:rsidRPr="009C04FC">
        <w:rPr>
          <w:rFonts w:ascii="Times New Roman" w:hAnsi="Times New Roman" w:cs="Times New Roman"/>
          <w:sz w:val="24"/>
          <w:szCs w:val="24"/>
          <w:u w:val="single"/>
        </w:rPr>
        <w:t>See</w:t>
      </w:r>
      <w:r w:rsidRPr="002B3578">
        <w:rPr>
          <w:rFonts w:ascii="Times New Roman" w:hAnsi="Times New Roman" w:cs="Times New Roman"/>
          <w:sz w:val="24"/>
          <w:szCs w:val="24"/>
        </w:rPr>
        <w:t xml:space="preserve"> </w:t>
      </w:r>
      <w:hyperlink r:id="rId1" w:history="1">
        <w:r w:rsidR="007824A2" w:rsidRPr="002B3578">
          <w:rPr>
            <w:rFonts w:ascii="Times New Roman" w:hAnsi="Times New Roman" w:cs="Times New Roman"/>
            <w:sz w:val="24"/>
            <w:szCs w:val="24"/>
          </w:rPr>
          <w:t>NFX Rulebook Appendix A – Listed Contracts</w:t>
        </w:r>
      </w:hyperlink>
    </w:p>
  </w:footnote>
  <w:footnote w:id="2">
    <w:p w:rsidR="0032079E" w:rsidRPr="009C40D5" w:rsidRDefault="0032079E" w:rsidP="0032079E">
      <w:pPr>
        <w:pStyle w:val="FootnoteText"/>
        <w:rPr>
          <w:rFonts w:ascii="Times New Roman" w:hAnsi="Times New Roman"/>
        </w:rPr>
      </w:pPr>
      <w:r w:rsidRPr="009C40D5">
        <w:rPr>
          <w:rStyle w:val="FootnoteReference"/>
          <w:rFonts w:ascii="Times New Roman" w:hAnsi="Times New Roman"/>
        </w:rPr>
        <w:footnoteRef/>
      </w:r>
      <w:r w:rsidRPr="009C40D5">
        <w:rPr>
          <w:rFonts w:ascii="Times New Roman" w:hAnsi="Times New Roman"/>
        </w:rPr>
        <w:t xml:space="preserve"> </w:t>
      </w:r>
      <w:hyperlink r:id="rId2" w:history="1">
        <w:r w:rsidRPr="00443FD5">
          <w:rPr>
            <w:rStyle w:val="Hyperlink"/>
            <w:rFonts w:ascii="Calibri" w:hAnsi="Calibri"/>
          </w:rPr>
          <w:t>See NFX Rulebook Appendix A – Listed Contracts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98" w:rsidRPr="00B67098" w:rsidRDefault="00B67098" w:rsidP="005E244B">
    <w:pPr>
      <w:pStyle w:val="NoSpacing"/>
      <w:rPr>
        <w:rFonts w:ascii="Times New Roman" w:eastAsia="Calibri" w:hAnsi="Times New Roman" w:cs="Times New Roman"/>
        <w:sz w:val="20"/>
        <w:szCs w:val="20"/>
      </w:rPr>
    </w:pPr>
    <w:r w:rsidRPr="00B67098">
      <w:rPr>
        <w:rFonts w:ascii="Times New Roman" w:eastAsia="Calibri" w:hAnsi="Times New Roman" w:cs="Times New Roman"/>
        <w:sz w:val="20"/>
        <w:szCs w:val="20"/>
      </w:rPr>
      <w:t>Commodity Futures Trading Commission</w:t>
    </w:r>
  </w:p>
  <w:p w:rsidR="00371610" w:rsidRDefault="00C42A1F"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April </w:t>
    </w:r>
    <w:r w:rsidR="004C1439">
      <w:rPr>
        <w:rFonts w:ascii="Times New Roman" w:hAnsi="Times New Roman" w:cs="Times New Roman"/>
        <w:sz w:val="20"/>
        <w:szCs w:val="20"/>
      </w:rPr>
      <w:t>4</w:t>
    </w:r>
    <w:r w:rsidR="008225AC">
      <w:rPr>
        <w:rFonts w:ascii="Times New Roman" w:hAnsi="Times New Roman" w:cs="Times New Roman"/>
        <w:sz w:val="20"/>
        <w:szCs w:val="20"/>
      </w:rPr>
      <w:t>, 2016</w:t>
    </w:r>
  </w:p>
  <w:p w:rsidR="005444C0" w:rsidRDefault="008225AC"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t>SR-NFX-2016</w:t>
    </w:r>
    <w:r w:rsidR="00371610">
      <w:rPr>
        <w:rFonts w:ascii="Times New Roman" w:hAnsi="Times New Roman" w:cs="Times New Roman"/>
        <w:sz w:val="20"/>
        <w:szCs w:val="20"/>
      </w:rPr>
      <w:t>-</w:t>
    </w:r>
    <w:r w:rsidR="004C1439">
      <w:rPr>
        <w:rFonts w:ascii="Times New Roman" w:hAnsi="Times New Roman" w:cs="Times New Roman"/>
        <w:sz w:val="20"/>
        <w:szCs w:val="20"/>
      </w:rPr>
      <w:t>40</w:t>
    </w:r>
  </w:p>
  <w:p w:rsidR="00B67098" w:rsidRPr="00B67098" w:rsidRDefault="00B67098" w:rsidP="00B67098">
    <w:pPr>
      <w:spacing w:after="0" w:line="240" w:lineRule="auto"/>
      <w:rPr>
        <w:rFonts w:ascii="Times New Roman" w:hAnsi="Times New Roman" w:cs="Times New Roman"/>
        <w:sz w:val="20"/>
        <w:szCs w:val="20"/>
      </w:rPr>
    </w:pPr>
    <w:r w:rsidRPr="00B67098">
      <w:rPr>
        <w:rFonts w:ascii="Times New Roman" w:hAnsi="Times New Roman" w:cs="Times New Roman"/>
        <w:sz w:val="20"/>
        <w:szCs w:val="20"/>
      </w:rPr>
      <w:t xml:space="preserve">Page </w:t>
    </w:r>
    <w:r w:rsidRPr="00B67098">
      <w:rPr>
        <w:rFonts w:ascii="Times New Roman" w:hAnsi="Times New Roman" w:cs="Times New Roman"/>
        <w:sz w:val="20"/>
        <w:szCs w:val="20"/>
      </w:rPr>
      <w:fldChar w:fldCharType="begin"/>
    </w:r>
    <w:r w:rsidRPr="00B67098">
      <w:rPr>
        <w:rFonts w:ascii="Times New Roman" w:hAnsi="Times New Roman" w:cs="Times New Roman"/>
        <w:sz w:val="20"/>
        <w:szCs w:val="20"/>
      </w:rPr>
      <w:instrText xml:space="preserve"> PAGE   \* MERGEFORMAT </w:instrText>
    </w:r>
    <w:r w:rsidRPr="00B67098">
      <w:rPr>
        <w:rFonts w:ascii="Times New Roman" w:hAnsi="Times New Roman" w:cs="Times New Roman"/>
        <w:sz w:val="20"/>
        <w:szCs w:val="20"/>
      </w:rPr>
      <w:fldChar w:fldCharType="separate"/>
    </w:r>
    <w:r w:rsidR="004C1439">
      <w:rPr>
        <w:rFonts w:ascii="Times New Roman" w:hAnsi="Times New Roman" w:cs="Times New Roman"/>
        <w:noProof/>
        <w:sz w:val="20"/>
        <w:szCs w:val="20"/>
      </w:rPr>
      <w:t>2</w:t>
    </w:r>
    <w:r w:rsidRPr="00B67098">
      <w:rPr>
        <w:rFonts w:ascii="Times New Roman" w:hAnsi="Times New Roman" w:cs="Times New Roman"/>
        <w:sz w:val="20"/>
        <w:szCs w:val="20"/>
      </w:rPr>
      <w:fldChar w:fldCharType="end"/>
    </w:r>
  </w:p>
  <w:p w:rsidR="00B67098" w:rsidRPr="00B67098" w:rsidRDefault="00B67098" w:rsidP="00B67098">
    <w:pPr>
      <w:spacing w:after="0" w:line="240" w:lineRule="auto"/>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ADA" w:rsidRDefault="001B6ADA">
    <w:pPr>
      <w:spacing w:after="960"/>
    </w:pPr>
  </w:p>
  <w:p w:rsidR="001B6ADA" w:rsidRPr="00CF4B16" w:rsidRDefault="001B6ADA" w:rsidP="001B6ADA">
    <w:pPr>
      <w:pStyle w:val="LetterheadAddress"/>
      <w:ind w:left="6550"/>
      <w:rPr>
        <w:sz w:val="20"/>
      </w:rPr>
    </w:pPr>
    <w:r w:rsidRPr="00CF4B16">
      <w:rPr>
        <w:sz w:val="20"/>
      </w:rPr>
      <w:t>Nasdaq Futures, Inc.</w:t>
    </w:r>
  </w:p>
  <w:p w:rsidR="001B6ADA" w:rsidRPr="00CF4B16" w:rsidRDefault="001B6ADA" w:rsidP="001B6ADA">
    <w:pPr>
      <w:pStyle w:val="LetterheadAddress"/>
      <w:ind w:left="6550"/>
      <w:rPr>
        <w:sz w:val="20"/>
      </w:rPr>
    </w:pPr>
    <w:r w:rsidRPr="00CF4B16">
      <w:rPr>
        <w:sz w:val="20"/>
      </w:rPr>
      <w:t>1900 Market Street</w:t>
    </w:r>
  </w:p>
  <w:p w:rsidR="001B6ADA" w:rsidRPr="00CF4B16" w:rsidRDefault="001B6ADA" w:rsidP="001B6ADA">
    <w:pPr>
      <w:pStyle w:val="LetterheadAddress"/>
      <w:ind w:left="6550"/>
      <w:rPr>
        <w:sz w:val="20"/>
      </w:rPr>
    </w:pPr>
    <w:r w:rsidRPr="00CF4B16">
      <w:rPr>
        <w:sz w:val="20"/>
      </w:rPr>
      <w:t>Philadelphia, PA 19103 / USA</w:t>
    </w:r>
  </w:p>
  <w:p w:rsidR="00300E44" w:rsidRPr="0032079E" w:rsidRDefault="001B6ADA" w:rsidP="0032079E">
    <w:pPr>
      <w:spacing w:before="120" w:after="0"/>
      <w:ind w:left="6550"/>
      <w:rPr>
        <w:rFonts w:asciiTheme="majorHAnsi" w:hAnsiTheme="majorHAnsi" w:cs="Times New Roman"/>
        <w:sz w:val="20"/>
        <w:szCs w:val="18"/>
      </w:rPr>
    </w:pPr>
    <w:r w:rsidRPr="00CF4B16">
      <w:rPr>
        <w:rFonts w:asciiTheme="majorHAnsi" w:hAnsiTheme="majorHAnsi" w:cs="Times New Roman"/>
        <w:sz w:val="20"/>
        <w:szCs w:val="18"/>
      </w:rPr>
      <w:t>business.nasdaq.com/futures</w:t>
    </w:r>
    <w:r w:rsidRPr="002E383E">
      <w:rPr>
        <w:noProof/>
      </w:rPr>
      <w:drawing>
        <wp:anchor distT="0" distB="0" distL="114300" distR="114300" simplePos="0" relativeHeight="251662336" behindDoc="0" locked="1" layoutInCell="1" allowOverlap="1" wp14:anchorId="396AFEB2" wp14:editId="58B9CCE0">
          <wp:simplePos x="0" y="0"/>
          <wp:positionH relativeFrom="column">
            <wp:posOffset>3569335</wp:posOffset>
          </wp:positionH>
          <wp:positionV relativeFrom="page">
            <wp:posOffset>689610</wp:posOffset>
          </wp:positionV>
          <wp:extent cx="1724025" cy="481965"/>
          <wp:effectExtent l="0" t="0" r="9525" b="0"/>
          <wp:wrapNone/>
          <wp:docPr id="5" name="Picture 5"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2005-2010:Desktop:NDAQ_Letterhead_2014:ndaq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819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B4CF16"/>
    <w:lvl w:ilvl="0">
      <w:start w:val="1"/>
      <w:numFmt w:val="decimal"/>
      <w:lvlText w:val="%1."/>
      <w:lvlJc w:val="left"/>
      <w:pPr>
        <w:tabs>
          <w:tab w:val="num" w:pos="1492"/>
        </w:tabs>
        <w:ind w:left="1492" w:hanging="360"/>
      </w:pPr>
    </w:lvl>
  </w:abstractNum>
  <w:abstractNum w:abstractNumId="1">
    <w:nsid w:val="FFFFFF7D"/>
    <w:multiLevelType w:val="singleLevel"/>
    <w:tmpl w:val="77AEB836"/>
    <w:lvl w:ilvl="0">
      <w:start w:val="1"/>
      <w:numFmt w:val="decimal"/>
      <w:lvlText w:val="%1."/>
      <w:lvlJc w:val="left"/>
      <w:pPr>
        <w:tabs>
          <w:tab w:val="num" w:pos="1209"/>
        </w:tabs>
        <w:ind w:left="1209" w:hanging="360"/>
      </w:pPr>
    </w:lvl>
  </w:abstractNum>
  <w:abstractNum w:abstractNumId="2">
    <w:nsid w:val="FFFFFF7E"/>
    <w:multiLevelType w:val="singleLevel"/>
    <w:tmpl w:val="1180C9F8"/>
    <w:lvl w:ilvl="0">
      <w:start w:val="1"/>
      <w:numFmt w:val="decimal"/>
      <w:lvlText w:val="%1."/>
      <w:lvlJc w:val="left"/>
      <w:pPr>
        <w:tabs>
          <w:tab w:val="num" w:pos="926"/>
        </w:tabs>
        <w:ind w:left="926" w:hanging="360"/>
      </w:pPr>
    </w:lvl>
  </w:abstractNum>
  <w:abstractNum w:abstractNumId="3">
    <w:nsid w:val="FFFFFF7F"/>
    <w:multiLevelType w:val="singleLevel"/>
    <w:tmpl w:val="BF8292E6"/>
    <w:lvl w:ilvl="0">
      <w:start w:val="1"/>
      <w:numFmt w:val="decimal"/>
      <w:lvlText w:val="%1."/>
      <w:lvlJc w:val="left"/>
      <w:pPr>
        <w:tabs>
          <w:tab w:val="num" w:pos="643"/>
        </w:tabs>
        <w:ind w:left="643" w:hanging="360"/>
      </w:pPr>
    </w:lvl>
  </w:abstractNum>
  <w:abstractNum w:abstractNumId="4">
    <w:nsid w:val="FFFFFF80"/>
    <w:multiLevelType w:val="singleLevel"/>
    <w:tmpl w:val="382E88F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C2E85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D182A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FEA2E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E545526"/>
    <w:lvl w:ilvl="0">
      <w:start w:val="1"/>
      <w:numFmt w:val="decimal"/>
      <w:lvlText w:val="%1."/>
      <w:lvlJc w:val="left"/>
      <w:pPr>
        <w:tabs>
          <w:tab w:val="num" w:pos="360"/>
        </w:tabs>
        <w:ind w:left="360" w:hanging="360"/>
      </w:pPr>
    </w:lvl>
  </w:abstractNum>
  <w:abstractNum w:abstractNumId="9">
    <w:nsid w:val="FFFFFF89"/>
    <w:multiLevelType w:val="singleLevel"/>
    <w:tmpl w:val="EC82E8BA"/>
    <w:lvl w:ilvl="0">
      <w:start w:val="1"/>
      <w:numFmt w:val="bullet"/>
      <w:lvlText w:val=""/>
      <w:lvlJc w:val="left"/>
      <w:pPr>
        <w:tabs>
          <w:tab w:val="num" w:pos="113"/>
        </w:tabs>
        <w:ind w:left="113" w:hanging="113"/>
      </w:pPr>
      <w:rPr>
        <w:rFonts w:ascii="Symbol" w:hAnsi="Symbol" w:hint="default"/>
      </w:rPr>
    </w:lvl>
  </w:abstractNum>
  <w:abstractNum w:abstractNumId="10">
    <w:nsid w:val="23FD4CE7"/>
    <w:multiLevelType w:val="hybridMultilevel"/>
    <w:tmpl w:val="D430CF0A"/>
    <w:lvl w:ilvl="0" w:tplc="2744AE76">
      <w:start w:val="1"/>
      <w:numFmt w:val="bullet"/>
      <w:pStyle w:val="TableBulletlist"/>
      <w:lvlText w:val=""/>
      <w:lvlJc w:val="left"/>
      <w:pPr>
        <w:tabs>
          <w:tab w:val="num" w:pos="360"/>
        </w:tabs>
        <w:ind w:left="227" w:hanging="227"/>
      </w:pPr>
      <w:rPr>
        <w:rFonts w:ascii="Symbol" w:hAnsi="Symbol" w:hint="default"/>
      </w:rPr>
    </w:lvl>
    <w:lvl w:ilvl="1" w:tplc="968E48EE" w:tentative="1">
      <w:start w:val="1"/>
      <w:numFmt w:val="bullet"/>
      <w:lvlText w:val="o"/>
      <w:lvlJc w:val="left"/>
      <w:pPr>
        <w:tabs>
          <w:tab w:val="num" w:pos="1440"/>
        </w:tabs>
        <w:ind w:left="1440" w:hanging="360"/>
      </w:pPr>
      <w:rPr>
        <w:rFonts w:ascii="Courier New" w:hAnsi="Courier New" w:hint="default"/>
      </w:rPr>
    </w:lvl>
    <w:lvl w:ilvl="2" w:tplc="37005992" w:tentative="1">
      <w:start w:val="1"/>
      <w:numFmt w:val="bullet"/>
      <w:lvlText w:val=""/>
      <w:lvlJc w:val="left"/>
      <w:pPr>
        <w:tabs>
          <w:tab w:val="num" w:pos="2160"/>
        </w:tabs>
        <w:ind w:left="2160" w:hanging="360"/>
      </w:pPr>
      <w:rPr>
        <w:rFonts w:ascii="Wingdings" w:hAnsi="Wingdings" w:hint="default"/>
      </w:rPr>
    </w:lvl>
    <w:lvl w:ilvl="3" w:tplc="89C6ED42" w:tentative="1">
      <w:start w:val="1"/>
      <w:numFmt w:val="bullet"/>
      <w:lvlText w:val=""/>
      <w:lvlJc w:val="left"/>
      <w:pPr>
        <w:tabs>
          <w:tab w:val="num" w:pos="2880"/>
        </w:tabs>
        <w:ind w:left="2880" w:hanging="360"/>
      </w:pPr>
      <w:rPr>
        <w:rFonts w:ascii="Symbol" w:hAnsi="Symbol" w:hint="default"/>
      </w:rPr>
    </w:lvl>
    <w:lvl w:ilvl="4" w:tplc="8624A132" w:tentative="1">
      <w:start w:val="1"/>
      <w:numFmt w:val="bullet"/>
      <w:lvlText w:val="o"/>
      <w:lvlJc w:val="left"/>
      <w:pPr>
        <w:tabs>
          <w:tab w:val="num" w:pos="3600"/>
        </w:tabs>
        <w:ind w:left="3600" w:hanging="360"/>
      </w:pPr>
      <w:rPr>
        <w:rFonts w:ascii="Courier New" w:hAnsi="Courier New" w:hint="default"/>
      </w:rPr>
    </w:lvl>
    <w:lvl w:ilvl="5" w:tplc="98E6431E" w:tentative="1">
      <w:start w:val="1"/>
      <w:numFmt w:val="bullet"/>
      <w:lvlText w:val=""/>
      <w:lvlJc w:val="left"/>
      <w:pPr>
        <w:tabs>
          <w:tab w:val="num" w:pos="4320"/>
        </w:tabs>
        <w:ind w:left="4320" w:hanging="360"/>
      </w:pPr>
      <w:rPr>
        <w:rFonts w:ascii="Wingdings" w:hAnsi="Wingdings" w:hint="default"/>
      </w:rPr>
    </w:lvl>
    <w:lvl w:ilvl="6" w:tplc="49F24316" w:tentative="1">
      <w:start w:val="1"/>
      <w:numFmt w:val="bullet"/>
      <w:lvlText w:val=""/>
      <w:lvlJc w:val="left"/>
      <w:pPr>
        <w:tabs>
          <w:tab w:val="num" w:pos="5040"/>
        </w:tabs>
        <w:ind w:left="5040" w:hanging="360"/>
      </w:pPr>
      <w:rPr>
        <w:rFonts w:ascii="Symbol" w:hAnsi="Symbol" w:hint="default"/>
      </w:rPr>
    </w:lvl>
    <w:lvl w:ilvl="7" w:tplc="28DAA0A4" w:tentative="1">
      <w:start w:val="1"/>
      <w:numFmt w:val="bullet"/>
      <w:lvlText w:val="o"/>
      <w:lvlJc w:val="left"/>
      <w:pPr>
        <w:tabs>
          <w:tab w:val="num" w:pos="5760"/>
        </w:tabs>
        <w:ind w:left="5760" w:hanging="360"/>
      </w:pPr>
      <w:rPr>
        <w:rFonts w:ascii="Courier New" w:hAnsi="Courier New" w:hint="default"/>
      </w:rPr>
    </w:lvl>
    <w:lvl w:ilvl="8" w:tplc="27901D4C" w:tentative="1">
      <w:start w:val="1"/>
      <w:numFmt w:val="bullet"/>
      <w:lvlText w:val=""/>
      <w:lvlJc w:val="left"/>
      <w:pPr>
        <w:tabs>
          <w:tab w:val="num" w:pos="6480"/>
        </w:tabs>
        <w:ind w:left="6480" w:hanging="360"/>
      </w:pPr>
      <w:rPr>
        <w:rFonts w:ascii="Wingdings" w:hAnsi="Wingdings" w:hint="default"/>
      </w:rPr>
    </w:lvl>
  </w:abstractNum>
  <w:abstractNum w:abstractNumId="11">
    <w:nsid w:val="2859297E"/>
    <w:multiLevelType w:val="hybridMultilevel"/>
    <w:tmpl w:val="08B8C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9112F3C"/>
    <w:multiLevelType w:val="hybridMultilevel"/>
    <w:tmpl w:val="D054DE18"/>
    <w:lvl w:ilvl="0" w:tplc="C1B827F4">
      <w:start w:val="1"/>
      <w:numFmt w:val="decimal"/>
      <w:pStyle w:val="TableNumberlist"/>
      <w:lvlText w:val="%1."/>
      <w:lvlJc w:val="left"/>
      <w:pPr>
        <w:tabs>
          <w:tab w:val="num" w:pos="227"/>
        </w:tabs>
        <w:ind w:left="227" w:hanging="227"/>
      </w:pPr>
      <w:rPr>
        <w:rFonts w:hint="default"/>
      </w:rPr>
    </w:lvl>
    <w:lvl w:ilvl="1" w:tplc="1180B532" w:tentative="1">
      <w:start w:val="1"/>
      <w:numFmt w:val="lowerLetter"/>
      <w:lvlText w:val="%2."/>
      <w:lvlJc w:val="left"/>
      <w:pPr>
        <w:tabs>
          <w:tab w:val="num" w:pos="1440"/>
        </w:tabs>
        <w:ind w:left="1440" w:hanging="360"/>
      </w:pPr>
    </w:lvl>
    <w:lvl w:ilvl="2" w:tplc="B00AEB3C" w:tentative="1">
      <w:start w:val="1"/>
      <w:numFmt w:val="lowerRoman"/>
      <w:lvlText w:val="%3."/>
      <w:lvlJc w:val="right"/>
      <w:pPr>
        <w:tabs>
          <w:tab w:val="num" w:pos="2160"/>
        </w:tabs>
        <w:ind w:left="2160" w:hanging="180"/>
      </w:pPr>
    </w:lvl>
    <w:lvl w:ilvl="3" w:tplc="F3AEDB98" w:tentative="1">
      <w:start w:val="1"/>
      <w:numFmt w:val="decimal"/>
      <w:lvlText w:val="%4."/>
      <w:lvlJc w:val="left"/>
      <w:pPr>
        <w:tabs>
          <w:tab w:val="num" w:pos="2880"/>
        </w:tabs>
        <w:ind w:left="2880" w:hanging="360"/>
      </w:pPr>
    </w:lvl>
    <w:lvl w:ilvl="4" w:tplc="D2823C06" w:tentative="1">
      <w:start w:val="1"/>
      <w:numFmt w:val="lowerLetter"/>
      <w:lvlText w:val="%5."/>
      <w:lvlJc w:val="left"/>
      <w:pPr>
        <w:tabs>
          <w:tab w:val="num" w:pos="3600"/>
        </w:tabs>
        <w:ind w:left="3600" w:hanging="360"/>
      </w:pPr>
    </w:lvl>
    <w:lvl w:ilvl="5" w:tplc="26DE8158" w:tentative="1">
      <w:start w:val="1"/>
      <w:numFmt w:val="lowerRoman"/>
      <w:lvlText w:val="%6."/>
      <w:lvlJc w:val="right"/>
      <w:pPr>
        <w:tabs>
          <w:tab w:val="num" w:pos="4320"/>
        </w:tabs>
        <w:ind w:left="4320" w:hanging="180"/>
      </w:pPr>
    </w:lvl>
    <w:lvl w:ilvl="6" w:tplc="6AACC0B4" w:tentative="1">
      <w:start w:val="1"/>
      <w:numFmt w:val="decimal"/>
      <w:lvlText w:val="%7."/>
      <w:lvlJc w:val="left"/>
      <w:pPr>
        <w:tabs>
          <w:tab w:val="num" w:pos="5040"/>
        </w:tabs>
        <w:ind w:left="5040" w:hanging="360"/>
      </w:pPr>
    </w:lvl>
    <w:lvl w:ilvl="7" w:tplc="36DAC50A" w:tentative="1">
      <w:start w:val="1"/>
      <w:numFmt w:val="lowerLetter"/>
      <w:lvlText w:val="%8."/>
      <w:lvlJc w:val="left"/>
      <w:pPr>
        <w:tabs>
          <w:tab w:val="num" w:pos="5760"/>
        </w:tabs>
        <w:ind w:left="5760" w:hanging="360"/>
      </w:pPr>
    </w:lvl>
    <w:lvl w:ilvl="8" w:tplc="B442C618" w:tentative="1">
      <w:start w:val="1"/>
      <w:numFmt w:val="lowerRoman"/>
      <w:lvlText w:val="%9."/>
      <w:lvlJc w:val="right"/>
      <w:pPr>
        <w:tabs>
          <w:tab w:val="num" w:pos="6480"/>
        </w:tabs>
        <w:ind w:left="6480" w:hanging="180"/>
      </w:pPr>
    </w:lvl>
  </w:abstractNum>
  <w:abstractNum w:abstractNumId="13">
    <w:nsid w:val="343D3681"/>
    <w:multiLevelType w:val="multilevel"/>
    <w:tmpl w:val="202445AA"/>
    <w:lvl w:ilvl="0">
      <w:start w:val="1"/>
      <w:numFmt w:val="decimal"/>
      <w:lvlText w:val="%1."/>
      <w:lvlJc w:val="left"/>
      <w:pPr>
        <w:tabs>
          <w:tab w:val="num" w:pos="170"/>
        </w:tabs>
        <w:ind w:left="170" w:hanging="170"/>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8AA115A"/>
    <w:multiLevelType w:val="multilevel"/>
    <w:tmpl w:val="E0F25DB4"/>
    <w:lvl w:ilvl="0">
      <w:start w:val="1"/>
      <w:numFmt w:val="decimal"/>
      <w:lvlText w:val="%1."/>
      <w:lvlJc w:val="left"/>
      <w:pPr>
        <w:tabs>
          <w:tab w:val="num" w:pos="113"/>
        </w:tabs>
        <w:ind w:left="113" w:hanging="113"/>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9064EB1"/>
    <w:multiLevelType w:val="hybridMultilevel"/>
    <w:tmpl w:val="6A20D2A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39DF6C5E"/>
    <w:multiLevelType w:val="hybridMultilevel"/>
    <w:tmpl w:val="D8B8C1DE"/>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42113548"/>
    <w:multiLevelType w:val="multilevel"/>
    <w:tmpl w:val="4F3AB414"/>
    <w:lvl w:ilvl="0">
      <w:start w:val="1"/>
      <w:numFmt w:val="decimal"/>
      <w:lvlText w:val="%1."/>
      <w:lvlJc w:val="left"/>
      <w:pPr>
        <w:tabs>
          <w:tab w:val="num" w:pos="360"/>
        </w:tabs>
        <w:ind w:left="227"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4581E9B"/>
    <w:multiLevelType w:val="hybridMultilevel"/>
    <w:tmpl w:val="C1487580"/>
    <w:lvl w:ilvl="0" w:tplc="4DC86C3A">
      <w:start w:val="1"/>
      <w:numFmt w:val="bullet"/>
      <w:pStyle w:val="Bullets"/>
      <w:lvlText w:val=""/>
      <w:lvlJc w:val="left"/>
      <w:pPr>
        <w:ind w:left="0" w:hanging="360"/>
      </w:pPr>
      <w:rPr>
        <w:rFonts w:ascii="Symbol" w:hAnsi="Symbol" w:hint="default"/>
        <w:color w:val="009FC3"/>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D832AE"/>
    <w:multiLevelType w:val="hybridMultilevel"/>
    <w:tmpl w:val="D806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A8234D"/>
    <w:multiLevelType w:val="hybridMultilevel"/>
    <w:tmpl w:val="1B18AF3E"/>
    <w:lvl w:ilvl="0" w:tplc="95BE270A">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nsid w:val="565E25CF"/>
    <w:multiLevelType w:val="hybridMultilevel"/>
    <w:tmpl w:val="5A28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2A22C9"/>
    <w:multiLevelType w:val="hybridMultilevel"/>
    <w:tmpl w:val="31A278F2"/>
    <w:lvl w:ilvl="0" w:tplc="71CE46B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24">
    <w:nsid w:val="721D1FF7"/>
    <w:multiLevelType w:val="hybridMultilevel"/>
    <w:tmpl w:val="51327A2A"/>
    <w:lvl w:ilvl="0" w:tplc="040822AA">
      <w:numFmt w:val="bullet"/>
      <w:lvlText w:val=""/>
      <w:lvlJc w:val="left"/>
      <w:pPr>
        <w:ind w:left="1530" w:hanging="360"/>
      </w:pPr>
      <w:rPr>
        <w:rFonts w:ascii="Symbol" w:eastAsia="Times New Roman" w:hAnsi="Symbol" w:cs="Times New Roman"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nsid w:val="7505087F"/>
    <w:multiLevelType w:val="hybridMultilevel"/>
    <w:tmpl w:val="A71C790C"/>
    <w:lvl w:ilvl="0" w:tplc="578622CE">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8446E1B6" w:tentative="1">
      <w:start w:val="1"/>
      <w:numFmt w:val="lowerLetter"/>
      <w:lvlText w:val="%2."/>
      <w:lvlJc w:val="left"/>
      <w:pPr>
        <w:tabs>
          <w:tab w:val="num" w:pos="1440"/>
        </w:tabs>
        <w:ind w:left="1440" w:hanging="360"/>
      </w:pPr>
    </w:lvl>
    <w:lvl w:ilvl="2" w:tplc="8E6EAE62" w:tentative="1">
      <w:start w:val="1"/>
      <w:numFmt w:val="lowerRoman"/>
      <w:lvlText w:val="%3."/>
      <w:lvlJc w:val="right"/>
      <w:pPr>
        <w:tabs>
          <w:tab w:val="num" w:pos="2160"/>
        </w:tabs>
        <w:ind w:left="2160" w:hanging="180"/>
      </w:pPr>
    </w:lvl>
    <w:lvl w:ilvl="3" w:tplc="726C1FFE" w:tentative="1">
      <w:start w:val="1"/>
      <w:numFmt w:val="decimal"/>
      <w:lvlText w:val="%4."/>
      <w:lvlJc w:val="left"/>
      <w:pPr>
        <w:tabs>
          <w:tab w:val="num" w:pos="2880"/>
        </w:tabs>
        <w:ind w:left="2880" w:hanging="360"/>
      </w:pPr>
    </w:lvl>
    <w:lvl w:ilvl="4" w:tplc="B95A299C" w:tentative="1">
      <w:start w:val="1"/>
      <w:numFmt w:val="lowerLetter"/>
      <w:lvlText w:val="%5."/>
      <w:lvlJc w:val="left"/>
      <w:pPr>
        <w:tabs>
          <w:tab w:val="num" w:pos="3600"/>
        </w:tabs>
        <w:ind w:left="3600" w:hanging="360"/>
      </w:pPr>
    </w:lvl>
    <w:lvl w:ilvl="5" w:tplc="C25A9F24" w:tentative="1">
      <w:start w:val="1"/>
      <w:numFmt w:val="lowerRoman"/>
      <w:lvlText w:val="%6."/>
      <w:lvlJc w:val="right"/>
      <w:pPr>
        <w:tabs>
          <w:tab w:val="num" w:pos="4320"/>
        </w:tabs>
        <w:ind w:left="4320" w:hanging="180"/>
      </w:pPr>
    </w:lvl>
    <w:lvl w:ilvl="6" w:tplc="BFE696AE" w:tentative="1">
      <w:start w:val="1"/>
      <w:numFmt w:val="decimal"/>
      <w:lvlText w:val="%7."/>
      <w:lvlJc w:val="left"/>
      <w:pPr>
        <w:tabs>
          <w:tab w:val="num" w:pos="5040"/>
        </w:tabs>
        <w:ind w:left="5040" w:hanging="360"/>
      </w:pPr>
    </w:lvl>
    <w:lvl w:ilvl="7" w:tplc="385A2734" w:tentative="1">
      <w:start w:val="1"/>
      <w:numFmt w:val="lowerLetter"/>
      <w:lvlText w:val="%8."/>
      <w:lvlJc w:val="left"/>
      <w:pPr>
        <w:tabs>
          <w:tab w:val="num" w:pos="5760"/>
        </w:tabs>
        <w:ind w:left="5760" w:hanging="360"/>
      </w:pPr>
    </w:lvl>
    <w:lvl w:ilvl="8" w:tplc="72C43CD0" w:tentative="1">
      <w:start w:val="1"/>
      <w:numFmt w:val="lowerRoman"/>
      <w:lvlText w:val="%9."/>
      <w:lvlJc w:val="right"/>
      <w:pPr>
        <w:tabs>
          <w:tab w:val="num" w:pos="6480"/>
        </w:tabs>
        <w:ind w:left="6480" w:hanging="180"/>
      </w:pPr>
    </w:lvl>
  </w:abstractNum>
  <w:abstractNum w:abstractNumId="26">
    <w:nsid w:val="7D835EC7"/>
    <w:multiLevelType w:val="hybridMultilevel"/>
    <w:tmpl w:val="8A569372"/>
    <w:lvl w:ilvl="0" w:tplc="AB521192">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2"/>
  </w:num>
  <w:num w:numId="4">
    <w:abstractNumId w:val="25"/>
  </w:num>
  <w:num w:numId="5">
    <w:abstractNumId w:val="17"/>
  </w:num>
  <w:num w:numId="6">
    <w:abstractNumId w:val="14"/>
  </w:num>
  <w:num w:numId="7">
    <w:abstractNumId w:val="13"/>
  </w:num>
  <w:num w:numId="8">
    <w:abstractNumId w:val="3"/>
  </w:num>
  <w:num w:numId="9">
    <w:abstractNumId w:val="2"/>
  </w:num>
  <w:num w:numId="10">
    <w:abstractNumId w:val="1"/>
  </w:num>
  <w:num w:numId="11">
    <w:abstractNumId w:val="0"/>
  </w:num>
  <w:num w:numId="12">
    <w:abstractNumId w:val="7"/>
  </w:num>
  <w:num w:numId="13">
    <w:abstractNumId w:val="6"/>
  </w:num>
  <w:num w:numId="14">
    <w:abstractNumId w:val="5"/>
  </w:num>
  <w:num w:numId="15">
    <w:abstractNumId w:val="4"/>
  </w:num>
  <w:num w:numId="16">
    <w:abstractNumId w:val="8"/>
  </w:num>
  <w:num w:numId="17">
    <w:abstractNumId w:val="25"/>
  </w:num>
  <w:num w:numId="18">
    <w:abstractNumId w:val="9"/>
  </w:num>
  <w:num w:numId="19">
    <w:abstractNumId w:val="12"/>
  </w:num>
  <w:num w:numId="20">
    <w:abstractNumId w:val="10"/>
  </w:num>
  <w:num w:numId="21">
    <w:abstractNumId w:val="25"/>
  </w:num>
  <w:num w:numId="22">
    <w:abstractNumId w:val="9"/>
  </w:num>
  <w:num w:numId="23">
    <w:abstractNumId w:val="12"/>
  </w:num>
  <w:num w:numId="24">
    <w:abstractNumId w:val="10"/>
  </w:num>
  <w:num w:numId="25">
    <w:abstractNumId w:val="25"/>
  </w:num>
  <w:num w:numId="26">
    <w:abstractNumId w:val="23"/>
  </w:num>
  <w:num w:numId="27">
    <w:abstractNumId w:val="25"/>
  </w:num>
  <w:num w:numId="28">
    <w:abstractNumId w:val="23"/>
  </w:num>
  <w:num w:numId="29">
    <w:abstractNumId w:val="22"/>
  </w:num>
  <w:num w:numId="30">
    <w:abstractNumId w:val="24"/>
  </w:num>
  <w:num w:numId="31">
    <w:abstractNumId w:val="19"/>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1"/>
  </w:num>
  <w:num w:numId="35">
    <w:abstractNumId w:val="18"/>
  </w:num>
  <w:num w:numId="36">
    <w:abstractNumId w:val="16"/>
  </w:num>
  <w:num w:numId="37">
    <w:abstractNumId w:val="2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TrueTypeFonts/>
  <w:saveSubsetFonts/>
  <w:proofState w:spelling="clean" w:grammar="clean"/>
  <w:attachedTemplate r:id="rId1"/>
  <w:doNotTrackFormatting/>
  <w:defaultTabStop w:val="1310"/>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4097">
      <o:colormru v:ext="edit" colors="#3d007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538"/>
    <w:rsid w:val="000049A2"/>
    <w:rsid w:val="00010152"/>
    <w:rsid w:val="000141C6"/>
    <w:rsid w:val="000277E6"/>
    <w:rsid w:val="000313E1"/>
    <w:rsid w:val="00035AE7"/>
    <w:rsid w:val="00043BF8"/>
    <w:rsid w:val="000467B2"/>
    <w:rsid w:val="00051023"/>
    <w:rsid w:val="00053DDB"/>
    <w:rsid w:val="00054E16"/>
    <w:rsid w:val="000718CD"/>
    <w:rsid w:val="000764FA"/>
    <w:rsid w:val="00095F3F"/>
    <w:rsid w:val="000A0FF7"/>
    <w:rsid w:val="000A3874"/>
    <w:rsid w:val="000B0F2E"/>
    <w:rsid w:val="000B5E2C"/>
    <w:rsid w:val="000D02B9"/>
    <w:rsid w:val="000D1939"/>
    <w:rsid w:val="000D4A76"/>
    <w:rsid w:val="000D6BF4"/>
    <w:rsid w:val="000F3BC3"/>
    <w:rsid w:val="001265C8"/>
    <w:rsid w:val="00135BE1"/>
    <w:rsid w:val="00153179"/>
    <w:rsid w:val="001746B9"/>
    <w:rsid w:val="0018088D"/>
    <w:rsid w:val="00197F73"/>
    <w:rsid w:val="001B6ADA"/>
    <w:rsid w:val="001C4306"/>
    <w:rsid w:val="001E53F3"/>
    <w:rsid w:val="002230A7"/>
    <w:rsid w:val="00232FFF"/>
    <w:rsid w:val="00242C21"/>
    <w:rsid w:val="00243744"/>
    <w:rsid w:val="00252BCC"/>
    <w:rsid w:val="00261A57"/>
    <w:rsid w:val="00273392"/>
    <w:rsid w:val="002A147E"/>
    <w:rsid w:val="002A70DC"/>
    <w:rsid w:val="002B0DB3"/>
    <w:rsid w:val="002B3578"/>
    <w:rsid w:val="002B56C0"/>
    <w:rsid w:val="002D1A0E"/>
    <w:rsid w:val="002E0658"/>
    <w:rsid w:val="00300E44"/>
    <w:rsid w:val="003017B3"/>
    <w:rsid w:val="00304F17"/>
    <w:rsid w:val="00310833"/>
    <w:rsid w:val="00314DE6"/>
    <w:rsid w:val="0032079E"/>
    <w:rsid w:val="0033684D"/>
    <w:rsid w:val="00337B63"/>
    <w:rsid w:val="00352533"/>
    <w:rsid w:val="003579D4"/>
    <w:rsid w:val="00363601"/>
    <w:rsid w:val="003658B4"/>
    <w:rsid w:val="00371610"/>
    <w:rsid w:val="00372973"/>
    <w:rsid w:val="003742C7"/>
    <w:rsid w:val="00394142"/>
    <w:rsid w:val="003A1E6B"/>
    <w:rsid w:val="003D071F"/>
    <w:rsid w:val="003D7D45"/>
    <w:rsid w:val="003F1332"/>
    <w:rsid w:val="003F5035"/>
    <w:rsid w:val="00400D58"/>
    <w:rsid w:val="0041155D"/>
    <w:rsid w:val="004166F5"/>
    <w:rsid w:val="00420946"/>
    <w:rsid w:val="00425E24"/>
    <w:rsid w:val="004416D1"/>
    <w:rsid w:val="004446AE"/>
    <w:rsid w:val="00444B42"/>
    <w:rsid w:val="004468C6"/>
    <w:rsid w:val="00451810"/>
    <w:rsid w:val="004520D0"/>
    <w:rsid w:val="004623F3"/>
    <w:rsid w:val="00471651"/>
    <w:rsid w:val="004B4800"/>
    <w:rsid w:val="004C1038"/>
    <w:rsid w:val="004C1439"/>
    <w:rsid w:val="004C595C"/>
    <w:rsid w:val="004E0359"/>
    <w:rsid w:val="004E0D16"/>
    <w:rsid w:val="004F42A5"/>
    <w:rsid w:val="004F4A5F"/>
    <w:rsid w:val="004F4E47"/>
    <w:rsid w:val="004F6A14"/>
    <w:rsid w:val="005101CA"/>
    <w:rsid w:val="005112E4"/>
    <w:rsid w:val="00517EAC"/>
    <w:rsid w:val="00521FB4"/>
    <w:rsid w:val="00543FF5"/>
    <w:rsid w:val="005444C0"/>
    <w:rsid w:val="00550D5C"/>
    <w:rsid w:val="0055465F"/>
    <w:rsid w:val="0055547F"/>
    <w:rsid w:val="00557005"/>
    <w:rsid w:val="0056301F"/>
    <w:rsid w:val="00566AD7"/>
    <w:rsid w:val="00575375"/>
    <w:rsid w:val="005948D5"/>
    <w:rsid w:val="0059608D"/>
    <w:rsid w:val="005B121C"/>
    <w:rsid w:val="005B3A86"/>
    <w:rsid w:val="005C2E8D"/>
    <w:rsid w:val="005C4063"/>
    <w:rsid w:val="005C40E6"/>
    <w:rsid w:val="005D6916"/>
    <w:rsid w:val="005E244B"/>
    <w:rsid w:val="005E4060"/>
    <w:rsid w:val="005E518E"/>
    <w:rsid w:val="005F1A38"/>
    <w:rsid w:val="005F6EC0"/>
    <w:rsid w:val="00613FF8"/>
    <w:rsid w:val="00615BE5"/>
    <w:rsid w:val="0061772D"/>
    <w:rsid w:val="00623F3F"/>
    <w:rsid w:val="0064234D"/>
    <w:rsid w:val="00642E1A"/>
    <w:rsid w:val="00645538"/>
    <w:rsid w:val="006505E1"/>
    <w:rsid w:val="006532B0"/>
    <w:rsid w:val="006626EB"/>
    <w:rsid w:val="00662BF1"/>
    <w:rsid w:val="00672BD3"/>
    <w:rsid w:val="00674E96"/>
    <w:rsid w:val="00682E52"/>
    <w:rsid w:val="00687FED"/>
    <w:rsid w:val="006974BA"/>
    <w:rsid w:val="006A23F0"/>
    <w:rsid w:val="006A2E0C"/>
    <w:rsid w:val="006B55A4"/>
    <w:rsid w:val="006C2BD3"/>
    <w:rsid w:val="006C7C6D"/>
    <w:rsid w:val="006D0516"/>
    <w:rsid w:val="006D7316"/>
    <w:rsid w:val="006E620B"/>
    <w:rsid w:val="006F78A0"/>
    <w:rsid w:val="00704A07"/>
    <w:rsid w:val="00723F8E"/>
    <w:rsid w:val="00746658"/>
    <w:rsid w:val="00746EFF"/>
    <w:rsid w:val="007525F5"/>
    <w:rsid w:val="00752A6A"/>
    <w:rsid w:val="007667BD"/>
    <w:rsid w:val="007824A2"/>
    <w:rsid w:val="0079548F"/>
    <w:rsid w:val="00796FBD"/>
    <w:rsid w:val="007B39B4"/>
    <w:rsid w:val="007D48A6"/>
    <w:rsid w:val="007F6B89"/>
    <w:rsid w:val="00803051"/>
    <w:rsid w:val="008225AC"/>
    <w:rsid w:val="00822AF5"/>
    <w:rsid w:val="00823846"/>
    <w:rsid w:val="0083294B"/>
    <w:rsid w:val="00832D54"/>
    <w:rsid w:val="00840E13"/>
    <w:rsid w:val="00845388"/>
    <w:rsid w:val="00847210"/>
    <w:rsid w:val="008504E3"/>
    <w:rsid w:val="008601E9"/>
    <w:rsid w:val="00862FB8"/>
    <w:rsid w:val="008A5035"/>
    <w:rsid w:val="008A6F33"/>
    <w:rsid w:val="008D0EA0"/>
    <w:rsid w:val="008D2006"/>
    <w:rsid w:val="008D3674"/>
    <w:rsid w:val="008D3A95"/>
    <w:rsid w:val="008D575B"/>
    <w:rsid w:val="008E113C"/>
    <w:rsid w:val="008E5622"/>
    <w:rsid w:val="008F2A00"/>
    <w:rsid w:val="008F34CB"/>
    <w:rsid w:val="008F39CF"/>
    <w:rsid w:val="00901585"/>
    <w:rsid w:val="009159EA"/>
    <w:rsid w:val="009325A9"/>
    <w:rsid w:val="00940AE9"/>
    <w:rsid w:val="00944D95"/>
    <w:rsid w:val="00962C60"/>
    <w:rsid w:val="0096505D"/>
    <w:rsid w:val="00977F03"/>
    <w:rsid w:val="00993F41"/>
    <w:rsid w:val="009A2490"/>
    <w:rsid w:val="009D691D"/>
    <w:rsid w:val="009F7A70"/>
    <w:rsid w:val="00A01B4B"/>
    <w:rsid w:val="00A03815"/>
    <w:rsid w:val="00A06C10"/>
    <w:rsid w:val="00A137D7"/>
    <w:rsid w:val="00A35B1F"/>
    <w:rsid w:val="00A3713A"/>
    <w:rsid w:val="00A43066"/>
    <w:rsid w:val="00A568CC"/>
    <w:rsid w:val="00A62A66"/>
    <w:rsid w:val="00A85786"/>
    <w:rsid w:val="00A863E3"/>
    <w:rsid w:val="00A87D38"/>
    <w:rsid w:val="00AB4A64"/>
    <w:rsid w:val="00AB5353"/>
    <w:rsid w:val="00AB6119"/>
    <w:rsid w:val="00AB649F"/>
    <w:rsid w:val="00AC119B"/>
    <w:rsid w:val="00AD07B6"/>
    <w:rsid w:val="00AD646A"/>
    <w:rsid w:val="00AD784F"/>
    <w:rsid w:val="00AF47D9"/>
    <w:rsid w:val="00B01B83"/>
    <w:rsid w:val="00B03D03"/>
    <w:rsid w:val="00B040FC"/>
    <w:rsid w:val="00B04429"/>
    <w:rsid w:val="00B15314"/>
    <w:rsid w:val="00B16521"/>
    <w:rsid w:val="00B34650"/>
    <w:rsid w:val="00B45B23"/>
    <w:rsid w:val="00B46E8E"/>
    <w:rsid w:val="00B5273F"/>
    <w:rsid w:val="00B569C1"/>
    <w:rsid w:val="00B61518"/>
    <w:rsid w:val="00B65CC7"/>
    <w:rsid w:val="00B67098"/>
    <w:rsid w:val="00B679D2"/>
    <w:rsid w:val="00B75523"/>
    <w:rsid w:val="00B817A8"/>
    <w:rsid w:val="00B8408C"/>
    <w:rsid w:val="00B90BF8"/>
    <w:rsid w:val="00BB1623"/>
    <w:rsid w:val="00BB22FB"/>
    <w:rsid w:val="00BC7B09"/>
    <w:rsid w:val="00BD5978"/>
    <w:rsid w:val="00BD66AD"/>
    <w:rsid w:val="00BF0157"/>
    <w:rsid w:val="00BF2D2F"/>
    <w:rsid w:val="00BF3818"/>
    <w:rsid w:val="00C03127"/>
    <w:rsid w:val="00C0680F"/>
    <w:rsid w:val="00C2091F"/>
    <w:rsid w:val="00C22DCB"/>
    <w:rsid w:val="00C32D24"/>
    <w:rsid w:val="00C42A1F"/>
    <w:rsid w:val="00C43D2B"/>
    <w:rsid w:val="00C628A0"/>
    <w:rsid w:val="00C654A6"/>
    <w:rsid w:val="00CA65E5"/>
    <w:rsid w:val="00CB1969"/>
    <w:rsid w:val="00CB6A80"/>
    <w:rsid w:val="00CD6D2F"/>
    <w:rsid w:val="00CE4500"/>
    <w:rsid w:val="00CF7C6B"/>
    <w:rsid w:val="00D05049"/>
    <w:rsid w:val="00D1196E"/>
    <w:rsid w:val="00D138C3"/>
    <w:rsid w:val="00D31404"/>
    <w:rsid w:val="00D33F34"/>
    <w:rsid w:val="00D44C87"/>
    <w:rsid w:val="00D527EA"/>
    <w:rsid w:val="00D61EDD"/>
    <w:rsid w:val="00D63C25"/>
    <w:rsid w:val="00D70163"/>
    <w:rsid w:val="00D86D6F"/>
    <w:rsid w:val="00D97F5B"/>
    <w:rsid w:val="00DA6428"/>
    <w:rsid w:val="00DB1B21"/>
    <w:rsid w:val="00DC305C"/>
    <w:rsid w:val="00DD389D"/>
    <w:rsid w:val="00E00A30"/>
    <w:rsid w:val="00E0574E"/>
    <w:rsid w:val="00E05D32"/>
    <w:rsid w:val="00E07DDC"/>
    <w:rsid w:val="00E149BA"/>
    <w:rsid w:val="00E31039"/>
    <w:rsid w:val="00E360CB"/>
    <w:rsid w:val="00E36D1C"/>
    <w:rsid w:val="00E418B5"/>
    <w:rsid w:val="00E453F6"/>
    <w:rsid w:val="00E462DD"/>
    <w:rsid w:val="00E50F10"/>
    <w:rsid w:val="00E67374"/>
    <w:rsid w:val="00E74ECF"/>
    <w:rsid w:val="00E81CD4"/>
    <w:rsid w:val="00E87C9F"/>
    <w:rsid w:val="00E90BCF"/>
    <w:rsid w:val="00EA57C7"/>
    <w:rsid w:val="00EC12B3"/>
    <w:rsid w:val="00EC1F98"/>
    <w:rsid w:val="00EE0EE5"/>
    <w:rsid w:val="00F06CCD"/>
    <w:rsid w:val="00F10F71"/>
    <w:rsid w:val="00F12343"/>
    <w:rsid w:val="00F16B3B"/>
    <w:rsid w:val="00F16EA3"/>
    <w:rsid w:val="00F17C44"/>
    <w:rsid w:val="00F255EE"/>
    <w:rsid w:val="00F25FF4"/>
    <w:rsid w:val="00F2689F"/>
    <w:rsid w:val="00F46C4F"/>
    <w:rsid w:val="00F535EB"/>
    <w:rsid w:val="00F609A9"/>
    <w:rsid w:val="00F978A6"/>
    <w:rsid w:val="00FB5305"/>
    <w:rsid w:val="00FD25EA"/>
    <w:rsid w:val="00FE61BC"/>
    <w:rsid w:val="00FF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3d007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basedOn w:val="Normal"/>
    <w:next w:val="BodyText"/>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basedOn w:val="Normal"/>
    <w:next w:val="BodyText"/>
    <w:link w:val="Heading3Char"/>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qFormat/>
    <w:rsid w:val="00697E92"/>
    <w:pPr>
      <w:spacing w:line="200" w:lineRule="exact"/>
      <w:outlineLvl w:val="4"/>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basedOn w:val="Normal"/>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semiHidden/>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semiHidden/>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semiHidden/>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semiHidden/>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semiHidden/>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semiHidden/>
    <w:rsid w:val="00697E92"/>
  </w:style>
  <w:style w:type="paragraph" w:styleId="TOC1">
    <w:name w:val="toc 1"/>
    <w:basedOn w:val="Normal"/>
    <w:next w:val="Normal"/>
    <w:autoRedefine/>
    <w:semiHidden/>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semiHidden/>
    <w:rsid w:val="00697E92"/>
    <w:pPr>
      <w:ind w:left="220"/>
    </w:pPr>
  </w:style>
  <w:style w:type="paragraph" w:styleId="TOC3">
    <w:name w:val="toc 3"/>
    <w:basedOn w:val="TOC1"/>
    <w:next w:val="Normal"/>
    <w:autoRedefine/>
    <w:semiHidden/>
    <w:rsid w:val="00697E92"/>
    <w:pPr>
      <w:ind w:left="440"/>
    </w:pPr>
    <w:rPr>
      <w:sz w:val="16"/>
    </w:rPr>
  </w:style>
  <w:style w:type="paragraph" w:styleId="TOC4">
    <w:name w:val="toc 4"/>
    <w:basedOn w:val="TOC1"/>
    <w:next w:val="Normal"/>
    <w:autoRedefine/>
    <w:semiHidden/>
    <w:rsid w:val="00697E92"/>
    <w:pPr>
      <w:ind w:left="660"/>
    </w:pPr>
    <w:rPr>
      <w:sz w:val="16"/>
    </w:rPr>
  </w:style>
  <w:style w:type="paragraph" w:styleId="TOC5">
    <w:name w:val="toc 5"/>
    <w:basedOn w:val="TOC1"/>
    <w:next w:val="Normal"/>
    <w:autoRedefine/>
    <w:semiHidden/>
    <w:rsid w:val="00697E92"/>
    <w:pPr>
      <w:ind w:left="880"/>
    </w:pPr>
    <w:rPr>
      <w:sz w:val="16"/>
    </w:rPr>
  </w:style>
  <w:style w:type="paragraph" w:styleId="TOC6">
    <w:name w:val="toc 6"/>
    <w:basedOn w:val="TOC1"/>
    <w:next w:val="Normal"/>
    <w:autoRedefine/>
    <w:semiHidden/>
    <w:rsid w:val="00697E92"/>
    <w:pPr>
      <w:ind w:left="1100"/>
    </w:pPr>
    <w:rPr>
      <w:sz w:val="16"/>
    </w:rPr>
  </w:style>
  <w:style w:type="paragraph" w:styleId="TOC7">
    <w:name w:val="toc 7"/>
    <w:basedOn w:val="TOC1"/>
    <w:next w:val="Normal"/>
    <w:autoRedefine/>
    <w:semiHidden/>
    <w:rsid w:val="00697E92"/>
    <w:pPr>
      <w:ind w:left="1320"/>
    </w:pPr>
    <w:rPr>
      <w:sz w:val="16"/>
    </w:rPr>
  </w:style>
  <w:style w:type="paragraph" w:styleId="TOC8">
    <w:name w:val="toc 8"/>
    <w:basedOn w:val="TOC1"/>
    <w:next w:val="Normal"/>
    <w:autoRedefine/>
    <w:semiHidden/>
    <w:rsid w:val="00697E92"/>
    <w:pPr>
      <w:ind w:left="1540"/>
    </w:pPr>
    <w:rPr>
      <w:sz w:val="16"/>
    </w:rPr>
  </w:style>
  <w:style w:type="paragraph" w:styleId="TOC9">
    <w:name w:val="toc 9"/>
    <w:basedOn w:val="TOC1"/>
    <w:next w:val="Normal"/>
    <w:autoRedefine/>
    <w:semiHidden/>
    <w:rsid w:val="00697E92"/>
    <w:pPr>
      <w:ind w:left="1760"/>
    </w:pPr>
    <w:rPr>
      <w:sz w:val="16"/>
    </w:rPr>
  </w:style>
  <w:style w:type="paragraph" w:styleId="ListNumber">
    <w:name w:val="List Number"/>
    <w:basedOn w:val="BodyText"/>
    <w:rsid w:val="00F721FB"/>
    <w:pPr>
      <w:numPr>
        <w:numId w:val="27"/>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28"/>
      </w:numPr>
      <w:tabs>
        <w:tab w:val="clear" w:pos="113"/>
        <w:tab w:val="num" w:pos="195"/>
      </w:tabs>
      <w:ind w:left="195" w:hanging="195"/>
    </w:pPr>
  </w:style>
  <w:style w:type="paragraph" w:styleId="Footer">
    <w:name w:val="footer"/>
    <w:basedOn w:val="Normal"/>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23"/>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4"/>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uiPriority w:val="59"/>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character" w:styleId="CommentReference">
    <w:name w:val="annotation reference"/>
    <w:basedOn w:val="DefaultParagraphFont"/>
    <w:rsid w:val="000764FA"/>
    <w:rPr>
      <w:sz w:val="16"/>
      <w:szCs w:val="16"/>
    </w:rPr>
  </w:style>
  <w:style w:type="paragraph" w:styleId="CommentText">
    <w:name w:val="annotation text"/>
    <w:basedOn w:val="Normal"/>
    <w:link w:val="CommentTextChar"/>
    <w:rsid w:val="000764FA"/>
    <w:pPr>
      <w:spacing w:line="240" w:lineRule="auto"/>
    </w:pPr>
    <w:rPr>
      <w:sz w:val="20"/>
      <w:szCs w:val="20"/>
    </w:rPr>
  </w:style>
  <w:style w:type="character" w:customStyle="1" w:styleId="CommentTextChar">
    <w:name w:val="Comment Text Char"/>
    <w:basedOn w:val="DefaultParagraphFont"/>
    <w:link w:val="CommentText"/>
    <w:rsid w:val="000764FA"/>
    <w:rPr>
      <w:rFonts w:asciiTheme="minorHAnsi" w:eastAsiaTheme="minorHAnsi" w:hAnsiTheme="minorHAnsi" w:cstheme="minorBidi"/>
    </w:rPr>
  </w:style>
  <w:style w:type="paragraph" w:styleId="CommentSubject">
    <w:name w:val="annotation subject"/>
    <w:basedOn w:val="CommentText"/>
    <w:next w:val="CommentText"/>
    <w:link w:val="CommentSubjectChar"/>
    <w:rsid w:val="000764FA"/>
    <w:rPr>
      <w:b/>
      <w:bCs/>
    </w:rPr>
  </w:style>
  <w:style w:type="character" w:customStyle="1" w:styleId="CommentSubjectChar">
    <w:name w:val="Comment Subject Char"/>
    <w:basedOn w:val="CommentTextChar"/>
    <w:link w:val="CommentSubject"/>
    <w:rsid w:val="000764FA"/>
    <w:rPr>
      <w:rFonts w:asciiTheme="minorHAnsi" w:eastAsiaTheme="minorHAnsi" w:hAnsiTheme="minorHAnsi" w:cstheme="minorBidi"/>
      <w:b/>
      <w:bCs/>
    </w:rPr>
  </w:style>
  <w:style w:type="paragraph" w:customStyle="1" w:styleId="LetterheadAddress">
    <w:name w:val="Letterhead Address"/>
    <w:basedOn w:val="Normal"/>
    <w:qFormat/>
    <w:rsid w:val="001B6ADA"/>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paragraph" w:customStyle="1" w:styleId="Default">
    <w:name w:val="Default"/>
    <w:rsid w:val="00B90BF8"/>
    <w:pPr>
      <w:autoSpaceDE w:val="0"/>
      <w:autoSpaceDN w:val="0"/>
      <w:adjustRightInd w:val="0"/>
    </w:pPr>
    <w:rPr>
      <w:color w:val="000000"/>
      <w:sz w:val="24"/>
      <w:szCs w:val="24"/>
    </w:rPr>
  </w:style>
  <w:style w:type="paragraph" w:customStyle="1" w:styleId="Subhead1Style">
    <w:name w:val="Subhead 1 Style"/>
    <w:basedOn w:val="Normal"/>
    <w:qFormat/>
    <w:rsid w:val="0032079E"/>
    <w:pPr>
      <w:spacing w:before="360" w:after="120" w:line="240" w:lineRule="auto"/>
      <w:ind w:left="-720"/>
    </w:pPr>
    <w:rPr>
      <w:rFonts w:ascii="Calibri" w:eastAsia="Arial" w:hAnsi="Calibri" w:cs="Times New Roman"/>
      <w:b/>
      <w:color w:val="009FC3"/>
      <w:spacing w:val="-4"/>
      <w:szCs w:val="20"/>
      <w:lang w:eastAsia="sv-SE"/>
    </w:rPr>
  </w:style>
  <w:style w:type="paragraph" w:customStyle="1" w:styleId="MainText">
    <w:name w:val="Main Text"/>
    <w:basedOn w:val="Normal"/>
    <w:autoRedefine/>
    <w:qFormat/>
    <w:rsid w:val="0032079E"/>
    <w:pPr>
      <w:spacing w:after="0" w:line="260" w:lineRule="atLeast"/>
      <w:ind w:left="-720"/>
      <w:jc w:val="both"/>
    </w:pPr>
    <w:rPr>
      <w:rFonts w:ascii="Calibri" w:eastAsia="Arial" w:hAnsi="Calibri" w:cs="Times New Roman"/>
      <w:color w:val="000000"/>
      <w:spacing w:val="-4"/>
      <w:sz w:val="20"/>
      <w:szCs w:val="20"/>
    </w:rPr>
  </w:style>
  <w:style w:type="paragraph" w:customStyle="1" w:styleId="Bullets">
    <w:name w:val="Bullets"/>
    <w:basedOn w:val="ListParagraph"/>
    <w:qFormat/>
    <w:rsid w:val="0032079E"/>
    <w:pPr>
      <w:numPr>
        <w:numId w:val="35"/>
      </w:numPr>
      <w:spacing w:after="120" w:line="260" w:lineRule="atLeast"/>
      <w:contextualSpacing w:val="0"/>
    </w:pPr>
    <w:rPr>
      <w:rFonts w:ascii="Calibri" w:eastAsia="Arial" w:hAnsi="Calibri" w:cs="Times New Roman"/>
      <w:spacing w:val="-4"/>
      <w:sz w:val="20"/>
      <w:szCs w:val="20"/>
      <w:lang w:eastAsia="sv-SE"/>
    </w:rPr>
  </w:style>
  <w:style w:type="paragraph" w:customStyle="1" w:styleId="Subhead2Style">
    <w:name w:val="Subhead 2 Style"/>
    <w:basedOn w:val="MainText"/>
    <w:qFormat/>
    <w:rsid w:val="0032079E"/>
    <w:rPr>
      <w:b/>
    </w:rPr>
  </w:style>
  <w:style w:type="table" w:customStyle="1" w:styleId="NLXStx">
    <w:name w:val="NLX Stx"/>
    <w:basedOn w:val="TableNormal"/>
    <w:uiPriority w:val="99"/>
    <w:rsid w:val="0032079E"/>
    <w:rPr>
      <w:rFonts w:ascii="Arial Narrow" w:hAnsi="Arial Narrow"/>
      <w:sz w:val="18"/>
      <w:szCs w:val="24"/>
      <w:lang w:eastAsia="zh-CN"/>
    </w:rPr>
    <w:tblPr>
      <w:tblStyleRowBandSize w:val="1"/>
      <w:tblBorders>
        <w:top w:val="single" w:sz="4" w:space="0" w:color="0094B3"/>
        <w:left w:val="single" w:sz="4" w:space="0" w:color="0094B3"/>
        <w:bottom w:val="single" w:sz="4" w:space="0" w:color="0094B3"/>
        <w:right w:val="single" w:sz="4" w:space="0" w:color="0094B3"/>
        <w:insideH w:val="single" w:sz="4" w:space="0" w:color="0094B3"/>
        <w:insideV w:val="single" w:sz="4" w:space="0" w:color="0094B3"/>
      </w:tblBorders>
    </w:tblPr>
    <w:tcPr>
      <w:vAlign w:val="center"/>
    </w:tcPr>
    <w:tblStylePr w:type="firstRow">
      <w:rPr>
        <w:b/>
        <w:color w:val="FFFFFF" w:themeColor="background1"/>
        <w:sz w:val="20"/>
      </w:rPr>
      <w:tblPr/>
      <w:tcPr>
        <w:shd w:val="clear" w:color="auto" w:fill="0094B3"/>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543FF5"/>
    <w:rPr>
      <w:rFonts w:ascii="Verdana" w:hAnsi="Verdana"/>
      <w:b/>
      <w:kern w:val="20"/>
      <w:sz w:val="18"/>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basedOn w:val="Normal"/>
    <w:next w:val="BodyText"/>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basedOn w:val="Normal"/>
    <w:next w:val="BodyText"/>
    <w:link w:val="Heading3Char"/>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qFormat/>
    <w:rsid w:val="00697E92"/>
    <w:pPr>
      <w:spacing w:line="200" w:lineRule="exact"/>
      <w:outlineLvl w:val="4"/>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basedOn w:val="Normal"/>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semiHidden/>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semiHidden/>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semiHidden/>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semiHidden/>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semiHidden/>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semiHidden/>
    <w:rsid w:val="00697E92"/>
  </w:style>
  <w:style w:type="paragraph" w:styleId="TOC1">
    <w:name w:val="toc 1"/>
    <w:basedOn w:val="Normal"/>
    <w:next w:val="Normal"/>
    <w:autoRedefine/>
    <w:semiHidden/>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semiHidden/>
    <w:rsid w:val="00697E92"/>
    <w:pPr>
      <w:ind w:left="220"/>
    </w:pPr>
  </w:style>
  <w:style w:type="paragraph" w:styleId="TOC3">
    <w:name w:val="toc 3"/>
    <w:basedOn w:val="TOC1"/>
    <w:next w:val="Normal"/>
    <w:autoRedefine/>
    <w:semiHidden/>
    <w:rsid w:val="00697E92"/>
    <w:pPr>
      <w:ind w:left="440"/>
    </w:pPr>
    <w:rPr>
      <w:sz w:val="16"/>
    </w:rPr>
  </w:style>
  <w:style w:type="paragraph" w:styleId="TOC4">
    <w:name w:val="toc 4"/>
    <w:basedOn w:val="TOC1"/>
    <w:next w:val="Normal"/>
    <w:autoRedefine/>
    <w:semiHidden/>
    <w:rsid w:val="00697E92"/>
    <w:pPr>
      <w:ind w:left="660"/>
    </w:pPr>
    <w:rPr>
      <w:sz w:val="16"/>
    </w:rPr>
  </w:style>
  <w:style w:type="paragraph" w:styleId="TOC5">
    <w:name w:val="toc 5"/>
    <w:basedOn w:val="TOC1"/>
    <w:next w:val="Normal"/>
    <w:autoRedefine/>
    <w:semiHidden/>
    <w:rsid w:val="00697E92"/>
    <w:pPr>
      <w:ind w:left="880"/>
    </w:pPr>
    <w:rPr>
      <w:sz w:val="16"/>
    </w:rPr>
  </w:style>
  <w:style w:type="paragraph" w:styleId="TOC6">
    <w:name w:val="toc 6"/>
    <w:basedOn w:val="TOC1"/>
    <w:next w:val="Normal"/>
    <w:autoRedefine/>
    <w:semiHidden/>
    <w:rsid w:val="00697E92"/>
    <w:pPr>
      <w:ind w:left="1100"/>
    </w:pPr>
    <w:rPr>
      <w:sz w:val="16"/>
    </w:rPr>
  </w:style>
  <w:style w:type="paragraph" w:styleId="TOC7">
    <w:name w:val="toc 7"/>
    <w:basedOn w:val="TOC1"/>
    <w:next w:val="Normal"/>
    <w:autoRedefine/>
    <w:semiHidden/>
    <w:rsid w:val="00697E92"/>
    <w:pPr>
      <w:ind w:left="1320"/>
    </w:pPr>
    <w:rPr>
      <w:sz w:val="16"/>
    </w:rPr>
  </w:style>
  <w:style w:type="paragraph" w:styleId="TOC8">
    <w:name w:val="toc 8"/>
    <w:basedOn w:val="TOC1"/>
    <w:next w:val="Normal"/>
    <w:autoRedefine/>
    <w:semiHidden/>
    <w:rsid w:val="00697E92"/>
    <w:pPr>
      <w:ind w:left="1540"/>
    </w:pPr>
    <w:rPr>
      <w:sz w:val="16"/>
    </w:rPr>
  </w:style>
  <w:style w:type="paragraph" w:styleId="TOC9">
    <w:name w:val="toc 9"/>
    <w:basedOn w:val="TOC1"/>
    <w:next w:val="Normal"/>
    <w:autoRedefine/>
    <w:semiHidden/>
    <w:rsid w:val="00697E92"/>
    <w:pPr>
      <w:ind w:left="1760"/>
    </w:pPr>
    <w:rPr>
      <w:sz w:val="16"/>
    </w:rPr>
  </w:style>
  <w:style w:type="paragraph" w:styleId="ListNumber">
    <w:name w:val="List Number"/>
    <w:basedOn w:val="BodyText"/>
    <w:rsid w:val="00F721FB"/>
    <w:pPr>
      <w:numPr>
        <w:numId w:val="27"/>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28"/>
      </w:numPr>
      <w:tabs>
        <w:tab w:val="clear" w:pos="113"/>
        <w:tab w:val="num" w:pos="195"/>
      </w:tabs>
      <w:ind w:left="195" w:hanging="195"/>
    </w:pPr>
  </w:style>
  <w:style w:type="paragraph" w:styleId="Footer">
    <w:name w:val="footer"/>
    <w:basedOn w:val="Normal"/>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23"/>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4"/>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uiPriority w:val="59"/>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character" w:styleId="CommentReference">
    <w:name w:val="annotation reference"/>
    <w:basedOn w:val="DefaultParagraphFont"/>
    <w:rsid w:val="000764FA"/>
    <w:rPr>
      <w:sz w:val="16"/>
      <w:szCs w:val="16"/>
    </w:rPr>
  </w:style>
  <w:style w:type="paragraph" w:styleId="CommentText">
    <w:name w:val="annotation text"/>
    <w:basedOn w:val="Normal"/>
    <w:link w:val="CommentTextChar"/>
    <w:rsid w:val="000764FA"/>
    <w:pPr>
      <w:spacing w:line="240" w:lineRule="auto"/>
    </w:pPr>
    <w:rPr>
      <w:sz w:val="20"/>
      <w:szCs w:val="20"/>
    </w:rPr>
  </w:style>
  <w:style w:type="character" w:customStyle="1" w:styleId="CommentTextChar">
    <w:name w:val="Comment Text Char"/>
    <w:basedOn w:val="DefaultParagraphFont"/>
    <w:link w:val="CommentText"/>
    <w:rsid w:val="000764FA"/>
    <w:rPr>
      <w:rFonts w:asciiTheme="minorHAnsi" w:eastAsiaTheme="minorHAnsi" w:hAnsiTheme="minorHAnsi" w:cstheme="minorBidi"/>
    </w:rPr>
  </w:style>
  <w:style w:type="paragraph" w:styleId="CommentSubject">
    <w:name w:val="annotation subject"/>
    <w:basedOn w:val="CommentText"/>
    <w:next w:val="CommentText"/>
    <w:link w:val="CommentSubjectChar"/>
    <w:rsid w:val="000764FA"/>
    <w:rPr>
      <w:b/>
      <w:bCs/>
    </w:rPr>
  </w:style>
  <w:style w:type="character" w:customStyle="1" w:styleId="CommentSubjectChar">
    <w:name w:val="Comment Subject Char"/>
    <w:basedOn w:val="CommentTextChar"/>
    <w:link w:val="CommentSubject"/>
    <w:rsid w:val="000764FA"/>
    <w:rPr>
      <w:rFonts w:asciiTheme="minorHAnsi" w:eastAsiaTheme="minorHAnsi" w:hAnsiTheme="minorHAnsi" w:cstheme="minorBidi"/>
      <w:b/>
      <w:bCs/>
    </w:rPr>
  </w:style>
  <w:style w:type="paragraph" w:customStyle="1" w:styleId="LetterheadAddress">
    <w:name w:val="Letterhead Address"/>
    <w:basedOn w:val="Normal"/>
    <w:qFormat/>
    <w:rsid w:val="001B6ADA"/>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paragraph" w:customStyle="1" w:styleId="Default">
    <w:name w:val="Default"/>
    <w:rsid w:val="00B90BF8"/>
    <w:pPr>
      <w:autoSpaceDE w:val="0"/>
      <w:autoSpaceDN w:val="0"/>
      <w:adjustRightInd w:val="0"/>
    </w:pPr>
    <w:rPr>
      <w:color w:val="000000"/>
      <w:sz w:val="24"/>
      <w:szCs w:val="24"/>
    </w:rPr>
  </w:style>
  <w:style w:type="paragraph" w:customStyle="1" w:styleId="Subhead1Style">
    <w:name w:val="Subhead 1 Style"/>
    <w:basedOn w:val="Normal"/>
    <w:qFormat/>
    <w:rsid w:val="0032079E"/>
    <w:pPr>
      <w:spacing w:before="360" w:after="120" w:line="240" w:lineRule="auto"/>
      <w:ind w:left="-720"/>
    </w:pPr>
    <w:rPr>
      <w:rFonts w:ascii="Calibri" w:eastAsia="Arial" w:hAnsi="Calibri" w:cs="Times New Roman"/>
      <w:b/>
      <w:color w:val="009FC3"/>
      <w:spacing w:val="-4"/>
      <w:szCs w:val="20"/>
      <w:lang w:eastAsia="sv-SE"/>
    </w:rPr>
  </w:style>
  <w:style w:type="paragraph" w:customStyle="1" w:styleId="MainText">
    <w:name w:val="Main Text"/>
    <w:basedOn w:val="Normal"/>
    <w:autoRedefine/>
    <w:qFormat/>
    <w:rsid w:val="0032079E"/>
    <w:pPr>
      <w:spacing w:after="0" w:line="260" w:lineRule="atLeast"/>
      <w:ind w:left="-720"/>
      <w:jc w:val="both"/>
    </w:pPr>
    <w:rPr>
      <w:rFonts w:ascii="Calibri" w:eastAsia="Arial" w:hAnsi="Calibri" w:cs="Times New Roman"/>
      <w:color w:val="000000"/>
      <w:spacing w:val="-4"/>
      <w:sz w:val="20"/>
      <w:szCs w:val="20"/>
    </w:rPr>
  </w:style>
  <w:style w:type="paragraph" w:customStyle="1" w:styleId="Bullets">
    <w:name w:val="Bullets"/>
    <w:basedOn w:val="ListParagraph"/>
    <w:qFormat/>
    <w:rsid w:val="0032079E"/>
    <w:pPr>
      <w:numPr>
        <w:numId w:val="35"/>
      </w:numPr>
      <w:spacing w:after="120" w:line="260" w:lineRule="atLeast"/>
      <w:contextualSpacing w:val="0"/>
    </w:pPr>
    <w:rPr>
      <w:rFonts w:ascii="Calibri" w:eastAsia="Arial" w:hAnsi="Calibri" w:cs="Times New Roman"/>
      <w:spacing w:val="-4"/>
      <w:sz w:val="20"/>
      <w:szCs w:val="20"/>
      <w:lang w:eastAsia="sv-SE"/>
    </w:rPr>
  </w:style>
  <w:style w:type="paragraph" w:customStyle="1" w:styleId="Subhead2Style">
    <w:name w:val="Subhead 2 Style"/>
    <w:basedOn w:val="MainText"/>
    <w:qFormat/>
    <w:rsid w:val="0032079E"/>
    <w:rPr>
      <w:b/>
    </w:rPr>
  </w:style>
  <w:style w:type="table" w:customStyle="1" w:styleId="NLXStx">
    <w:name w:val="NLX Stx"/>
    <w:basedOn w:val="TableNormal"/>
    <w:uiPriority w:val="99"/>
    <w:rsid w:val="0032079E"/>
    <w:rPr>
      <w:rFonts w:ascii="Arial Narrow" w:hAnsi="Arial Narrow"/>
      <w:sz w:val="18"/>
      <w:szCs w:val="24"/>
      <w:lang w:eastAsia="zh-CN"/>
    </w:rPr>
    <w:tblPr>
      <w:tblStyleRowBandSize w:val="1"/>
      <w:tblBorders>
        <w:top w:val="single" w:sz="4" w:space="0" w:color="0094B3"/>
        <w:left w:val="single" w:sz="4" w:space="0" w:color="0094B3"/>
        <w:bottom w:val="single" w:sz="4" w:space="0" w:color="0094B3"/>
        <w:right w:val="single" w:sz="4" w:space="0" w:color="0094B3"/>
        <w:insideH w:val="single" w:sz="4" w:space="0" w:color="0094B3"/>
        <w:insideV w:val="single" w:sz="4" w:space="0" w:color="0094B3"/>
      </w:tblBorders>
    </w:tblPr>
    <w:tcPr>
      <w:vAlign w:val="center"/>
    </w:tcPr>
    <w:tblStylePr w:type="firstRow">
      <w:rPr>
        <w:b/>
        <w:color w:val="FFFFFF" w:themeColor="background1"/>
        <w:sz w:val="20"/>
      </w:rPr>
      <w:tblPr/>
      <w:tcPr>
        <w:shd w:val="clear" w:color="auto" w:fill="0094B3"/>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543FF5"/>
    <w:rPr>
      <w:rFonts w:ascii="Verdana" w:hAnsi="Verdana"/>
      <w:b/>
      <w:kern w:val="20"/>
      <w:sz w:val="1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29590">
      <w:bodyDiv w:val="1"/>
      <w:marLeft w:val="0"/>
      <w:marRight w:val="0"/>
      <w:marTop w:val="0"/>
      <w:marBottom w:val="0"/>
      <w:divBdr>
        <w:top w:val="none" w:sz="0" w:space="0" w:color="auto"/>
        <w:left w:val="none" w:sz="0" w:space="0" w:color="auto"/>
        <w:bottom w:val="none" w:sz="0" w:space="0" w:color="auto"/>
        <w:right w:val="none" w:sz="0" w:space="0" w:color="auto"/>
      </w:divBdr>
    </w:div>
    <w:div w:id="136262734">
      <w:bodyDiv w:val="1"/>
      <w:marLeft w:val="0"/>
      <w:marRight w:val="0"/>
      <w:marTop w:val="0"/>
      <w:marBottom w:val="0"/>
      <w:divBdr>
        <w:top w:val="none" w:sz="0" w:space="0" w:color="auto"/>
        <w:left w:val="none" w:sz="0" w:space="0" w:color="auto"/>
        <w:bottom w:val="none" w:sz="0" w:space="0" w:color="auto"/>
        <w:right w:val="none" w:sz="0" w:space="0" w:color="auto"/>
      </w:divBdr>
    </w:div>
    <w:div w:id="186990746">
      <w:bodyDiv w:val="1"/>
      <w:marLeft w:val="0"/>
      <w:marRight w:val="0"/>
      <w:marTop w:val="0"/>
      <w:marBottom w:val="0"/>
      <w:divBdr>
        <w:top w:val="none" w:sz="0" w:space="0" w:color="auto"/>
        <w:left w:val="none" w:sz="0" w:space="0" w:color="auto"/>
        <w:bottom w:val="none" w:sz="0" w:space="0" w:color="auto"/>
        <w:right w:val="none" w:sz="0" w:space="0" w:color="auto"/>
      </w:divBdr>
    </w:div>
    <w:div w:id="255940249">
      <w:bodyDiv w:val="1"/>
      <w:marLeft w:val="0"/>
      <w:marRight w:val="0"/>
      <w:marTop w:val="0"/>
      <w:marBottom w:val="0"/>
      <w:divBdr>
        <w:top w:val="none" w:sz="0" w:space="0" w:color="auto"/>
        <w:left w:val="none" w:sz="0" w:space="0" w:color="auto"/>
        <w:bottom w:val="none" w:sz="0" w:space="0" w:color="auto"/>
        <w:right w:val="none" w:sz="0" w:space="0" w:color="auto"/>
      </w:divBdr>
    </w:div>
    <w:div w:id="404884034">
      <w:bodyDiv w:val="1"/>
      <w:marLeft w:val="0"/>
      <w:marRight w:val="0"/>
      <w:marTop w:val="0"/>
      <w:marBottom w:val="0"/>
      <w:divBdr>
        <w:top w:val="none" w:sz="0" w:space="0" w:color="auto"/>
        <w:left w:val="none" w:sz="0" w:space="0" w:color="auto"/>
        <w:bottom w:val="none" w:sz="0" w:space="0" w:color="auto"/>
        <w:right w:val="none" w:sz="0" w:space="0" w:color="auto"/>
      </w:divBdr>
    </w:div>
    <w:div w:id="502085586">
      <w:bodyDiv w:val="1"/>
      <w:marLeft w:val="0"/>
      <w:marRight w:val="0"/>
      <w:marTop w:val="0"/>
      <w:marBottom w:val="0"/>
      <w:divBdr>
        <w:top w:val="none" w:sz="0" w:space="0" w:color="auto"/>
        <w:left w:val="none" w:sz="0" w:space="0" w:color="auto"/>
        <w:bottom w:val="none" w:sz="0" w:space="0" w:color="auto"/>
        <w:right w:val="none" w:sz="0" w:space="0" w:color="auto"/>
      </w:divBdr>
    </w:div>
    <w:div w:id="576207747">
      <w:bodyDiv w:val="1"/>
      <w:marLeft w:val="0"/>
      <w:marRight w:val="0"/>
      <w:marTop w:val="0"/>
      <w:marBottom w:val="0"/>
      <w:divBdr>
        <w:top w:val="none" w:sz="0" w:space="0" w:color="auto"/>
        <w:left w:val="none" w:sz="0" w:space="0" w:color="auto"/>
        <w:bottom w:val="none" w:sz="0" w:space="0" w:color="auto"/>
        <w:right w:val="none" w:sz="0" w:space="0" w:color="auto"/>
      </w:divBdr>
    </w:div>
    <w:div w:id="701901845">
      <w:bodyDiv w:val="1"/>
      <w:marLeft w:val="0"/>
      <w:marRight w:val="0"/>
      <w:marTop w:val="0"/>
      <w:marBottom w:val="0"/>
      <w:divBdr>
        <w:top w:val="none" w:sz="0" w:space="0" w:color="auto"/>
        <w:left w:val="none" w:sz="0" w:space="0" w:color="auto"/>
        <w:bottom w:val="none" w:sz="0" w:space="0" w:color="auto"/>
        <w:right w:val="none" w:sz="0" w:space="0" w:color="auto"/>
      </w:divBdr>
    </w:div>
    <w:div w:id="718481632">
      <w:bodyDiv w:val="1"/>
      <w:marLeft w:val="0"/>
      <w:marRight w:val="0"/>
      <w:marTop w:val="0"/>
      <w:marBottom w:val="0"/>
      <w:divBdr>
        <w:top w:val="none" w:sz="0" w:space="0" w:color="auto"/>
        <w:left w:val="none" w:sz="0" w:space="0" w:color="auto"/>
        <w:bottom w:val="none" w:sz="0" w:space="0" w:color="auto"/>
        <w:right w:val="none" w:sz="0" w:space="0" w:color="auto"/>
      </w:divBdr>
    </w:div>
    <w:div w:id="740105951">
      <w:bodyDiv w:val="1"/>
      <w:marLeft w:val="0"/>
      <w:marRight w:val="0"/>
      <w:marTop w:val="0"/>
      <w:marBottom w:val="0"/>
      <w:divBdr>
        <w:top w:val="none" w:sz="0" w:space="0" w:color="auto"/>
        <w:left w:val="none" w:sz="0" w:space="0" w:color="auto"/>
        <w:bottom w:val="none" w:sz="0" w:space="0" w:color="auto"/>
        <w:right w:val="none" w:sz="0" w:space="0" w:color="auto"/>
      </w:divBdr>
    </w:div>
    <w:div w:id="918518253">
      <w:bodyDiv w:val="1"/>
      <w:marLeft w:val="0"/>
      <w:marRight w:val="0"/>
      <w:marTop w:val="0"/>
      <w:marBottom w:val="0"/>
      <w:divBdr>
        <w:top w:val="none" w:sz="0" w:space="0" w:color="auto"/>
        <w:left w:val="none" w:sz="0" w:space="0" w:color="auto"/>
        <w:bottom w:val="none" w:sz="0" w:space="0" w:color="auto"/>
        <w:right w:val="none" w:sz="0" w:space="0" w:color="auto"/>
      </w:divBdr>
    </w:div>
    <w:div w:id="1040397108">
      <w:bodyDiv w:val="1"/>
      <w:marLeft w:val="0"/>
      <w:marRight w:val="0"/>
      <w:marTop w:val="0"/>
      <w:marBottom w:val="0"/>
      <w:divBdr>
        <w:top w:val="none" w:sz="0" w:space="0" w:color="auto"/>
        <w:left w:val="none" w:sz="0" w:space="0" w:color="auto"/>
        <w:bottom w:val="none" w:sz="0" w:space="0" w:color="auto"/>
        <w:right w:val="none" w:sz="0" w:space="0" w:color="auto"/>
      </w:divBdr>
    </w:div>
    <w:div w:id="1064916055">
      <w:bodyDiv w:val="1"/>
      <w:marLeft w:val="0"/>
      <w:marRight w:val="0"/>
      <w:marTop w:val="0"/>
      <w:marBottom w:val="0"/>
      <w:divBdr>
        <w:top w:val="none" w:sz="0" w:space="0" w:color="auto"/>
        <w:left w:val="none" w:sz="0" w:space="0" w:color="auto"/>
        <w:bottom w:val="none" w:sz="0" w:space="0" w:color="auto"/>
        <w:right w:val="none" w:sz="0" w:space="0" w:color="auto"/>
      </w:divBdr>
    </w:div>
    <w:div w:id="1155757065">
      <w:bodyDiv w:val="1"/>
      <w:marLeft w:val="0"/>
      <w:marRight w:val="0"/>
      <w:marTop w:val="0"/>
      <w:marBottom w:val="0"/>
      <w:divBdr>
        <w:top w:val="none" w:sz="0" w:space="0" w:color="auto"/>
        <w:left w:val="none" w:sz="0" w:space="0" w:color="auto"/>
        <w:bottom w:val="none" w:sz="0" w:space="0" w:color="auto"/>
        <w:right w:val="none" w:sz="0" w:space="0" w:color="auto"/>
      </w:divBdr>
    </w:div>
    <w:div w:id="1188370540">
      <w:bodyDiv w:val="1"/>
      <w:marLeft w:val="0"/>
      <w:marRight w:val="0"/>
      <w:marTop w:val="0"/>
      <w:marBottom w:val="0"/>
      <w:divBdr>
        <w:top w:val="none" w:sz="0" w:space="0" w:color="auto"/>
        <w:left w:val="none" w:sz="0" w:space="0" w:color="auto"/>
        <w:bottom w:val="none" w:sz="0" w:space="0" w:color="auto"/>
        <w:right w:val="none" w:sz="0" w:space="0" w:color="auto"/>
      </w:divBdr>
    </w:div>
    <w:div w:id="1191643253">
      <w:bodyDiv w:val="1"/>
      <w:marLeft w:val="0"/>
      <w:marRight w:val="0"/>
      <w:marTop w:val="0"/>
      <w:marBottom w:val="0"/>
      <w:divBdr>
        <w:top w:val="none" w:sz="0" w:space="0" w:color="auto"/>
        <w:left w:val="none" w:sz="0" w:space="0" w:color="auto"/>
        <w:bottom w:val="none" w:sz="0" w:space="0" w:color="auto"/>
        <w:right w:val="none" w:sz="0" w:space="0" w:color="auto"/>
      </w:divBdr>
    </w:div>
    <w:div w:id="1698384164">
      <w:bodyDiv w:val="1"/>
      <w:marLeft w:val="0"/>
      <w:marRight w:val="0"/>
      <w:marTop w:val="0"/>
      <w:marBottom w:val="0"/>
      <w:divBdr>
        <w:top w:val="none" w:sz="0" w:space="0" w:color="auto"/>
        <w:left w:val="none" w:sz="0" w:space="0" w:color="auto"/>
        <w:bottom w:val="none" w:sz="0" w:space="0" w:color="auto"/>
        <w:right w:val="none" w:sz="0" w:space="0" w:color="auto"/>
      </w:divBdr>
    </w:div>
    <w:div w:id="1918056627">
      <w:bodyDiv w:val="1"/>
      <w:marLeft w:val="0"/>
      <w:marRight w:val="0"/>
      <w:marTop w:val="0"/>
      <w:marBottom w:val="0"/>
      <w:divBdr>
        <w:top w:val="none" w:sz="0" w:space="0" w:color="auto"/>
        <w:left w:val="none" w:sz="0" w:space="0" w:color="auto"/>
        <w:bottom w:val="none" w:sz="0" w:space="0" w:color="auto"/>
        <w:right w:val="none" w:sz="0" w:space="0" w:color="auto"/>
      </w:divBdr>
    </w:div>
    <w:div w:id="1956446641">
      <w:bodyDiv w:val="1"/>
      <w:marLeft w:val="0"/>
      <w:marRight w:val="0"/>
      <w:marTop w:val="0"/>
      <w:marBottom w:val="0"/>
      <w:divBdr>
        <w:top w:val="none" w:sz="0" w:space="0" w:color="auto"/>
        <w:left w:val="none" w:sz="0" w:space="0" w:color="auto"/>
        <w:bottom w:val="none" w:sz="0" w:space="0" w:color="auto"/>
        <w:right w:val="none" w:sz="0" w:space="0" w:color="auto"/>
      </w:divBdr>
    </w:div>
    <w:div w:id="2005939344">
      <w:bodyDiv w:val="1"/>
      <w:marLeft w:val="0"/>
      <w:marRight w:val="0"/>
      <w:marTop w:val="0"/>
      <w:marBottom w:val="0"/>
      <w:divBdr>
        <w:top w:val="none" w:sz="0" w:space="0" w:color="auto"/>
        <w:left w:val="none" w:sz="0" w:space="0" w:color="auto"/>
        <w:bottom w:val="none" w:sz="0" w:space="0" w:color="auto"/>
        <w:right w:val="none" w:sz="0" w:space="0" w:color="auto"/>
      </w:divBdr>
    </w:div>
    <w:div w:id="2094663255">
      <w:bodyDiv w:val="1"/>
      <w:marLeft w:val="0"/>
      <w:marRight w:val="0"/>
      <w:marTop w:val="0"/>
      <w:marBottom w:val="0"/>
      <w:divBdr>
        <w:top w:val="none" w:sz="0" w:space="0" w:color="auto"/>
        <w:left w:val="none" w:sz="0" w:space="0" w:color="auto"/>
        <w:bottom w:val="none" w:sz="0" w:space="0" w:color="auto"/>
        <w:right w:val="none" w:sz="0" w:space="0" w:color="auto"/>
      </w:divBdr>
    </w:div>
    <w:div w:id="211721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business.nasdaq.com/nasdaq-futures/nfx-market"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microsoft.com/office/2007/relationships/stylesWithEffects" Target="stylesWithEffects.xml"/><Relationship Id="rId12" Type="http://schemas.openxmlformats.org/officeDocument/2006/relationships/hyperlink" Target="http://business.nasdaq.com/nasdaq-futures/nfx-market" TargetMode="External"/><Relationship Id="rId17" Type="http://schemas.openxmlformats.org/officeDocument/2006/relationships/hyperlink" Target="file:///\\us02orgfps01\carrigad$\business.nasdaq.com\future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ShieldsS\AppData\Local\Microsoft\Windows\Temporary%20Internet%20Files\Content.Outlook\HL8FUUUH\business.nasdaq.com\futures"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header" Target="header1.xml"/><Relationship Id="rId27"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nasdaqomxphlx.cchwallstreet.com/NASDAQOMXPHLXTools/PlatformViewer.asp?selectednode=chp_1_1_1_9&amp;manual=%2Fnasdaqomxphlx%2Fnfx%2Fphlx-brdtrade-rules%2F" TargetMode="External"/><Relationship Id="rId1" Type="http://schemas.openxmlformats.org/officeDocument/2006/relationships/hyperlink" Target="http://nasdaqomxphlx.cchwallstreet.com/NASDAQOMXPHLX/NF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bradfors\Local%20Settings\Temporary%20Internet%20Files\Content.Outlook\IHSB84SX\NASDAQ%20Futures%20NFX_Philadelphia%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RCT xmlns="4b47aac5-4c46-444f-8595-ce09b406fc61">false</RCT>
    <DocGuid xmlns="4b47aac5-4c46-444f-8595-ce09b406fc61">02743714-891d-4217-a892-0860c52083c1</DocGuid>
    <Published xmlns="4b47aac5-4c46-444f-8595-ce09b406fc61">false</Published>
    <Document_x0020_Type xmlns="4b47aac5-4c46-444f-8595-ce09b406fc61">Submission</Document_x0020_Type>
    <Amendment_x0020_No xmlns="4b47aac5-4c46-444f-8595-ce09b406fc61">0</Amendment_x0020_No>
    <Publication_x0020_Url xmlns="4b47aac5-4c46-444f-8595-ce09b406fc61">
      <Url xsi:nil="true"/>
      <Description xsi:nil="true"/>
    </Publication_x0020_Url>
    <Document_x0020_Date xmlns="4b47aac5-4c46-444f-8595-ce09b406fc61">2016-04-04T20:18:06+00:00</Document_x0020_Date>
    <Document_x0020_No xmlns="4b47aac5-4c46-444f-8595-ce09b406fc61">23609</Document_x0020_No>
  </documentManagement>
</p:properties>
</file>

<file path=customXml/item4.xml><?xml version="1.0" encoding="utf-8"?>
<ct:contentTypeSchema xmlns:ct="http://schemas.microsoft.com/office/2006/metadata/contentType" xmlns:ma="http://schemas.microsoft.com/office/2006/metadata/properties/metaAttributes" ct:_="" ma:_="" ma:contentTypeName="Submission Document" ma:contentTypeID="0x01010045B0BEB1BCDC4B408D1662109AEB463800F62E73A1F670314296D6E6EFEA0FFF39" ma:contentTypeVersion="0" ma:contentTypeDescription="" ma:contentTypeScope="" ma:versionID="c98075efb68efcbdea0371e3905cca6b">
  <xsd:schema xmlns:xsd="http://www.w3.org/2001/XMLSchema" xmlns:xs="http://www.w3.org/2001/XMLSchema" xmlns:p="http://schemas.microsoft.com/office/2006/metadata/properties" xmlns:ns2="4b47aac5-4c46-444f-8595-ce09b406fc61" targetNamespace="http://schemas.microsoft.com/office/2006/metadata/properties" ma:root="true" ma:fieldsID="cfab141f4ac74c12a3ce95ffcab93f41" ns2:_="">
    <xsd:import namespace="4b47aac5-4c46-444f-8595-ce09b406fc61"/>
    <xsd:element name="properties">
      <xsd:complexType>
        <xsd:sequence>
          <xsd:element name="documentManagement">
            <xsd:complexType>
              <xsd:all>
                <xsd:element ref="ns2:Document_x0020_No" minOccurs="0"/>
                <xsd:element ref="ns2:Document_x0020_Date" minOccurs="0"/>
                <xsd:element ref="ns2:RCT" minOccurs="0"/>
                <xsd:element ref="ns2:Amendment_x0020_No" minOccurs="0"/>
                <xsd:element ref="ns2:Publication_x0020_Url" minOccurs="0"/>
                <xsd:element ref="ns2:Published" minOccurs="0"/>
                <xsd:element ref="ns2:DocGu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aac5-4c46-444f-8595-ce09b406fc61" elementFormDefault="qualified">
    <xsd:import namespace="http://schemas.microsoft.com/office/2006/documentManagement/types"/>
    <xsd:import namespace="http://schemas.microsoft.com/office/infopath/2007/PartnerControls"/>
    <xsd:element name="Document_x0020_No" ma:index="8" nillable="true" ma:displayName="Document No" ma:internalName="Document_x0020_No">
      <xsd:simpleType>
        <xsd:restriction base="dms:Text">
          <xsd:maxLength value="255"/>
        </xsd:restriction>
      </xsd:simpleType>
    </xsd:element>
    <xsd:element name="Document_x0020_Date" ma:index="9" nillable="true" ma:displayName="Document Date" ma:format="DateOnly" ma:internalName="Document_x0020_Date">
      <xsd:simpleType>
        <xsd:restriction base="dms:DateTime"/>
      </xsd:simpleType>
    </xsd:element>
    <xsd:element name="RCT" ma:index="10" nillable="true" ma:displayName="RCT" ma:default="0" ma:internalName="RCT">
      <xsd:simpleType>
        <xsd:restriction base="dms:Boolean"/>
      </xsd:simpleType>
    </xsd:element>
    <xsd:element name="Amendment_x0020_No" ma:index="11" nillable="true" ma:displayName="Amendment No" ma:internalName="Amendment_x0020_No">
      <xsd:simpleType>
        <xsd:restriction base="dms:Text">
          <xsd:maxLength value="255"/>
        </xsd:restriction>
      </xsd:simpleType>
    </xsd:element>
    <xsd:element name="Publication_x0020_Url" ma:index="12" nillable="true" ma:displayName="Publication Url" ma:format="Hyperlink" ma:internalName="Public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3" nillable="true" ma:displayName="Published" ma:default="0" ma:internalName="Published">
      <xsd:simpleType>
        <xsd:restriction base="dms:Boolean"/>
      </xsd:simpleType>
    </xsd:element>
    <xsd:element name="DocGuid" ma:index="14" nillable="true" ma:displayName="DocGuid" ma:internalName="DocGuid">
      <xsd:simpleType>
        <xsd:restriction base="dms:Text">
          <xsd:maxLength value="255"/>
        </xsd:restriction>
      </xsd:simpleType>
    </xsd:element>
    <xsd:element name="Document_x0020_Type" ma:index="15" nillable="true" ma:displayName="Document Type" ma:default="Submission" ma:format="Dropdown" ma:internalName="Document_x0020_Type">
      <xsd:simpleType>
        <xsd:restriction base="dms:Choice">
          <xsd:enumeration value="Cover Sheet"/>
          <xsd:enumeration value="Submission"/>
          <xsd:enumeration value="Confidential Treatment"/>
          <xsd:enumeration value="Syste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f8ddc925-75d6-4761-96b6-1b97e4890734" ContentTypeId="0x01010045B0BEB1BCDC4B408D1662109AEB4638" PreviousValue="false"/>
</file>

<file path=customXml/itemProps1.xml><?xml version="1.0" encoding="utf-8"?>
<ds:datastoreItem xmlns:ds="http://schemas.openxmlformats.org/officeDocument/2006/customXml" ds:itemID="{78620C7F-5E31-4E56-A0A7-D568BD1D978D}"/>
</file>

<file path=customXml/itemProps2.xml><?xml version="1.0" encoding="utf-8"?>
<ds:datastoreItem xmlns:ds="http://schemas.openxmlformats.org/officeDocument/2006/customXml" ds:itemID="{B184A8EE-3483-42B9-B39C-FFC6B1B9097D}"/>
</file>

<file path=customXml/itemProps3.xml><?xml version="1.0" encoding="utf-8"?>
<ds:datastoreItem xmlns:ds="http://schemas.openxmlformats.org/officeDocument/2006/customXml" ds:itemID="{EF15CA83-F73B-409E-94A8-CA292E015980}"/>
</file>

<file path=customXml/itemProps4.xml><?xml version="1.0" encoding="utf-8"?>
<ds:datastoreItem xmlns:ds="http://schemas.openxmlformats.org/officeDocument/2006/customXml" ds:itemID="{D202C8D3-6A92-4662-B81B-72ED1012613F}"/>
</file>

<file path=customXml/itemProps5.xml><?xml version="1.0" encoding="utf-8"?>
<ds:datastoreItem xmlns:ds="http://schemas.openxmlformats.org/officeDocument/2006/customXml" ds:itemID="{35F96F03-0FF1-480C-981C-52BD92092C1B}"/>
</file>

<file path=docProps/app.xml><?xml version="1.0" encoding="utf-8"?>
<Properties xmlns="http://schemas.openxmlformats.org/officeDocument/2006/extended-properties" xmlns:vt="http://schemas.openxmlformats.org/officeDocument/2006/docPropsVTypes">
  <Template>NASDAQ Futures NFX_Philadelphia letterhead</Template>
  <TotalTime>1</TotalTime>
  <Pages>10</Pages>
  <Words>2479</Words>
  <Characters>14134</Characters>
  <Application>Microsoft Office Word</Application>
  <DocSecurity>6</DocSecurity>
  <Lines>117</Lines>
  <Paragraphs>33</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16580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Certification</dc:title>
  <dc:creator>Shari Bradford</dc:creator>
  <cp:lastModifiedBy>Alejandro Aguayo</cp:lastModifiedBy>
  <cp:revision>2</cp:revision>
  <cp:lastPrinted>2016-04-01T15:42:00Z</cp:lastPrinted>
  <dcterms:created xsi:type="dcterms:W3CDTF">2016-04-04T20:12:00Z</dcterms:created>
  <dcterms:modified xsi:type="dcterms:W3CDTF">2016-04-04T20:12:00Z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0x01010045B0BEB1BCDC4B408D1662109AEB463800F62E73A1F670314296D6E6EFEA0FFF39</vt:lpwstr>
  </property>
  <property fmtid="{D5CDD505-2E9C-101B-9397-08002B2CF9AE}" pid="3" name="_CopySource">
    <vt:lpwstr>\Cftc.gov</vt:lpwstr>
  </property>
  <property fmtid="{D5CDD505-2E9C-101B-9397-08002B2CF9AE}" pid="4" name="Order">
    <vt:r8>2394600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