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2E" w:rsidRPr="002511E3" w:rsidRDefault="00761C2E" w:rsidP="00761C2E">
      <w:pPr>
        <w:spacing w:before="150" w:after="1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2511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Exhibit A to SR-NFX-2019-</w:t>
      </w:r>
      <w:r w:rsidR="00F66173" w:rsidRPr="00F661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14</w:t>
      </w:r>
    </w:p>
    <w:p w:rsidR="00761C2E" w:rsidRPr="002511E3" w:rsidRDefault="00761C2E" w:rsidP="00761C2E">
      <w:pPr>
        <w:spacing w:before="150" w:after="15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61C2E" w:rsidRPr="002511E3" w:rsidRDefault="00761C2E" w:rsidP="00761C2E">
      <w:pPr>
        <w:rPr>
          <w:rFonts w:ascii="Times New Roman" w:hAnsi="Times New Roman" w:cs="Times New Roman"/>
          <w:sz w:val="24"/>
          <w:szCs w:val="24"/>
        </w:rPr>
      </w:pPr>
      <w:r w:rsidRPr="002511E3">
        <w:rPr>
          <w:rFonts w:ascii="Times New Roman" w:hAnsi="Times New Roman" w:cs="Times New Roman"/>
          <w:sz w:val="24"/>
          <w:szCs w:val="24"/>
        </w:rPr>
        <w:t xml:space="preserve">New language is </w:t>
      </w:r>
      <w:r w:rsidRPr="002511E3">
        <w:rPr>
          <w:rFonts w:ascii="Times New Roman" w:hAnsi="Times New Roman" w:cs="Times New Roman"/>
          <w:sz w:val="24"/>
          <w:szCs w:val="24"/>
          <w:u w:val="single"/>
        </w:rPr>
        <w:t>underlined</w:t>
      </w:r>
      <w:r w:rsidRPr="002511E3">
        <w:rPr>
          <w:rFonts w:ascii="Times New Roman" w:hAnsi="Times New Roman" w:cs="Times New Roman"/>
          <w:sz w:val="24"/>
          <w:szCs w:val="24"/>
        </w:rPr>
        <w:t>.</w:t>
      </w:r>
    </w:p>
    <w:p w:rsidR="00761C2E" w:rsidRPr="002511E3" w:rsidRDefault="00761C2E" w:rsidP="00761C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E3">
        <w:rPr>
          <w:rFonts w:ascii="Times New Roman" w:eastAsia="Times New Roman" w:hAnsi="Times New Roman" w:cs="Times New Roman"/>
          <w:b/>
          <w:bCs/>
          <w:sz w:val="24"/>
          <w:szCs w:val="24"/>
        </w:rPr>
        <w:t>Rulebook Appendix A - Listed Contracts</w:t>
      </w:r>
      <w:bookmarkStart w:id="0" w:name="_GoBack"/>
      <w:bookmarkEnd w:id="0"/>
    </w:p>
    <w:p w:rsidR="00761C2E" w:rsidRPr="002511E3" w:rsidRDefault="00761C2E" w:rsidP="00761C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x-policymanual-phlx-philabot_Aintro"/>
      <w:bookmarkStart w:id="2" w:name="chp_1_1_1_9_1"/>
      <w:bookmarkEnd w:id="1"/>
      <w:bookmarkEnd w:id="2"/>
      <w:r w:rsidRPr="002511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Introduction   </w:t>
      </w:r>
    </w:p>
    <w:p w:rsidR="00761C2E" w:rsidRPr="002511E3" w:rsidRDefault="00761C2E" w:rsidP="00761C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* * * *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417"/>
        <w:gridCol w:w="7285"/>
      </w:tblGrid>
      <w:tr w:rsidR="00761C2E" w:rsidRPr="002511E3" w:rsidTr="00761C2E">
        <w:tc>
          <w:tcPr>
            <w:tcW w:w="1417" w:type="dxa"/>
          </w:tcPr>
          <w:p w:rsidR="00761C2E" w:rsidRPr="002511E3" w:rsidRDefault="00761C2E" w:rsidP="00D068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E3"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7285" w:type="dxa"/>
          </w:tcPr>
          <w:p w:rsidR="00761C2E" w:rsidRPr="002511E3" w:rsidRDefault="00761C2E" w:rsidP="00D068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E3">
              <w:rPr>
                <w:rFonts w:ascii="Times New Roman" w:hAnsi="Times New Roman" w:cs="Times New Roman"/>
                <w:b/>
                <w:sz w:val="24"/>
                <w:szCs w:val="24"/>
              </w:rPr>
              <w:t>PRODUCT NAME AND SYMBOL</w:t>
            </w:r>
          </w:p>
        </w:tc>
      </w:tr>
      <w:tr w:rsidR="00761C2E" w:rsidRPr="002511E3" w:rsidTr="00761C2E">
        <w:tc>
          <w:tcPr>
            <w:tcW w:w="1417" w:type="dxa"/>
          </w:tcPr>
          <w:p w:rsidR="00761C2E" w:rsidRPr="002511E3" w:rsidRDefault="00761C2E" w:rsidP="00D068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5" w:type="dxa"/>
          </w:tcPr>
          <w:p w:rsidR="00761C2E" w:rsidRPr="002511E3" w:rsidRDefault="00761C2E" w:rsidP="00D068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C2E" w:rsidRPr="002511E3" w:rsidTr="00761C2E">
        <w:tc>
          <w:tcPr>
            <w:tcW w:w="1417" w:type="dxa"/>
          </w:tcPr>
          <w:p w:rsidR="00761C2E" w:rsidRPr="002511E3" w:rsidRDefault="00761C2E" w:rsidP="00D068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5" w:type="dxa"/>
          </w:tcPr>
          <w:p w:rsidR="00761C2E" w:rsidRPr="002511E3" w:rsidRDefault="00761C2E" w:rsidP="00D068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E3">
              <w:rPr>
                <w:rFonts w:ascii="Times New Roman" w:hAnsi="Times New Roman" w:cs="Times New Roman"/>
                <w:b/>
                <w:sz w:val="24"/>
                <w:szCs w:val="24"/>
              </w:rPr>
              <w:t>OIL AND REFINED PRODUCTS – No Change</w:t>
            </w:r>
          </w:p>
        </w:tc>
      </w:tr>
      <w:tr w:rsidR="00761C2E" w:rsidRPr="002511E3" w:rsidTr="00761C2E">
        <w:trPr>
          <w:trHeight w:val="359"/>
        </w:trPr>
        <w:tc>
          <w:tcPr>
            <w:tcW w:w="1417" w:type="dxa"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5" w:type="dxa"/>
            <w:noWrap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2E" w:rsidRPr="002511E3" w:rsidTr="00761C2E">
        <w:trPr>
          <w:trHeight w:val="359"/>
        </w:trPr>
        <w:tc>
          <w:tcPr>
            <w:tcW w:w="1417" w:type="dxa"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5" w:type="dxa"/>
            <w:noWrap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E3">
              <w:rPr>
                <w:rFonts w:ascii="Times New Roman" w:hAnsi="Times New Roman" w:cs="Times New Roman"/>
                <w:b/>
                <w:sz w:val="24"/>
                <w:szCs w:val="24"/>
              </w:rPr>
              <w:t>NATURAL GAR PRODUCTS – No Change</w:t>
            </w:r>
          </w:p>
        </w:tc>
      </w:tr>
      <w:tr w:rsidR="00761C2E" w:rsidRPr="002511E3" w:rsidTr="00761C2E">
        <w:trPr>
          <w:trHeight w:val="359"/>
        </w:trPr>
        <w:tc>
          <w:tcPr>
            <w:tcW w:w="1417" w:type="dxa"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5" w:type="dxa"/>
            <w:noWrap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C2E" w:rsidRPr="002511E3" w:rsidTr="00761C2E">
        <w:trPr>
          <w:trHeight w:val="359"/>
        </w:trPr>
        <w:tc>
          <w:tcPr>
            <w:tcW w:w="1417" w:type="dxa"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5" w:type="dxa"/>
            <w:noWrap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POWER CONTRACTS </w:t>
            </w:r>
          </w:p>
        </w:tc>
      </w:tr>
      <w:tr w:rsidR="00761C2E" w:rsidRPr="002511E3" w:rsidTr="00761C2E">
        <w:trPr>
          <w:trHeight w:val="359"/>
        </w:trPr>
        <w:tc>
          <w:tcPr>
            <w:tcW w:w="1417" w:type="dxa"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5" w:type="dxa"/>
            <w:noWrap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305D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ISO-NE Massachusetts Hub Day-Ahead Off-Peak Mini Financial Futures – 10MWh (NOTQ)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307D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MISO Indiana Hub Real-Time Off-Peak Mini Financial Futures – 10MWh (CPTQ)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309D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PJM AEP Dayton Hub Real-Time Off-Peak Mini Financial Futures – 10 MWh (AOTQ)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311D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PJM Northern Illinois Hub Real-Time Off-Peak Mini Financial Futures – 10MWh (NITQ)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314D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PJM Western Hub Day-Ahead Off-Peak Mini Financial Futures - 10MWh (PJTQ)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315D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PJM Western Hub Real-Time Off-Peak Mini Financial Futures - 10MWh (OPTQ)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326D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PJM AEP Dayton Hub Day-Ahead Off-Peak Mini Financial Futures – 10MWh (ADTQ)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328D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PJM Northern Illinois Hub Day-Ahead Off-Peak Mini Financial Futures - 10MWh (NDTQ)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330D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MISO Indiana Hub Day-Ahead Off-Peak Mini Financial Futures-10MWh (MCTQ)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332D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NYISO Zone A Day-Ahead Off-Peak Mini Financial Futures – 10MWh (APTQ)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334D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NYISO Zone C Day-Ahead Off-Peak Mini Financial Futures – 10MWh (NCTQ)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336D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NYISO Zone D Day-Ahead Off-Peak Mini Financial Futures – 10MWh (NETQ)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338D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NYISO Zone F Day-Ahead Off-Peak Mini Financial Futures - 10MWh (NFTQ)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340D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NYISO Zone G Day-Ahead Off-Peak Mini Financial Futures – 10MWh (NGTQ)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342D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NYISO Zone J Day-Ahead Off-Peak Mini Financial Futures – 10MWh (NJTQ)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344D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PJM ATSI Zone Day-Ahead Off-Peak Mini Financial Futures - 10MWh (POTQ)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346D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PJM PSEG Zone Day-Ahead Off-Peak Mini Financial Futures – 10MWh (PGTQ)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348D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PJM JCPL Zone Day-Ahead Off-Peak Mini Financial Futures - 10MWh (PLTQ)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350D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PJM PEPCO Zone Day-Ahead Off-Peak Mini Financial Futures - 10MWh (PCTQ)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352D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PJM PECO Zone Day-Ahead Off-Peak Mini Financial Futures – 10MWh (PITQ)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354D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MISO Minnesota Hub Day-Ahead Off-Peak Mini Financial Futures – 10MWh (MFTQ)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356D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PJM BGE Zone Day-Ahead Off-Peak Mini Financial Futures - 10MWh (BGTQ)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358D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PJM PPL Zone Day-Ahead Off-Peak Mini Financial Futures - 10MWh (PPTQ)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360D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NFX PJM </w:t>
            </w:r>
            <w:proofErr w:type="spellStart"/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ComEd</w:t>
            </w:r>
            <w:proofErr w:type="spellEnd"/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Zone Day-Ahead Off-Peak Mini Financial Futures - 10MWh (DFTQ)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362D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PJM AECO Zone Day-Ahead Off-Peak Mini Financial Futures - 10MWh (XFTQ)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364D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PJM FE-Ohio Day-Ahead Off-Peak Mini Financial Futures - 10MWh (PETQ)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366D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PJM METED Zone Day-Ahead Off-Peak Mini Financial Futures - 10MWh (FFTQ)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368D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ISO-NE Connecticut Zone Day-Ahead Off-Peak Mini Financial Futures - 10MWh (IOTQ)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370D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PJM DEOK Zone Day-Ahead Off-Peak Mini Financial Futures - 10MWh (DETQ)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372D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PJM DOM Zone Day-Ahead Off-Peak Mini Financial Futures - 10MWh (DMTQ)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374D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PJM PENELEC Zone Day-Ahead Off-Peak Mini Financial Futures - 10MWh (PDTQ)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376D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PJM DPL Zone Day-Ahead Off-Peak Mini Financial Futures - 10MWh (PYTQ)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378D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ISO-NE North East Massachusetts Zone Day-Ahead Off-Peak Mini Financial Futures - 10MWh (ATTQ)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380D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ISO-NE Maine Zone Day-Ahead Off-Peak Mini Financial Futures - 10MWh (IDTQ)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382D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ISO-NE Rhode Island Zone Day-Ahead Off-Peak Mini Financial Futures - 10MWh (RZTQ)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384D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ISO-NE New Hampshire Zone Day-Ahead Off-Peak Mini Financial Futures - 10MWh (IIDQ)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386D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MISO Michigan Hub Day-Ahead Off-Peak Mini Financial Futures - 10MWh (MQTQ)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388D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MISO AMIL.BGS6 Day-Ahead Off-Peak Mini Financial Futures - 10MWh (BFTQ)</w:t>
            </w:r>
          </w:p>
        </w:tc>
      </w:tr>
      <w:tr w:rsidR="00761C2E" w:rsidRPr="00761C2E" w:rsidTr="00761C2E">
        <w:trPr>
          <w:trHeight w:val="288"/>
        </w:trPr>
        <w:tc>
          <w:tcPr>
            <w:tcW w:w="1417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390D</w:t>
            </w:r>
          </w:p>
        </w:tc>
        <w:tc>
          <w:tcPr>
            <w:tcW w:w="7285" w:type="dxa"/>
            <w:noWrap/>
            <w:hideMark/>
          </w:tcPr>
          <w:p w:rsidR="00761C2E" w:rsidRPr="00BD7461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NFX MISO Arkansas Hub Day-Ahead Off-Peak Mini Financial Futures - 10MWh (AFTQ)</w:t>
            </w:r>
          </w:p>
        </w:tc>
      </w:tr>
      <w:tr w:rsidR="00761C2E" w:rsidRPr="002511E3" w:rsidTr="00761C2E">
        <w:trPr>
          <w:trHeight w:val="288"/>
        </w:trPr>
        <w:tc>
          <w:tcPr>
            <w:tcW w:w="1417" w:type="dxa"/>
            <w:noWrap/>
          </w:tcPr>
          <w:p w:rsidR="00761C2E" w:rsidRPr="002511E3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285" w:type="dxa"/>
            <w:noWrap/>
          </w:tcPr>
          <w:p w:rsidR="00761C2E" w:rsidRPr="002511E3" w:rsidRDefault="00761C2E" w:rsidP="00D0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1C2E" w:rsidRPr="002511E3" w:rsidTr="00761C2E">
        <w:trPr>
          <w:trHeight w:val="359"/>
        </w:trPr>
        <w:tc>
          <w:tcPr>
            <w:tcW w:w="1417" w:type="dxa"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5" w:type="dxa"/>
            <w:noWrap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E3">
              <w:rPr>
                <w:rFonts w:ascii="Times New Roman" w:hAnsi="Times New Roman" w:cs="Times New Roman"/>
                <w:b/>
                <w:sz w:val="24"/>
                <w:szCs w:val="24"/>
              </w:rPr>
              <w:t>PETROCHEMICLE PRODUCTS – No Change</w:t>
            </w:r>
          </w:p>
        </w:tc>
      </w:tr>
      <w:tr w:rsidR="00761C2E" w:rsidRPr="002511E3" w:rsidTr="00761C2E">
        <w:trPr>
          <w:trHeight w:val="359"/>
        </w:trPr>
        <w:tc>
          <w:tcPr>
            <w:tcW w:w="1417" w:type="dxa"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5" w:type="dxa"/>
            <w:noWrap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C2E" w:rsidRPr="002511E3" w:rsidTr="00761C2E">
        <w:trPr>
          <w:trHeight w:val="359"/>
        </w:trPr>
        <w:tc>
          <w:tcPr>
            <w:tcW w:w="1417" w:type="dxa"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5" w:type="dxa"/>
            <w:noWrap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E3">
              <w:rPr>
                <w:rFonts w:ascii="Times New Roman" w:hAnsi="Times New Roman" w:cs="Times New Roman"/>
                <w:b/>
                <w:sz w:val="24"/>
                <w:szCs w:val="24"/>
              </w:rPr>
              <w:t>FERROUS METALS – No Change</w:t>
            </w:r>
          </w:p>
        </w:tc>
      </w:tr>
      <w:tr w:rsidR="00761C2E" w:rsidRPr="002511E3" w:rsidTr="00761C2E">
        <w:trPr>
          <w:trHeight w:val="359"/>
        </w:trPr>
        <w:tc>
          <w:tcPr>
            <w:tcW w:w="1417" w:type="dxa"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5" w:type="dxa"/>
            <w:noWrap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C2E" w:rsidRPr="002511E3" w:rsidTr="00761C2E">
        <w:trPr>
          <w:trHeight w:val="359"/>
        </w:trPr>
        <w:tc>
          <w:tcPr>
            <w:tcW w:w="1417" w:type="dxa"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5" w:type="dxa"/>
            <w:noWrap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E3">
              <w:rPr>
                <w:rFonts w:ascii="Times New Roman" w:hAnsi="Times New Roman" w:cs="Times New Roman"/>
                <w:b/>
                <w:sz w:val="24"/>
                <w:szCs w:val="24"/>
              </w:rPr>
              <w:t>TANKER FREIGHT – No Change</w:t>
            </w:r>
          </w:p>
        </w:tc>
      </w:tr>
      <w:tr w:rsidR="00761C2E" w:rsidRPr="002511E3" w:rsidTr="00761C2E">
        <w:trPr>
          <w:trHeight w:val="359"/>
        </w:trPr>
        <w:tc>
          <w:tcPr>
            <w:tcW w:w="1417" w:type="dxa"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5" w:type="dxa"/>
            <w:noWrap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C2E" w:rsidRPr="002511E3" w:rsidTr="00761C2E">
        <w:trPr>
          <w:trHeight w:val="359"/>
        </w:trPr>
        <w:tc>
          <w:tcPr>
            <w:tcW w:w="1417" w:type="dxa"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5" w:type="dxa"/>
            <w:noWrap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E3">
              <w:rPr>
                <w:rFonts w:ascii="Times New Roman" w:hAnsi="Times New Roman" w:cs="Times New Roman"/>
                <w:b/>
                <w:sz w:val="24"/>
                <w:szCs w:val="24"/>
              </w:rPr>
              <w:t>DRY FREIGHT – No Change</w:t>
            </w:r>
          </w:p>
        </w:tc>
      </w:tr>
      <w:tr w:rsidR="00761C2E" w:rsidRPr="002511E3" w:rsidTr="00761C2E">
        <w:trPr>
          <w:trHeight w:val="359"/>
        </w:trPr>
        <w:tc>
          <w:tcPr>
            <w:tcW w:w="1417" w:type="dxa"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5" w:type="dxa"/>
            <w:noWrap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C2E" w:rsidRPr="002511E3" w:rsidTr="00761C2E">
        <w:trPr>
          <w:trHeight w:val="359"/>
        </w:trPr>
        <w:tc>
          <w:tcPr>
            <w:tcW w:w="1417" w:type="dxa"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5" w:type="dxa"/>
            <w:noWrap/>
          </w:tcPr>
          <w:p w:rsidR="00761C2E" w:rsidRPr="002511E3" w:rsidRDefault="00761C2E" w:rsidP="00D068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E3">
              <w:rPr>
                <w:rFonts w:ascii="Times New Roman" w:hAnsi="Times New Roman" w:cs="Times New Roman"/>
                <w:b/>
                <w:sz w:val="24"/>
                <w:szCs w:val="24"/>
              </w:rPr>
              <w:t>TREASURY FUTURES – No Change</w:t>
            </w:r>
          </w:p>
        </w:tc>
      </w:tr>
    </w:tbl>
    <w:p w:rsidR="00761C2E" w:rsidRPr="002511E3" w:rsidRDefault="00761C2E" w:rsidP="00761C2E">
      <w:pPr>
        <w:pStyle w:val="Heading4"/>
        <w:spacing w:before="150" w:beforeAutospacing="0" w:after="15" w:afterAutospacing="0"/>
        <w:rPr>
          <w:color w:val="333333"/>
        </w:rPr>
      </w:pPr>
    </w:p>
    <w:p w:rsidR="00761C2E" w:rsidRPr="002511E3" w:rsidRDefault="00761C2E" w:rsidP="00761C2E">
      <w:pPr>
        <w:pStyle w:val="Heading4"/>
        <w:spacing w:before="150" w:beforeAutospacing="0" w:after="15" w:afterAutospacing="0"/>
        <w:rPr>
          <w:color w:val="333333"/>
        </w:rPr>
      </w:pPr>
      <w:r w:rsidRPr="002511E3">
        <w:rPr>
          <w:color w:val="333333"/>
        </w:rPr>
        <w:t>*****</w:t>
      </w:r>
    </w:p>
    <w:p w:rsidR="00761C2E" w:rsidRPr="002511E3" w:rsidRDefault="00761C2E" w:rsidP="00761C2E">
      <w:pPr>
        <w:pStyle w:val="Heading4"/>
        <w:spacing w:before="150" w:beforeAutospacing="0" w:after="15" w:afterAutospacing="0"/>
        <w:rPr>
          <w:color w:val="333333"/>
        </w:rPr>
      </w:pP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305D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ISO-NE Massachusetts Hub Day-Ahead Off-Peak Mini Financial Futures – 10MWh (NOTQ)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305D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10 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307D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MISO Indiana Hub Real-Time Off-Peak Mini Financial Futures – 10MWh (CPTQ)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307D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10 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lastRenderedPageBreak/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309D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AEP Dayton Hub Real-Time Off-Peak Mini Financial Futures – 10 MWh (AOTQ)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309D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10 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311D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Northern Illinois Hub Real-Time Off-Peak Mini Financial Futures – 10MWh (NITQ)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311D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10 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314D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Western Hub Day-Ahead Off-Peak Mini Financial Futures - 10MWh (PJTQ)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314D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315D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Western Hub Real-Time Off-Peak Mini Financial Futures - 10MWh (OPTQ)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315D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10 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lastRenderedPageBreak/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326D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AEP Dayton Hub Day-Ahead Off-Peak Mini Financial Futures – 10MWh (ADTQ)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326D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328D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Northern Illinois Hub Day-Ahead Off-Peak Mini Financial Futures - 10MWh (NDTQ)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328D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330D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MISO Indiana Hub Day-Ahead Off-Peak Mini Financial Futures-10MWh (MCTQ)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330D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332D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NYISO Zone A Day-Ahead Off-Peak Mini Financial Futures – 10MWh (APTQ)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332D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lastRenderedPageBreak/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334D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NYISO Zone C Day-Ahead Off-Peak Mini Financial Futures – 10MWh (NCTQ)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334D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336D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NYISO Zone D Day-Ahead Off-Peak Mini Financial Futures – 10MWh (NETQ)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336D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338D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NYISO Zone F Day-Ahead Off-Peak Mini Financial Futures - 10MWh (NFTQ)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338D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340D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NYISO Zone G Day-Ahead Off-Peak Mini Financial Futures – 10MWh (NGTQ)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340D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lastRenderedPageBreak/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342D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NYISO Zone J Day-Ahead Off-Peak Mini Financial Futures – 10MWh (NJTQ)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342D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344D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ATSI Zone Day-Ahead Off-Peak Mini Financial Futures - 10MWh (POTQ)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344D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346D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PSEG Zone Day-Ahead Off-Peak Mini Financial Futures – 10MWh (PGTQ)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346D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348D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JCPL Zone Day-Ahead Off-Peak Mini Financial Futures - 10MWh (PLTQ)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348D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lastRenderedPageBreak/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350D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PEPCO Zone Day-Ahead Off-Peak Mini Financial Futures - 10MWh (PCTQ)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350D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352D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PECO Zone Day-Ahead Off-Peak Mini Financial Futures – 10MWh (PITQ)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352D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354D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MISO Minnesota Hub Day-Ahead Off-Peak Mini Financial Futures – 10MWh (MFTQ)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354D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356D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BGE Zone Day-Ahead Off-Peak Mini Financial Futures - 10MWh (BGTQ)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356D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lastRenderedPageBreak/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358D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PPL Zone Day-Ahead Off-Peak Mini Financial Futures - 10MWh (PPTQ)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358D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360D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ComEd Zone Day-Ahead Off-Peak Mini Financial Futures - 10MWh (DFTQ)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360D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362D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AECO Zone Day-Ahead Off-Peak Mini Financial Futures - 10MWh (XFTQ)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362D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364D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FE-Ohio Day-Ahead Off-Peak Mini Financial Futures - 10MWh (PETQ)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364D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lastRenderedPageBreak/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366D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METED Zone Day-Ahead Off-Peak Mini Financial Futures - 10MWh (FFTQ)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366D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368D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ISO-NE Connecticut Zone Day-Ahead Off-Peak Mini Financial Futures - 10MWh (IOTQ)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368D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370D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DEOK Zone Day-Ahead Off-Peak Mini Financial Futures - 10MWh (DETQ)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370D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372D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DOM Zone Day-Ahead Off-Peak Mini Financial Futures - 10MWh (DMTQ)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372D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lastRenderedPageBreak/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374D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PENELEC Zone Day-Ahead Off-Peak Mini Financial Futures - 10MWh (PDTQ)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374D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376D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PJM DPL Zone Day-Ahead Off-Peak Mini Financial Futures - 10MWh (PYTQ)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376D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378D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ISO-NE North East Massachusetts Zone Day-Ahead Off-Peak Mini Financial Futures - 10MWh (ATTQ)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378D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380D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ISO-NE Maine Zone Day-Ahead Off-Peak Mini Financial Futures - 10MWh (IDTQ)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380D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lastRenderedPageBreak/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382D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ISO-NE Rhode Island Zone Day-Ahead Off-Peak Mini Financial Futures - 10MWh (RZTQ)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382D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384D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ISO-NE New Hampshire Zone Day-Ahead Off-Peak Mini Financial Futures - 10MWh (IIDQ)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384D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386D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MISO Michigan Hub Day-Ahead Off-Peak Mini Financial Futures - 10MWh (MQTQ)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386D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388D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MISO AMIL.BGS6 Day-Ahead Off-Peak Mini Financial Futures - 10MWh (BFTQ)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388D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lastRenderedPageBreak/>
        <w:t>* * * * *</w:t>
      </w:r>
    </w:p>
    <w:p w:rsidR="00761C2E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BB5396">
        <w:rPr>
          <w:color w:val="333333"/>
          <w:u w:val="single"/>
        </w:rPr>
        <w:t xml:space="preserve">Chapter </w:t>
      </w:r>
      <w:r w:rsidRPr="008961B6">
        <w:rPr>
          <w:noProof/>
          <w:color w:val="333333"/>
          <w:u w:val="single"/>
        </w:rPr>
        <w:t>390D</w:t>
      </w:r>
      <w:r w:rsidRPr="00BB5396">
        <w:rPr>
          <w:color w:val="333333"/>
          <w:u w:val="single"/>
        </w:rPr>
        <w:t xml:space="preserve"> </w:t>
      </w:r>
      <w:r w:rsidRPr="008961B6">
        <w:rPr>
          <w:noProof/>
          <w:color w:val="000000"/>
          <w:u w:val="single"/>
        </w:rPr>
        <w:t>NFX MISO Arkansas Hub Day-Ahead Off-Peak Mini Financial Futures - 10MWh (AFTQ)</w:t>
      </w:r>
    </w:p>
    <w:p w:rsidR="00761C2E" w:rsidRPr="00D32CC4" w:rsidRDefault="00761C2E" w:rsidP="00D32CC4">
      <w:pPr>
        <w:pStyle w:val="Heading4"/>
        <w:keepNext/>
        <w:spacing w:before="0" w:beforeAutospacing="0" w:after="240" w:afterAutospacing="0"/>
        <w:rPr>
          <w:color w:val="000000"/>
          <w:u w:val="single"/>
        </w:rPr>
      </w:pPr>
      <w:r w:rsidRPr="00D32CC4">
        <w:rPr>
          <w:color w:val="000000"/>
        </w:rPr>
        <w:t>* * * * *</w:t>
      </w:r>
    </w:p>
    <w:p w:rsidR="00761C2E" w:rsidRPr="00D32CC4" w:rsidRDefault="00761C2E" w:rsidP="00B42725">
      <w:pPr>
        <w:pStyle w:val="Heading5"/>
        <w:keepNext/>
        <w:spacing w:before="0" w:beforeAutospacing="0" w:after="0" w:afterAutospacing="0"/>
        <w:rPr>
          <w:color w:val="333333"/>
          <w:sz w:val="24"/>
          <w:szCs w:val="24"/>
          <w:u w:val="single"/>
        </w:rPr>
      </w:pPr>
      <w:r w:rsidRPr="008961B6">
        <w:rPr>
          <w:noProof/>
          <w:color w:val="333333"/>
          <w:sz w:val="24"/>
          <w:szCs w:val="24"/>
          <w:u w:val="single"/>
        </w:rPr>
        <w:t>390D</w:t>
      </w:r>
      <w:r w:rsidRPr="00D32CC4">
        <w:rPr>
          <w:color w:val="333333"/>
          <w:sz w:val="24"/>
          <w:szCs w:val="24"/>
          <w:u w:val="single"/>
        </w:rPr>
        <w:t>.08 Block Trade Minimum Quantity Threshold and Reporting Window</w:t>
      </w:r>
    </w:p>
    <w:p w:rsidR="00761C2E" w:rsidRPr="00D32CC4" w:rsidRDefault="00761C2E" w:rsidP="00B42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B63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B6388"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32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7E003F" w:rsidRDefault="00761C2E" w:rsidP="00D32CC4">
      <w:pPr>
        <w:pStyle w:val="Heading4"/>
        <w:keepNext/>
        <w:spacing w:before="0" w:beforeAutospacing="0" w:after="240" w:afterAutospacing="0"/>
        <w:rPr>
          <w:color w:val="000000"/>
        </w:rPr>
      </w:pPr>
      <w:r w:rsidRPr="00D32CC4">
        <w:rPr>
          <w:color w:val="000000"/>
        </w:rPr>
        <w:t>* * * * *</w:t>
      </w:r>
    </w:p>
    <w:p w:rsidR="007E003F" w:rsidRPr="007E003F" w:rsidRDefault="007E003F" w:rsidP="00D32CC4">
      <w:pPr>
        <w:pStyle w:val="Heading4"/>
        <w:keepNext/>
        <w:spacing w:before="0" w:beforeAutospacing="0" w:after="240" w:afterAutospacing="0"/>
        <w:rPr>
          <w:color w:val="000000"/>
        </w:rPr>
      </w:pPr>
    </w:p>
    <w:sectPr w:rsidR="007E003F" w:rsidRPr="007E003F" w:rsidSect="00B42725">
      <w:headerReference w:type="default" r:id="rId11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8A" w:rsidRDefault="0073008A" w:rsidP="0002299A">
      <w:pPr>
        <w:spacing w:after="0" w:line="240" w:lineRule="auto"/>
      </w:pPr>
      <w:r>
        <w:separator/>
      </w:r>
    </w:p>
  </w:endnote>
  <w:endnote w:type="continuationSeparator" w:id="0">
    <w:p w:rsidR="0073008A" w:rsidRDefault="0073008A" w:rsidP="0002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8A" w:rsidRDefault="0073008A" w:rsidP="0002299A">
      <w:pPr>
        <w:spacing w:after="0" w:line="240" w:lineRule="auto"/>
      </w:pPr>
      <w:r>
        <w:separator/>
      </w:r>
    </w:p>
  </w:footnote>
  <w:footnote w:type="continuationSeparator" w:id="0">
    <w:p w:rsidR="0073008A" w:rsidRDefault="0073008A" w:rsidP="0002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2E" w:rsidRDefault="00761C2E">
    <w:pPr>
      <w:pStyle w:val="Header"/>
    </w:pPr>
    <w:r>
      <w:t>SR-NFX-2019-</w:t>
    </w:r>
    <w:r w:rsidR="00D34171" w:rsidRPr="00D34171">
      <w:t>14</w:t>
    </w:r>
  </w:p>
  <w:p w:rsidR="00761C2E" w:rsidRDefault="00761C2E">
    <w:pPr>
      <w:pStyle w:val="Header"/>
    </w:pPr>
    <w:r>
      <w:t xml:space="preserve">Page </w:t>
    </w:r>
    <w:r w:rsidRPr="00D34171">
      <w:fldChar w:fldCharType="begin"/>
    </w:r>
    <w:r w:rsidRPr="00D34171">
      <w:instrText xml:space="preserve"> PAGE   \* MERGEFORMAT </w:instrText>
    </w:r>
    <w:r w:rsidRPr="00D34171">
      <w:fldChar w:fldCharType="separate"/>
    </w:r>
    <w:r w:rsidR="00BD7461">
      <w:rPr>
        <w:noProof/>
      </w:rPr>
      <w:t>1</w:t>
    </w:r>
    <w:r w:rsidRPr="00D3417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F1F19C2"/>
    <w:multiLevelType w:val="hybridMultilevel"/>
    <w:tmpl w:val="9EA48A96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D36FD"/>
    <w:multiLevelType w:val="hybridMultilevel"/>
    <w:tmpl w:val="9CEC7C6E"/>
    <w:lvl w:ilvl="0" w:tplc="04090001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55CBE"/>
    <w:multiLevelType w:val="hybridMultilevel"/>
    <w:tmpl w:val="9D52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456856"/>
    <w:multiLevelType w:val="hybridMultilevel"/>
    <w:tmpl w:val="BCE0735E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62319"/>
    <w:multiLevelType w:val="hybridMultilevel"/>
    <w:tmpl w:val="28F6CB04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3491C"/>
    <w:multiLevelType w:val="hybridMultilevel"/>
    <w:tmpl w:val="56C89C4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F4B46"/>
    <w:multiLevelType w:val="hybridMultilevel"/>
    <w:tmpl w:val="73701C16"/>
    <w:lvl w:ilvl="0" w:tplc="749E620A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2205C"/>
    <w:multiLevelType w:val="hybridMultilevel"/>
    <w:tmpl w:val="E78EE790"/>
    <w:lvl w:ilvl="0" w:tplc="04090001">
      <w:start w:val="1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8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523172"/>
    <w:multiLevelType w:val="hybridMultilevel"/>
    <w:tmpl w:val="024A257C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16"/>
  </w:num>
  <w:num w:numId="5">
    <w:abstractNumId w:val="30"/>
  </w:num>
  <w:num w:numId="6">
    <w:abstractNumId w:val="18"/>
  </w:num>
  <w:num w:numId="7">
    <w:abstractNumId w:val="10"/>
  </w:num>
  <w:num w:numId="8">
    <w:abstractNumId w:val="21"/>
  </w:num>
  <w:num w:numId="9">
    <w:abstractNumId w:val="23"/>
  </w:num>
  <w:num w:numId="10">
    <w:abstractNumId w:val="9"/>
  </w:num>
  <w:num w:numId="11">
    <w:abstractNumId w:val="11"/>
  </w:num>
  <w:num w:numId="12">
    <w:abstractNumId w:val="13"/>
  </w:num>
  <w:num w:numId="13">
    <w:abstractNumId w:val="29"/>
  </w:num>
  <w:num w:numId="14">
    <w:abstractNumId w:val="19"/>
  </w:num>
  <w:num w:numId="15">
    <w:abstractNumId w:val="17"/>
  </w:num>
  <w:num w:numId="16">
    <w:abstractNumId w:val="1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27"/>
  </w:num>
  <w:num w:numId="27">
    <w:abstractNumId w:val="26"/>
  </w:num>
  <w:num w:numId="28">
    <w:abstractNumId w:val="28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DF"/>
    <w:rsid w:val="000065F7"/>
    <w:rsid w:val="0001522F"/>
    <w:rsid w:val="0002299A"/>
    <w:rsid w:val="000321EC"/>
    <w:rsid w:val="00035C22"/>
    <w:rsid w:val="000455C9"/>
    <w:rsid w:val="00060281"/>
    <w:rsid w:val="00072084"/>
    <w:rsid w:val="00074456"/>
    <w:rsid w:val="00074AE7"/>
    <w:rsid w:val="00094F25"/>
    <w:rsid w:val="000B16AF"/>
    <w:rsid w:val="000D0AAD"/>
    <w:rsid w:val="000D554C"/>
    <w:rsid w:val="000F4F07"/>
    <w:rsid w:val="000F51A2"/>
    <w:rsid w:val="001377C6"/>
    <w:rsid w:val="00141084"/>
    <w:rsid w:val="0015158B"/>
    <w:rsid w:val="001A18A8"/>
    <w:rsid w:val="001A3278"/>
    <w:rsid w:val="001B46D6"/>
    <w:rsid w:val="001D7528"/>
    <w:rsid w:val="001E310D"/>
    <w:rsid w:val="001E45A9"/>
    <w:rsid w:val="001E5B78"/>
    <w:rsid w:val="002100F4"/>
    <w:rsid w:val="00235491"/>
    <w:rsid w:val="00242448"/>
    <w:rsid w:val="00242D83"/>
    <w:rsid w:val="002511E3"/>
    <w:rsid w:val="00267166"/>
    <w:rsid w:val="0027586A"/>
    <w:rsid w:val="002910EE"/>
    <w:rsid w:val="002E4B35"/>
    <w:rsid w:val="002F42B5"/>
    <w:rsid w:val="002F5910"/>
    <w:rsid w:val="003026E9"/>
    <w:rsid w:val="00313F77"/>
    <w:rsid w:val="00343F88"/>
    <w:rsid w:val="0036036F"/>
    <w:rsid w:val="003700F0"/>
    <w:rsid w:val="00392365"/>
    <w:rsid w:val="003B38FD"/>
    <w:rsid w:val="003B3A9B"/>
    <w:rsid w:val="003B5EC4"/>
    <w:rsid w:val="003D53E9"/>
    <w:rsid w:val="003D7397"/>
    <w:rsid w:val="003E18CE"/>
    <w:rsid w:val="00420831"/>
    <w:rsid w:val="00420DEB"/>
    <w:rsid w:val="00440133"/>
    <w:rsid w:val="00464180"/>
    <w:rsid w:val="00465DD2"/>
    <w:rsid w:val="0048358E"/>
    <w:rsid w:val="0048514F"/>
    <w:rsid w:val="0048772B"/>
    <w:rsid w:val="004B0DB5"/>
    <w:rsid w:val="004C6CA2"/>
    <w:rsid w:val="004E132D"/>
    <w:rsid w:val="004F3E42"/>
    <w:rsid w:val="00515B23"/>
    <w:rsid w:val="00521F45"/>
    <w:rsid w:val="00523D02"/>
    <w:rsid w:val="00530C57"/>
    <w:rsid w:val="00551FAB"/>
    <w:rsid w:val="00570F85"/>
    <w:rsid w:val="005808C7"/>
    <w:rsid w:val="00584C15"/>
    <w:rsid w:val="00587ED6"/>
    <w:rsid w:val="0059457C"/>
    <w:rsid w:val="005970CB"/>
    <w:rsid w:val="005A191D"/>
    <w:rsid w:val="005A555E"/>
    <w:rsid w:val="005B636C"/>
    <w:rsid w:val="005D6642"/>
    <w:rsid w:val="0060234A"/>
    <w:rsid w:val="00613160"/>
    <w:rsid w:val="00625D5B"/>
    <w:rsid w:val="0062635B"/>
    <w:rsid w:val="00631514"/>
    <w:rsid w:val="00680B59"/>
    <w:rsid w:val="006B19AE"/>
    <w:rsid w:val="006D712F"/>
    <w:rsid w:val="00704A53"/>
    <w:rsid w:val="00720B97"/>
    <w:rsid w:val="0073008A"/>
    <w:rsid w:val="0075307F"/>
    <w:rsid w:val="007535B4"/>
    <w:rsid w:val="00761C2E"/>
    <w:rsid w:val="00781264"/>
    <w:rsid w:val="0079083E"/>
    <w:rsid w:val="007B6388"/>
    <w:rsid w:val="007C0508"/>
    <w:rsid w:val="007C1297"/>
    <w:rsid w:val="007C4530"/>
    <w:rsid w:val="007E003F"/>
    <w:rsid w:val="007E33F9"/>
    <w:rsid w:val="008375BC"/>
    <w:rsid w:val="00841B9C"/>
    <w:rsid w:val="00847217"/>
    <w:rsid w:val="00884968"/>
    <w:rsid w:val="008A6A77"/>
    <w:rsid w:val="008B2F9D"/>
    <w:rsid w:val="008C6100"/>
    <w:rsid w:val="008E6B86"/>
    <w:rsid w:val="008E6EE4"/>
    <w:rsid w:val="008F319F"/>
    <w:rsid w:val="009303B6"/>
    <w:rsid w:val="009457A9"/>
    <w:rsid w:val="009469EE"/>
    <w:rsid w:val="00961908"/>
    <w:rsid w:val="00962F1B"/>
    <w:rsid w:val="00967922"/>
    <w:rsid w:val="009A186E"/>
    <w:rsid w:val="009A69F2"/>
    <w:rsid w:val="009B7621"/>
    <w:rsid w:val="009D1429"/>
    <w:rsid w:val="009E38AD"/>
    <w:rsid w:val="009E524C"/>
    <w:rsid w:val="009F45B8"/>
    <w:rsid w:val="00A04FAA"/>
    <w:rsid w:val="00A11D76"/>
    <w:rsid w:val="00A144A6"/>
    <w:rsid w:val="00A24C52"/>
    <w:rsid w:val="00A4056E"/>
    <w:rsid w:val="00A40D0A"/>
    <w:rsid w:val="00A527C8"/>
    <w:rsid w:val="00A563AB"/>
    <w:rsid w:val="00A74171"/>
    <w:rsid w:val="00A7673B"/>
    <w:rsid w:val="00A94F38"/>
    <w:rsid w:val="00AC48A8"/>
    <w:rsid w:val="00AE2C00"/>
    <w:rsid w:val="00AF50DF"/>
    <w:rsid w:val="00B16777"/>
    <w:rsid w:val="00B204AE"/>
    <w:rsid w:val="00B242F7"/>
    <w:rsid w:val="00B42725"/>
    <w:rsid w:val="00B70DB7"/>
    <w:rsid w:val="00B823B9"/>
    <w:rsid w:val="00B935E3"/>
    <w:rsid w:val="00BB5396"/>
    <w:rsid w:val="00BD7461"/>
    <w:rsid w:val="00C70D26"/>
    <w:rsid w:val="00C91ADF"/>
    <w:rsid w:val="00CA6956"/>
    <w:rsid w:val="00D02864"/>
    <w:rsid w:val="00D11375"/>
    <w:rsid w:val="00D14D54"/>
    <w:rsid w:val="00D26884"/>
    <w:rsid w:val="00D32CC4"/>
    <w:rsid w:val="00D34171"/>
    <w:rsid w:val="00D35C9B"/>
    <w:rsid w:val="00D67A2F"/>
    <w:rsid w:val="00DC0CD4"/>
    <w:rsid w:val="00DC3F02"/>
    <w:rsid w:val="00DF5DBE"/>
    <w:rsid w:val="00E2397B"/>
    <w:rsid w:val="00E24E6B"/>
    <w:rsid w:val="00E403EC"/>
    <w:rsid w:val="00E4055F"/>
    <w:rsid w:val="00E56CF3"/>
    <w:rsid w:val="00EA6896"/>
    <w:rsid w:val="00EB0551"/>
    <w:rsid w:val="00EB7E53"/>
    <w:rsid w:val="00EE67C3"/>
    <w:rsid w:val="00EF7173"/>
    <w:rsid w:val="00F0271F"/>
    <w:rsid w:val="00F0334B"/>
    <w:rsid w:val="00F033A5"/>
    <w:rsid w:val="00F1199F"/>
    <w:rsid w:val="00F165B8"/>
    <w:rsid w:val="00F46FD4"/>
    <w:rsid w:val="00F66173"/>
    <w:rsid w:val="00F73149"/>
    <w:rsid w:val="00FC1117"/>
    <w:rsid w:val="00FD3AC0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35F123-2197-4D7D-AB5A-0296C030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464180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link w:val="Heading2Char"/>
    <w:qFormat/>
    <w:rsid w:val="00464180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464180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link w:val="Heading4Char"/>
    <w:qFormat/>
    <w:rsid w:val="00C91A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C91A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1A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91A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9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1ADF"/>
  </w:style>
  <w:style w:type="paragraph" w:styleId="ListParagraph">
    <w:name w:val="List Paragraph"/>
    <w:basedOn w:val="Normal"/>
    <w:uiPriority w:val="34"/>
    <w:qFormat/>
    <w:rsid w:val="00551FAB"/>
    <w:pPr>
      <w:ind w:left="720"/>
      <w:contextualSpacing/>
    </w:pPr>
  </w:style>
  <w:style w:type="table" w:styleId="TableGrid">
    <w:name w:val="Table Grid"/>
    <w:basedOn w:val="TableNormal"/>
    <w:uiPriority w:val="59"/>
    <w:rsid w:val="000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2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299A"/>
  </w:style>
  <w:style w:type="paragraph" w:styleId="Footer">
    <w:name w:val="footer"/>
    <w:basedOn w:val="Normal"/>
    <w:link w:val="FooterChar"/>
    <w:unhideWhenUsed/>
    <w:rsid w:val="0002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299A"/>
  </w:style>
  <w:style w:type="character" w:styleId="Hyperlink">
    <w:name w:val="Hyperlink"/>
    <w:basedOn w:val="DefaultParagraphFont"/>
    <w:uiPriority w:val="99"/>
    <w:unhideWhenUsed/>
    <w:rsid w:val="009E524C"/>
    <w:rPr>
      <w:strike w:val="0"/>
      <w:dstrike w:val="0"/>
      <w:color w:val="009AB5"/>
      <w:u w:val="none"/>
      <w:effect w:val="none"/>
    </w:rPr>
  </w:style>
  <w:style w:type="paragraph" w:customStyle="1" w:styleId="ol-1">
    <w:name w:val="ol-1"/>
    <w:basedOn w:val="Normal"/>
    <w:uiPriority w:val="99"/>
    <w:rsid w:val="009E524C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625D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5D5B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25D5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464180"/>
    <w:rPr>
      <w:rFonts w:ascii="Verdana" w:eastAsia="Times New Roman" w:hAnsi="Verdana" w:cs="Times New Roman"/>
      <w:kern w:val="20"/>
      <w:sz w:val="32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464180"/>
    <w:rPr>
      <w:rFonts w:ascii="Verdana" w:eastAsia="Times New Roman" w:hAnsi="Verdana" w:cs="Times New Roman"/>
      <w:b/>
      <w:kern w:val="20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rsid w:val="00464180"/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customStyle="1" w:styleId="Noparagraphstyle">
    <w:name w:val="[No paragraph style]"/>
    <w:rsid w:val="0046418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paragraph" w:styleId="BodyText">
    <w:name w:val="Body Text"/>
    <w:basedOn w:val="Normal"/>
    <w:link w:val="BodyTextChar"/>
    <w:rsid w:val="004641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464180"/>
    <w:rPr>
      <w:rFonts w:ascii="Arial Narrow" w:eastAsia="Times New Roman" w:hAnsi="Arial Narrow" w:cs="Times New Roman"/>
      <w:szCs w:val="20"/>
      <w:lang w:eastAsia="sv-SE"/>
    </w:rPr>
  </w:style>
  <w:style w:type="paragraph" w:customStyle="1" w:styleId="ImageText">
    <w:name w:val="Image Text"/>
    <w:basedOn w:val="BodyText"/>
    <w:rsid w:val="00464180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464180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464180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464180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464180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464180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464180"/>
  </w:style>
  <w:style w:type="paragraph" w:styleId="TOC1">
    <w:name w:val="toc 1"/>
    <w:basedOn w:val="Normal"/>
    <w:next w:val="Normal"/>
    <w:autoRedefine/>
    <w:semiHidden/>
    <w:rsid w:val="00464180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464180"/>
    <w:pPr>
      <w:ind w:left="220"/>
    </w:pPr>
  </w:style>
  <w:style w:type="paragraph" w:styleId="TOC3">
    <w:name w:val="toc 3"/>
    <w:basedOn w:val="TOC1"/>
    <w:next w:val="Normal"/>
    <w:autoRedefine/>
    <w:semiHidden/>
    <w:rsid w:val="00464180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464180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464180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464180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464180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464180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464180"/>
    <w:pPr>
      <w:ind w:left="1760"/>
    </w:pPr>
    <w:rPr>
      <w:sz w:val="16"/>
    </w:rPr>
  </w:style>
  <w:style w:type="paragraph" w:styleId="ListNumber">
    <w:name w:val="List Number"/>
    <w:basedOn w:val="BodyText"/>
    <w:rsid w:val="00464180"/>
    <w:pPr>
      <w:numPr>
        <w:numId w:val="13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464180"/>
    <w:pPr>
      <w:numPr>
        <w:numId w:val="26"/>
      </w:numPr>
      <w:tabs>
        <w:tab w:val="clear" w:pos="113"/>
        <w:tab w:val="num" w:pos="195"/>
      </w:tabs>
      <w:ind w:left="195" w:hanging="195"/>
    </w:pPr>
  </w:style>
  <w:style w:type="character" w:styleId="PageNumber">
    <w:name w:val="page number"/>
    <w:basedOn w:val="DefaultParagraphFont"/>
    <w:rsid w:val="00464180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464180"/>
    <w:pPr>
      <w:spacing w:before="240" w:after="120" w:line="200" w:lineRule="exact"/>
    </w:pPr>
    <w:rPr>
      <w:rFonts w:ascii="Verdana" w:eastAsia="Times New Roman" w:hAnsi="Verdana" w:cs="Times New Roman"/>
      <w:caps/>
      <w:sz w:val="16"/>
      <w:szCs w:val="20"/>
      <w:lang w:eastAsia="sv-SE"/>
    </w:rPr>
  </w:style>
  <w:style w:type="paragraph" w:customStyle="1" w:styleId="TableBodytext">
    <w:name w:val="Table Bodytext"/>
    <w:basedOn w:val="TableHeading1"/>
    <w:rsid w:val="00464180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464180"/>
    <w:pPr>
      <w:numPr>
        <w:numId w:val="12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464180"/>
    <w:pPr>
      <w:numPr>
        <w:numId w:val="11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464180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464180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464180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464180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46418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46418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464180"/>
    <w:rPr>
      <w:rFonts w:ascii="Calibri" w:hAnsi="Calibri" w:cs="Times New Roman"/>
    </w:rPr>
  </w:style>
  <w:style w:type="character" w:styleId="CommentReference">
    <w:name w:val="annotation reference"/>
    <w:basedOn w:val="DefaultParagraphFont"/>
    <w:rsid w:val="004641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64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180"/>
    <w:rPr>
      <w:b/>
      <w:bCs/>
      <w:sz w:val="20"/>
      <w:szCs w:val="20"/>
    </w:rPr>
  </w:style>
  <w:style w:type="paragraph" w:customStyle="1" w:styleId="LetterheadAddress">
    <w:name w:val="Letterhead Address"/>
    <w:basedOn w:val="Normal"/>
    <w:qFormat/>
    <w:rsid w:val="00464180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464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4180"/>
    <w:pPr>
      <w:spacing w:after="0" w:line="240" w:lineRule="auto"/>
    </w:pPr>
  </w:style>
  <w:style w:type="character" w:styleId="FollowedHyperlink">
    <w:name w:val="FollowedHyperlink"/>
    <w:basedOn w:val="DefaultParagraphFont"/>
    <w:semiHidden/>
    <w:unhideWhenUsed/>
    <w:rsid w:val="00464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333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272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234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856787cc-bb19-4012-8d26-82b6756756ea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2019-04-10T14:07:49+00:00</Document_x0020_Date>
    <Document_x0020_No xmlns="4b47aac5-4c46-444f-8595-ce09b406fc61">47463</Document_x0020_N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563A85F9-FE6E-47E4-8179-D65BE1DB1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1436B-B245-4262-9BD3-B7A06FD31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919AE4-23F3-45AF-B9AC-E322C772890E}"/>
</file>

<file path=customXml/itemProps4.xml><?xml version="1.0" encoding="utf-8"?>
<ds:datastoreItem xmlns:ds="http://schemas.openxmlformats.org/officeDocument/2006/customXml" ds:itemID="{4003C8CA-A877-4F8D-8B98-03952BBAAD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812C17-FA2A-4320-93D3-3EB38F896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Daniel Carrigan</dc:creator>
  <cp:lastModifiedBy>Alejandro Aguayo</cp:lastModifiedBy>
  <cp:revision>7</cp:revision>
  <cp:lastPrinted>2016-11-17T19:41:00Z</cp:lastPrinted>
  <dcterms:created xsi:type="dcterms:W3CDTF">2019-04-09T19:42:00Z</dcterms:created>
  <dcterms:modified xsi:type="dcterms:W3CDTF">2019-04-10T13:46:00Z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\\Cftc.gov\dfsbts\PRD\BizTalk Locations\Portal\Temp\5c59b348-e1f0-49b5-994b-9c9334b9d2c7\SR-NFX-2019-14 Exhibit A.docx</vt:lpwstr>
  </property>
  <property fmtid="{D5CDD505-2E9C-101B-9397-08002B2CF9AE}" pid="4" name="Order">
    <vt:r8>102600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