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D6172">
        <w:rPr>
          <w:rFonts w:ascii="Times New Roman" w:eastAsia="Calibri" w:hAnsi="Times New Roman" w:cs="Times New Roman"/>
          <w:noProof/>
          <w:sz w:val="24"/>
          <w:szCs w:val="24"/>
        </w:rPr>
        <w:t>April 10,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BE291B">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995D64">
        <w:rPr>
          <w:rFonts w:ascii="Times New Roman" w:eastAsia="Calibri" w:hAnsi="Times New Roman" w:cs="Times New Roman"/>
          <w:b/>
          <w:sz w:val="24"/>
          <w:szCs w:val="24"/>
        </w:rPr>
        <w:t>Amending Various Rules and Contract Specifications</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BE291B">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5D2A9E">
        <w:rPr>
          <w:rFonts w:ascii="Times New Roman" w:eastAsia="Calibri" w:hAnsi="Times New Roman" w:cs="Times New Roman"/>
          <w:b/>
          <w:sz w:val="24"/>
          <w:szCs w:val="24"/>
          <w:u w:val="single"/>
        </w:rPr>
        <w:t>12</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5E3020" w:rsidP="00D14EA5">
      <w:pPr>
        <w:pStyle w:val="NoSpacing"/>
        <w:ind w:firstLine="1310"/>
        <w:rPr>
          <w:rFonts w:ascii="Times New Roman"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D14EA5">
        <w:rPr>
          <w:rFonts w:ascii="Times New Roman" w:eastAsia="Calibri" w:hAnsi="Times New Roman" w:cs="Times New Roman"/>
          <w:sz w:val="24"/>
          <w:szCs w:val="24"/>
        </w:rPr>
        <w:t xml:space="preserve">amendments to various Exchange rules and contract specifications.  </w:t>
      </w:r>
      <w:r w:rsidR="00D14EA5" w:rsidRPr="00E1206A">
        <w:rPr>
          <w:rFonts w:ascii="Times New Roman" w:eastAsia="Calibri" w:hAnsi="Times New Roman" w:cs="Times New Roman"/>
          <w:sz w:val="24"/>
          <w:szCs w:val="24"/>
        </w:rPr>
        <w:t xml:space="preserve">The amendments proposed in this submission shall be effective on </w:t>
      </w:r>
      <w:r w:rsidR="00D14EA5">
        <w:rPr>
          <w:rFonts w:ascii="Times New Roman" w:eastAsia="Calibri" w:hAnsi="Times New Roman" w:cs="Times New Roman"/>
          <w:sz w:val="24"/>
          <w:szCs w:val="24"/>
        </w:rPr>
        <w:t>April 2</w:t>
      </w:r>
      <w:r w:rsidR="009D6172">
        <w:rPr>
          <w:rFonts w:ascii="Times New Roman" w:eastAsia="Calibri" w:hAnsi="Times New Roman" w:cs="Times New Roman"/>
          <w:sz w:val="24"/>
          <w:szCs w:val="24"/>
        </w:rPr>
        <w:t>4</w:t>
      </w:r>
      <w:r w:rsidR="00D14EA5">
        <w:rPr>
          <w:rFonts w:ascii="Times New Roman" w:eastAsia="Calibri" w:hAnsi="Times New Roman" w:cs="Times New Roman"/>
          <w:sz w:val="24"/>
          <w:szCs w:val="24"/>
        </w:rPr>
        <w:t>, 2019</w:t>
      </w:r>
      <w:r w:rsidR="00154FD5" w:rsidRPr="00E1206A">
        <w:rPr>
          <w:rFonts w:ascii="Times New Roman" w:eastAsia="Calibri" w:hAnsi="Times New Roman" w:cs="Times New Roman"/>
          <w:sz w:val="24"/>
          <w:szCs w:val="24"/>
        </w:rPr>
        <w:t xml:space="preserve">, for trade date </w:t>
      </w:r>
      <w:r w:rsidR="00B40073">
        <w:rPr>
          <w:rFonts w:ascii="Times New Roman" w:eastAsia="Calibri" w:hAnsi="Times New Roman" w:cs="Times New Roman"/>
          <w:sz w:val="24"/>
          <w:szCs w:val="24"/>
        </w:rPr>
        <w:t>April 2</w:t>
      </w:r>
      <w:r w:rsidR="009D6172">
        <w:rPr>
          <w:rFonts w:ascii="Times New Roman" w:eastAsia="Calibri" w:hAnsi="Times New Roman" w:cs="Times New Roman"/>
          <w:sz w:val="24"/>
          <w:szCs w:val="24"/>
        </w:rPr>
        <w:t>5</w:t>
      </w:r>
      <w:bookmarkStart w:id="0" w:name="_GoBack"/>
      <w:bookmarkEnd w:id="0"/>
      <w:r w:rsidR="00D14EA5">
        <w:rPr>
          <w:rFonts w:ascii="Times New Roman" w:eastAsia="Calibri" w:hAnsi="Times New Roman" w:cs="Times New Roman"/>
          <w:sz w:val="24"/>
          <w:szCs w:val="24"/>
        </w:rPr>
        <w:t>, 2019</w:t>
      </w:r>
      <w:r w:rsidR="00154FD5" w:rsidRPr="00E1206A">
        <w:rPr>
          <w:rFonts w:ascii="Times New Roman" w:eastAsia="Calibri" w:hAnsi="Times New Roman" w:cs="Times New Roman"/>
          <w:sz w:val="24"/>
          <w:szCs w:val="24"/>
        </w:rPr>
        <w:t xml:space="preserve">.  </w:t>
      </w:r>
    </w:p>
    <w:p w:rsidR="0008423C" w:rsidRPr="00E1206A" w:rsidRDefault="0008423C" w:rsidP="0008423C">
      <w:pPr>
        <w:pStyle w:val="NoSpacing"/>
        <w:ind w:firstLine="1310"/>
        <w:rPr>
          <w:rFonts w:ascii="Times New Roman" w:eastAsia="Calibri" w:hAnsi="Times New Roman" w:cs="Times New Roman"/>
          <w:sz w:val="24"/>
          <w:szCs w:val="24"/>
        </w:rPr>
      </w:pPr>
    </w:p>
    <w:p w:rsidR="006317AA" w:rsidRDefault="0008423C" w:rsidP="00EA3EB4">
      <w:pPr>
        <w:pStyle w:val="Default"/>
        <w:jc w:val="center"/>
        <w:rPr>
          <w:b/>
          <w:bCs/>
          <w:color w:val="auto"/>
          <w:u w:val="single"/>
        </w:rPr>
      </w:pPr>
      <w:r w:rsidRPr="00E1206A">
        <w:rPr>
          <w:b/>
          <w:bCs/>
          <w:color w:val="auto"/>
          <w:u w:val="single"/>
        </w:rPr>
        <w:t xml:space="preserve">Exhibit 1 - Amendments to </w:t>
      </w:r>
      <w:r w:rsidR="006317AA">
        <w:rPr>
          <w:b/>
          <w:bCs/>
          <w:color w:val="auto"/>
          <w:u w:val="single"/>
        </w:rPr>
        <w:t>NFX Off-Exchange Transactions Reference Guide</w:t>
      </w:r>
    </w:p>
    <w:p w:rsidR="006317AA" w:rsidRDefault="006317AA" w:rsidP="006317AA">
      <w:pPr>
        <w:pStyle w:val="Default"/>
        <w:rPr>
          <w:bCs/>
          <w:color w:val="auto"/>
        </w:rPr>
      </w:pPr>
    </w:p>
    <w:p w:rsidR="006317AA" w:rsidRDefault="006317AA" w:rsidP="006317AA">
      <w:pPr>
        <w:pStyle w:val="Default"/>
        <w:rPr>
          <w:bCs/>
          <w:color w:val="auto"/>
        </w:rPr>
      </w:pPr>
      <w:r>
        <w:rPr>
          <w:bCs/>
          <w:color w:val="auto"/>
        </w:rPr>
        <w:tab/>
        <w:t xml:space="preserve">NFX is amending the language in the </w:t>
      </w:r>
      <w:r w:rsidR="00A0123F">
        <w:rPr>
          <w:bCs/>
          <w:color w:val="auto"/>
        </w:rPr>
        <w:t>O</w:t>
      </w:r>
      <w:r>
        <w:rPr>
          <w:bCs/>
          <w:color w:val="auto"/>
        </w:rPr>
        <w:t xml:space="preserve">ff Exchange Transactions Reference Guide (the Reference Guide) to clarify the timing of the dissemination of block trades submitted pursuant to NFX rules.  </w:t>
      </w:r>
      <w:r w:rsidR="00A0123F">
        <w:rPr>
          <w:bCs/>
          <w:color w:val="auto"/>
        </w:rPr>
        <w:t>Currently, t</w:t>
      </w:r>
      <w:r>
        <w:rPr>
          <w:bCs/>
          <w:color w:val="auto"/>
        </w:rPr>
        <w:t>he Reference Guide</w:t>
      </w:r>
      <w:r w:rsidR="00A03D1E">
        <w:rPr>
          <w:bCs/>
          <w:color w:val="auto"/>
        </w:rPr>
        <w:t xml:space="preserve"> </w:t>
      </w:r>
      <w:r w:rsidR="00A0123F">
        <w:rPr>
          <w:bCs/>
          <w:color w:val="auto"/>
        </w:rPr>
        <w:t xml:space="preserve">advises </w:t>
      </w:r>
      <w:r w:rsidR="00A03D1E">
        <w:rPr>
          <w:bCs/>
          <w:color w:val="auto"/>
        </w:rPr>
        <w:t xml:space="preserve">that the “Exchange will promptly publish </w:t>
      </w:r>
      <w:r>
        <w:rPr>
          <w:bCs/>
          <w:color w:val="auto"/>
        </w:rPr>
        <w:t>block trade</w:t>
      </w:r>
      <w:r w:rsidR="00A03D1E">
        <w:rPr>
          <w:bCs/>
          <w:color w:val="auto"/>
        </w:rPr>
        <w:t xml:space="preserve"> information</w:t>
      </w:r>
      <w:r w:rsidR="00A0123F">
        <w:rPr>
          <w:bCs/>
          <w:color w:val="auto"/>
        </w:rPr>
        <w:t xml:space="preserve"> separately from the reports of transactions in the regular market</w:t>
      </w:r>
      <w:r w:rsidR="00A03D1E">
        <w:rPr>
          <w:bCs/>
          <w:color w:val="auto"/>
        </w:rPr>
        <w:t>”.</w:t>
      </w:r>
      <w:r w:rsidR="00A0123F">
        <w:rPr>
          <w:rStyle w:val="FootnoteReference"/>
          <w:bCs/>
          <w:color w:val="auto"/>
        </w:rPr>
        <w:footnoteReference w:id="1"/>
      </w:r>
      <w:r w:rsidR="00A03D1E">
        <w:rPr>
          <w:bCs/>
          <w:color w:val="auto"/>
        </w:rPr>
        <w:t xml:space="preserve">  </w:t>
      </w:r>
      <w:r w:rsidR="00EA3EB4">
        <w:rPr>
          <w:bCs/>
          <w:color w:val="auto"/>
        </w:rPr>
        <w:t xml:space="preserve">NFX is striking the word “promptly” from the Reference Guide due to the fact that block transactions in certain contracts will not be disseminated to the public until </w:t>
      </w:r>
      <w:r w:rsidR="00581BC6">
        <w:rPr>
          <w:bCs/>
          <w:color w:val="auto"/>
        </w:rPr>
        <w:t xml:space="preserve">shortly before the </w:t>
      </w:r>
      <w:r w:rsidR="00EA3EB4">
        <w:rPr>
          <w:bCs/>
          <w:color w:val="auto"/>
        </w:rPr>
        <w:t>end of the Open Session during which the transaction took place.  This longer dissemination period is being implement</w:t>
      </w:r>
      <w:r w:rsidR="0093302B">
        <w:rPr>
          <w:bCs/>
          <w:color w:val="auto"/>
        </w:rPr>
        <w:t>ed</w:t>
      </w:r>
      <w:r w:rsidR="00EA3EB4">
        <w:rPr>
          <w:bCs/>
          <w:color w:val="auto"/>
        </w:rPr>
        <w:t xml:space="preserve"> at the request of various market participants who seek the ability to hedge their derivatives position</w:t>
      </w:r>
      <w:r w:rsidR="00C67CC4">
        <w:rPr>
          <w:bCs/>
          <w:color w:val="auto"/>
        </w:rPr>
        <w:t>s</w:t>
      </w:r>
      <w:r w:rsidR="00EA3EB4">
        <w:rPr>
          <w:bCs/>
          <w:color w:val="auto"/>
        </w:rPr>
        <w:t xml:space="preserve"> prior to the marketplace being informed of any recent transaction.  A shorter dissemination period may expose those market participants to increased costs once the broader marketplace is aware of </w:t>
      </w:r>
      <w:r w:rsidR="00581BC6">
        <w:rPr>
          <w:bCs/>
          <w:color w:val="auto"/>
        </w:rPr>
        <w:t xml:space="preserve">the need for </w:t>
      </w:r>
      <w:r w:rsidR="00EA3EB4">
        <w:rPr>
          <w:bCs/>
          <w:color w:val="auto"/>
        </w:rPr>
        <w:t>a</w:t>
      </w:r>
      <w:r w:rsidR="00581BC6">
        <w:rPr>
          <w:bCs/>
          <w:color w:val="auto"/>
        </w:rPr>
        <w:t xml:space="preserve"> </w:t>
      </w:r>
      <w:r w:rsidR="00EA3EB4">
        <w:rPr>
          <w:bCs/>
          <w:color w:val="auto"/>
        </w:rPr>
        <w:t xml:space="preserve">hedging transaction.  </w:t>
      </w:r>
    </w:p>
    <w:p w:rsidR="00EA3EB4" w:rsidRDefault="00EA3EB4" w:rsidP="006317AA">
      <w:pPr>
        <w:pStyle w:val="Default"/>
        <w:rPr>
          <w:bCs/>
          <w:color w:val="auto"/>
        </w:rPr>
      </w:pPr>
    </w:p>
    <w:p w:rsidR="00EA3EB4" w:rsidRPr="00EA3EB4" w:rsidRDefault="00EA3EB4" w:rsidP="00EA3EB4">
      <w:pPr>
        <w:pStyle w:val="Default"/>
        <w:jc w:val="center"/>
        <w:rPr>
          <w:b/>
          <w:bCs/>
          <w:color w:val="auto"/>
          <w:u w:val="single"/>
        </w:rPr>
      </w:pPr>
      <w:r w:rsidRPr="00EA3EB4">
        <w:rPr>
          <w:b/>
          <w:bCs/>
          <w:color w:val="auto"/>
          <w:u w:val="single"/>
        </w:rPr>
        <w:t>Exhibit 2 – Listed Contracts</w:t>
      </w:r>
    </w:p>
    <w:p w:rsidR="006317AA" w:rsidRDefault="006317AA" w:rsidP="0008423C">
      <w:pPr>
        <w:pStyle w:val="Default"/>
        <w:ind w:left="1310"/>
        <w:rPr>
          <w:b/>
          <w:bCs/>
          <w:color w:val="auto"/>
          <w:u w:val="single"/>
        </w:rPr>
      </w:pPr>
    </w:p>
    <w:p w:rsidR="00EA3EB4" w:rsidRDefault="00EA3EB4" w:rsidP="00F97018">
      <w:pPr>
        <w:pStyle w:val="Default"/>
        <w:ind w:firstLine="720"/>
        <w:rPr>
          <w:bCs/>
          <w:color w:val="auto"/>
        </w:rPr>
      </w:pPr>
      <w:r w:rsidRPr="00EA3EB4">
        <w:rPr>
          <w:bCs/>
          <w:color w:val="auto"/>
        </w:rPr>
        <w:t xml:space="preserve">NFX </w:t>
      </w:r>
      <w:r>
        <w:rPr>
          <w:bCs/>
          <w:color w:val="auto"/>
        </w:rPr>
        <w:t xml:space="preserve">is </w:t>
      </w:r>
      <w:r w:rsidRPr="00EA3EB4">
        <w:rPr>
          <w:bCs/>
          <w:color w:val="auto"/>
        </w:rPr>
        <w:t xml:space="preserve">amending </w:t>
      </w:r>
      <w:r>
        <w:rPr>
          <w:bCs/>
          <w:color w:val="auto"/>
        </w:rPr>
        <w:t xml:space="preserve">the </w:t>
      </w:r>
      <w:r w:rsidR="000565B8">
        <w:rPr>
          <w:bCs/>
          <w:color w:val="auto"/>
        </w:rPr>
        <w:t>language regarding the Final Settlement Date for the NFX Argus Financial Futures contracts (“Argus Contracts”), the terms and conditions of which may be found in rule chapters 114 through 134.</w:t>
      </w:r>
      <w:r w:rsidR="000565B8">
        <w:rPr>
          <w:rStyle w:val="FootnoteReference"/>
          <w:bCs/>
          <w:color w:val="auto"/>
        </w:rPr>
        <w:footnoteReference w:id="2"/>
      </w:r>
      <w:r w:rsidR="000565B8">
        <w:rPr>
          <w:bCs/>
          <w:color w:val="auto"/>
        </w:rPr>
        <w:t xml:space="preserve">  The Exchange is clarifying the </w:t>
      </w:r>
      <w:r w:rsidR="00C67CC4">
        <w:rPr>
          <w:bCs/>
          <w:color w:val="auto"/>
        </w:rPr>
        <w:t>correct</w:t>
      </w:r>
      <w:r w:rsidR="000565B8">
        <w:rPr>
          <w:bCs/>
          <w:color w:val="auto"/>
        </w:rPr>
        <w:t xml:space="preserve"> date of final settlement.  Originally, the final settlement date was described as being on the second business day the Options Clearing Corporation (OCC) is open for settlement following the last trading day for that contract month.  Th</w:t>
      </w:r>
      <w:r w:rsidR="00C67CC4">
        <w:rPr>
          <w:bCs/>
          <w:color w:val="auto"/>
        </w:rPr>
        <w:t xml:space="preserve">is rule amendment confirms that the </w:t>
      </w:r>
      <w:r w:rsidR="000565B8">
        <w:rPr>
          <w:bCs/>
          <w:color w:val="auto"/>
        </w:rPr>
        <w:t xml:space="preserve">final settlement day is </w:t>
      </w:r>
      <w:r w:rsidR="004D683F">
        <w:rPr>
          <w:bCs/>
          <w:color w:val="auto"/>
        </w:rPr>
        <w:t xml:space="preserve">the </w:t>
      </w:r>
      <w:r w:rsidR="000565B8">
        <w:rPr>
          <w:bCs/>
          <w:color w:val="auto"/>
        </w:rPr>
        <w:t xml:space="preserve">first </w:t>
      </w:r>
      <w:r w:rsidR="000565B8">
        <w:rPr>
          <w:bCs/>
          <w:color w:val="auto"/>
        </w:rPr>
        <w:lastRenderedPageBreak/>
        <w:t>business day on which OCC</w:t>
      </w:r>
      <w:r w:rsidR="00F97018">
        <w:rPr>
          <w:bCs/>
          <w:color w:val="auto"/>
        </w:rPr>
        <w:t xml:space="preserve"> </w:t>
      </w:r>
      <w:r w:rsidR="00F97018" w:rsidRPr="00F97018">
        <w:t>is open for settlement following the publication of the final settlement price for that contract month</w:t>
      </w:r>
      <w:r w:rsidR="00F97018" w:rsidRPr="00F97018">
        <w:rPr>
          <w:bCs/>
          <w:color w:val="auto"/>
        </w:rPr>
        <w:t>.</w:t>
      </w:r>
      <w:r w:rsidR="00F97018">
        <w:rPr>
          <w:bCs/>
          <w:color w:val="auto"/>
        </w:rPr>
        <w:t xml:space="preserve">  </w:t>
      </w:r>
      <w:r w:rsidR="000565B8">
        <w:rPr>
          <w:bCs/>
          <w:color w:val="auto"/>
        </w:rPr>
        <w:t xml:space="preserve">This amendment simply aligns the settlement days accordingly.  </w:t>
      </w:r>
    </w:p>
    <w:p w:rsidR="00161AB2" w:rsidRDefault="00161AB2" w:rsidP="00EA3EB4">
      <w:pPr>
        <w:pStyle w:val="Default"/>
        <w:ind w:firstLine="720"/>
        <w:rPr>
          <w:bCs/>
          <w:color w:val="auto"/>
        </w:rPr>
      </w:pPr>
    </w:p>
    <w:p w:rsidR="00161AB2" w:rsidRDefault="00883BA4" w:rsidP="00EA3EB4">
      <w:pPr>
        <w:pStyle w:val="Default"/>
        <w:ind w:firstLine="720"/>
        <w:rPr>
          <w:bCs/>
          <w:color w:val="auto"/>
        </w:rPr>
      </w:pPr>
      <w:r>
        <w:rPr>
          <w:bCs/>
          <w:color w:val="auto"/>
        </w:rPr>
        <w:t>Within the group of Argus Contract</w:t>
      </w:r>
      <w:r w:rsidR="00191546">
        <w:rPr>
          <w:bCs/>
          <w:color w:val="auto"/>
        </w:rPr>
        <w:t>s</w:t>
      </w:r>
      <w:r>
        <w:rPr>
          <w:bCs/>
          <w:color w:val="auto"/>
        </w:rPr>
        <w:t>, certain contracts calculate a basis spread between a referenced commodity and the NFX WTI contract (Argus Basis Contracts).</w:t>
      </w:r>
      <w:r>
        <w:rPr>
          <w:rStyle w:val="FootnoteReference"/>
          <w:bCs/>
          <w:color w:val="auto"/>
        </w:rPr>
        <w:footnoteReference w:id="3"/>
      </w:r>
      <w:r>
        <w:rPr>
          <w:bCs/>
          <w:color w:val="auto"/>
        </w:rPr>
        <w:t xml:space="preserve">  </w:t>
      </w:r>
      <w:r w:rsidR="00161AB2">
        <w:rPr>
          <w:bCs/>
          <w:color w:val="auto"/>
        </w:rPr>
        <w:t xml:space="preserve">NFX is amending the </w:t>
      </w:r>
      <w:r w:rsidR="00123A3B">
        <w:rPr>
          <w:bCs/>
          <w:color w:val="auto"/>
        </w:rPr>
        <w:t xml:space="preserve">reference to the </w:t>
      </w:r>
      <w:r w:rsidR="00123A3B" w:rsidRPr="00123A3B">
        <w:rPr>
          <w:bCs/>
          <w:color w:val="auto"/>
        </w:rPr>
        <w:t>NFX WTI 1st Line Financial Futures</w:t>
      </w:r>
      <w:r w:rsidR="00123A3B">
        <w:rPr>
          <w:bCs/>
          <w:color w:val="auto"/>
        </w:rPr>
        <w:t xml:space="preserve"> (RTIQ) </w:t>
      </w:r>
      <w:r w:rsidR="004D683F">
        <w:rPr>
          <w:bCs/>
          <w:color w:val="auto"/>
        </w:rPr>
        <w:t xml:space="preserve">(“NFX WTI”) </w:t>
      </w:r>
      <w:r w:rsidR="00123A3B">
        <w:rPr>
          <w:bCs/>
          <w:color w:val="auto"/>
        </w:rPr>
        <w:t xml:space="preserve">contract in each of the Argus </w:t>
      </w:r>
      <w:r w:rsidR="007E0783">
        <w:rPr>
          <w:bCs/>
          <w:color w:val="auto"/>
        </w:rPr>
        <w:t xml:space="preserve">Basis </w:t>
      </w:r>
      <w:r w:rsidR="004D683F">
        <w:rPr>
          <w:bCs/>
          <w:color w:val="auto"/>
        </w:rPr>
        <w:t>C</w:t>
      </w:r>
      <w:r w:rsidR="00123A3B">
        <w:rPr>
          <w:bCs/>
          <w:color w:val="auto"/>
        </w:rPr>
        <w:t>ontracts</w:t>
      </w:r>
      <w:r w:rsidR="007E0783">
        <w:rPr>
          <w:bCs/>
          <w:color w:val="auto"/>
        </w:rPr>
        <w:t xml:space="preserve">.  </w:t>
      </w:r>
      <w:r w:rsidR="004D683F">
        <w:rPr>
          <w:bCs/>
          <w:color w:val="auto"/>
        </w:rPr>
        <w:t xml:space="preserve">Due to a technical incompatibility between the NFX and OCC computer systems, </w:t>
      </w:r>
      <w:r>
        <w:rPr>
          <w:bCs/>
          <w:color w:val="auto"/>
        </w:rPr>
        <w:t xml:space="preserve">an automatic settlement </w:t>
      </w:r>
      <w:r w:rsidR="004D683F">
        <w:rPr>
          <w:bCs/>
          <w:color w:val="auto"/>
        </w:rPr>
        <w:t xml:space="preserve">calculation cannot be performed using a reference to the RTIQ </w:t>
      </w:r>
      <w:r>
        <w:rPr>
          <w:bCs/>
          <w:color w:val="auto"/>
        </w:rPr>
        <w:t>ticker</w:t>
      </w:r>
      <w:r w:rsidR="007E0783">
        <w:rPr>
          <w:bCs/>
          <w:color w:val="auto"/>
        </w:rPr>
        <w:t xml:space="preserve"> symbol</w:t>
      </w:r>
      <w:r w:rsidR="004D683F">
        <w:rPr>
          <w:bCs/>
          <w:color w:val="auto"/>
        </w:rPr>
        <w:t xml:space="preserve">.  Instead, </w:t>
      </w:r>
      <w:r w:rsidR="003F5F13">
        <w:rPr>
          <w:bCs/>
          <w:color w:val="auto"/>
        </w:rPr>
        <w:t>a new synthetic financial instrument that is economically identical to the NFX WTI contract</w:t>
      </w:r>
      <w:r w:rsidR="00191546">
        <w:rPr>
          <w:bCs/>
          <w:color w:val="auto"/>
        </w:rPr>
        <w:t xml:space="preserve"> has been created in order to be used in the settlement calculation of the Argus Basis Contracts.  This new contract is different only in that it uses a new ticker symbol that will work with the OCC system.  </w:t>
      </w:r>
      <w:r w:rsidR="00123A3B">
        <w:rPr>
          <w:bCs/>
          <w:color w:val="auto"/>
        </w:rPr>
        <w:t xml:space="preserve">The </w:t>
      </w:r>
      <w:r>
        <w:rPr>
          <w:bCs/>
          <w:color w:val="auto"/>
        </w:rPr>
        <w:t xml:space="preserve">final settlement price for the </w:t>
      </w:r>
      <w:r w:rsidR="003F5F13">
        <w:rPr>
          <w:bCs/>
          <w:color w:val="auto"/>
        </w:rPr>
        <w:t xml:space="preserve">Argus </w:t>
      </w:r>
      <w:r w:rsidR="004D683F">
        <w:rPr>
          <w:bCs/>
          <w:color w:val="auto"/>
        </w:rPr>
        <w:t>Basis C</w:t>
      </w:r>
      <w:r w:rsidR="00123A3B">
        <w:rPr>
          <w:bCs/>
          <w:color w:val="auto"/>
        </w:rPr>
        <w:t xml:space="preserve">ontracts will </w:t>
      </w:r>
      <w:r>
        <w:rPr>
          <w:bCs/>
          <w:color w:val="auto"/>
        </w:rPr>
        <w:t xml:space="preserve">not change as it will still reference the NFX WTI price.  </w:t>
      </w:r>
      <w:r w:rsidR="00B53DD6">
        <w:rPr>
          <w:bCs/>
          <w:color w:val="auto"/>
        </w:rPr>
        <w:t xml:space="preserve">The removal of the RTIQ </w:t>
      </w:r>
      <w:r>
        <w:rPr>
          <w:bCs/>
          <w:color w:val="auto"/>
        </w:rPr>
        <w:t xml:space="preserve">ticker symbol </w:t>
      </w:r>
      <w:r w:rsidR="00B53DD6">
        <w:rPr>
          <w:bCs/>
          <w:color w:val="auto"/>
        </w:rPr>
        <w:t xml:space="preserve">prevents the appearance that the settlement of the </w:t>
      </w:r>
      <w:r w:rsidR="003F5F13">
        <w:rPr>
          <w:bCs/>
          <w:color w:val="auto"/>
        </w:rPr>
        <w:t xml:space="preserve">Argus </w:t>
      </w:r>
      <w:r w:rsidR="00B53DD6">
        <w:rPr>
          <w:bCs/>
          <w:color w:val="auto"/>
        </w:rPr>
        <w:t xml:space="preserve">Basis Contracts is not being calculated in accordance with </w:t>
      </w:r>
      <w:r w:rsidR="00191546">
        <w:rPr>
          <w:bCs/>
          <w:color w:val="auto"/>
        </w:rPr>
        <w:t xml:space="preserve">NFX or OCC </w:t>
      </w:r>
      <w:r w:rsidR="00B53DD6">
        <w:rPr>
          <w:bCs/>
          <w:color w:val="auto"/>
        </w:rPr>
        <w:t>rule</w:t>
      </w:r>
      <w:r w:rsidR="00191546">
        <w:rPr>
          <w:bCs/>
          <w:color w:val="auto"/>
        </w:rPr>
        <w:t>s</w:t>
      </w:r>
      <w:r w:rsidR="00B53DD6">
        <w:rPr>
          <w:bCs/>
          <w:color w:val="auto"/>
        </w:rPr>
        <w:t xml:space="preserve">.  </w:t>
      </w:r>
    </w:p>
    <w:p w:rsidR="00191546" w:rsidRDefault="00191546" w:rsidP="00EA3EB4">
      <w:pPr>
        <w:pStyle w:val="Default"/>
        <w:ind w:firstLine="720"/>
        <w:rPr>
          <w:bCs/>
          <w:color w:val="auto"/>
        </w:rPr>
      </w:pPr>
    </w:p>
    <w:p w:rsidR="00B53DD6" w:rsidRDefault="00B53DD6" w:rsidP="00B53DD6">
      <w:pPr>
        <w:pStyle w:val="Default"/>
        <w:rPr>
          <w:b/>
          <w:bCs/>
          <w:color w:val="auto"/>
        </w:rPr>
      </w:pPr>
    </w:p>
    <w:p w:rsidR="00B53DD6" w:rsidRPr="00143C26" w:rsidRDefault="00B53DD6" w:rsidP="0095133E">
      <w:pPr>
        <w:pStyle w:val="Default"/>
        <w:rPr>
          <w:b/>
          <w:bCs/>
          <w:color w:val="auto"/>
        </w:rPr>
      </w:pPr>
      <w:r w:rsidRPr="00143C26">
        <w:rPr>
          <w:b/>
          <w:bCs/>
          <w:color w:val="auto"/>
        </w:rPr>
        <w:t>De</w:t>
      </w:r>
      <w:r w:rsidR="00756ECA" w:rsidRPr="00143C26">
        <w:rPr>
          <w:b/>
          <w:bCs/>
          <w:color w:val="auto"/>
        </w:rPr>
        <w:t>-L</w:t>
      </w:r>
      <w:r w:rsidRPr="00143C26">
        <w:rPr>
          <w:b/>
          <w:bCs/>
          <w:color w:val="auto"/>
        </w:rPr>
        <w:t>isting of the Fuel Oil and CAISO Financial Futures Contracts</w:t>
      </w:r>
    </w:p>
    <w:p w:rsidR="00B53DD6" w:rsidRDefault="00B53DD6" w:rsidP="00B53DD6">
      <w:pPr>
        <w:pStyle w:val="Default"/>
        <w:rPr>
          <w:b/>
          <w:bCs/>
          <w:color w:val="auto"/>
        </w:rPr>
      </w:pPr>
    </w:p>
    <w:p w:rsidR="00B53DD6" w:rsidRPr="00756ECA" w:rsidRDefault="00B53DD6" w:rsidP="00B53DD6">
      <w:pPr>
        <w:pStyle w:val="Default"/>
        <w:rPr>
          <w:bCs/>
          <w:color w:val="auto"/>
        </w:rPr>
      </w:pPr>
      <w:r w:rsidRPr="00756ECA">
        <w:rPr>
          <w:bCs/>
          <w:color w:val="auto"/>
        </w:rPr>
        <w:tab/>
      </w:r>
      <w:r w:rsidR="00594DC8">
        <w:rPr>
          <w:bCs/>
          <w:color w:val="auto"/>
        </w:rPr>
        <w:t>Effective April 15, 2019, N</w:t>
      </w:r>
      <w:r w:rsidR="00756ECA" w:rsidRPr="00756ECA">
        <w:rPr>
          <w:bCs/>
          <w:color w:val="auto"/>
        </w:rPr>
        <w:t xml:space="preserve">FX </w:t>
      </w:r>
      <w:r w:rsidR="00594DC8">
        <w:rPr>
          <w:bCs/>
          <w:color w:val="auto"/>
        </w:rPr>
        <w:t>will de-list</w:t>
      </w:r>
      <w:r w:rsidR="00756ECA" w:rsidRPr="00756ECA">
        <w:rPr>
          <w:bCs/>
          <w:color w:val="auto"/>
        </w:rPr>
        <w:t xml:space="preserve"> </w:t>
      </w:r>
      <w:r w:rsidR="00756ECA">
        <w:rPr>
          <w:bCs/>
          <w:color w:val="auto"/>
        </w:rPr>
        <w:t xml:space="preserve">both fuel oil and California Independent Service Operator (CAISO) financial futures contracts.  </w:t>
      </w:r>
      <w:r w:rsidR="005D4085">
        <w:rPr>
          <w:bCs/>
          <w:color w:val="auto"/>
        </w:rPr>
        <w:t xml:space="preserve">There is currently no open interest </w:t>
      </w:r>
      <w:r w:rsidR="0093302B">
        <w:rPr>
          <w:bCs/>
          <w:color w:val="auto"/>
        </w:rPr>
        <w:t xml:space="preserve">in </w:t>
      </w:r>
      <w:r w:rsidR="005D4085">
        <w:rPr>
          <w:bCs/>
          <w:color w:val="auto"/>
        </w:rPr>
        <w:t>any of the contracts being de-listed.</w:t>
      </w:r>
      <w:r w:rsidR="00A10026">
        <w:rPr>
          <w:rStyle w:val="FootnoteReference"/>
          <w:bCs/>
          <w:color w:val="auto"/>
        </w:rPr>
        <w:footnoteReference w:id="4"/>
      </w:r>
      <w:r w:rsidR="005D4085">
        <w:rPr>
          <w:bCs/>
          <w:color w:val="auto"/>
        </w:rPr>
        <w:t xml:space="preserve">  </w:t>
      </w:r>
      <w:r w:rsidR="00A10026">
        <w:rPr>
          <w:bCs/>
          <w:color w:val="auto"/>
        </w:rPr>
        <w:t>The NFX marketplace w</w:t>
      </w:r>
      <w:r w:rsidR="00594DC8">
        <w:rPr>
          <w:bCs/>
          <w:color w:val="auto"/>
        </w:rPr>
        <w:t>ill be</w:t>
      </w:r>
      <w:r w:rsidR="00A10026">
        <w:rPr>
          <w:bCs/>
          <w:color w:val="auto"/>
        </w:rPr>
        <w:t xml:space="preserve"> informed of the planned de-listing of the fuel oil and CAISO contracts by Futures Trader Alert</w:t>
      </w:r>
      <w:r w:rsidR="0034244F">
        <w:rPr>
          <w:bCs/>
          <w:color w:val="auto"/>
        </w:rPr>
        <w:t xml:space="preserve">, dated April 11, 2019.  </w:t>
      </w:r>
    </w:p>
    <w:p w:rsidR="00433B85" w:rsidRDefault="00433B85"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5D4085" w:rsidRDefault="0008423C" w:rsidP="005D4085">
      <w:pPr>
        <w:pStyle w:val="Default"/>
        <w:ind w:firstLine="72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w:t>
      </w:r>
      <w:r w:rsidR="003B3AF9">
        <w:rPr>
          <w:color w:val="auto"/>
        </w:rPr>
        <w:t xml:space="preserve"> Based on our review, the Exchange has determined that the changes meet the requirements of the Core Principles.  </w:t>
      </w:r>
    </w:p>
    <w:p w:rsidR="005D4085" w:rsidRDefault="005D4085" w:rsidP="005D4085">
      <w:pPr>
        <w:pStyle w:val="Default"/>
        <w:rPr>
          <w:color w:val="auto"/>
        </w:rPr>
      </w:pPr>
    </w:p>
    <w:p w:rsidR="005D4085" w:rsidRPr="00E1206A" w:rsidRDefault="005D4085" w:rsidP="005D4085">
      <w:pPr>
        <w:pStyle w:val="Default"/>
        <w:rPr>
          <w:b/>
          <w:bCs/>
          <w:color w:val="auto"/>
        </w:rPr>
      </w:pPr>
      <w:r>
        <w:rPr>
          <w:color w:val="auto"/>
        </w:rPr>
        <w:t xml:space="preserve">Core Principle 4 – Prevention of Market Disruption:  The de-listing of the fuel oil and CAISO futures contracts will not </w:t>
      </w:r>
      <w:r w:rsidRPr="005D4085">
        <w:rPr>
          <w:bCs/>
          <w:color w:val="auto"/>
        </w:rPr>
        <w:t>result in any market disruption since the</w:t>
      </w:r>
      <w:r w:rsidR="00143C26">
        <w:rPr>
          <w:bCs/>
          <w:color w:val="auto"/>
        </w:rPr>
        <w:t>r</w:t>
      </w:r>
      <w:r w:rsidRPr="005D4085">
        <w:rPr>
          <w:bCs/>
          <w:color w:val="auto"/>
        </w:rPr>
        <w:t>e is no open interest in any of the contracts being de-listed.</w:t>
      </w:r>
      <w:r>
        <w:rPr>
          <w:b/>
          <w:bCs/>
          <w:color w:val="auto"/>
        </w:rPr>
        <w:t xml:space="preserve">  </w:t>
      </w:r>
    </w:p>
    <w:p w:rsidR="005D4085" w:rsidRDefault="005D4085" w:rsidP="005D4085">
      <w:pPr>
        <w:pStyle w:val="Default"/>
        <w:rPr>
          <w:color w:val="auto"/>
          <w:u w:val="single"/>
        </w:rPr>
      </w:pPr>
    </w:p>
    <w:p w:rsidR="0008423C" w:rsidRDefault="0008423C" w:rsidP="005D4085">
      <w:pPr>
        <w:pStyle w:val="Default"/>
        <w:rPr>
          <w:color w:val="auto"/>
        </w:rPr>
      </w:pPr>
      <w:r w:rsidRPr="00191546">
        <w:rPr>
          <w:color w:val="auto"/>
        </w:rPr>
        <w:lastRenderedPageBreak/>
        <w:t xml:space="preserve">Core Principle 7 </w:t>
      </w:r>
      <w:r w:rsidRPr="00E1206A">
        <w:rPr>
          <w:color w:val="auto"/>
        </w:rPr>
        <w:t>- Availability of General Information</w:t>
      </w:r>
      <w:r w:rsidR="005D4085">
        <w:rPr>
          <w:color w:val="auto"/>
        </w:rPr>
        <w:t xml:space="preserve">:  </w:t>
      </w:r>
      <w:r w:rsidR="003B3AF9">
        <w:rPr>
          <w:color w:val="auto"/>
        </w:rPr>
        <w:t>Each of the changes outlined in this certification will be posted in the Exchanges rulebook which may be found on its website:</w:t>
      </w:r>
      <w:r w:rsidR="003B3AF9" w:rsidRPr="003B3AF9">
        <w:rPr>
          <w:rStyle w:val="Hyperlink"/>
        </w:rPr>
        <w:t xml:space="preserve"> </w:t>
      </w:r>
      <w:hyperlink r:id="rId12" w:history="1">
        <w:r w:rsidR="003B3AF9" w:rsidRPr="00E1206A">
          <w:rPr>
            <w:rStyle w:val="Hyperlink"/>
          </w:rPr>
          <w:t>business.nasdaq.com/futures</w:t>
        </w:r>
      </w:hyperlink>
      <w:r w:rsidR="003B3AF9" w:rsidRPr="00E1206A">
        <w:rPr>
          <w:color w:val="auto"/>
        </w:rPr>
        <w:t>.</w:t>
      </w:r>
      <w:r w:rsidR="003B3AF9">
        <w:rPr>
          <w:color w:val="auto"/>
        </w:rPr>
        <w:t xml:space="preserve">  </w:t>
      </w:r>
    </w:p>
    <w:p w:rsidR="00191546" w:rsidRDefault="00191546" w:rsidP="005D4085">
      <w:pPr>
        <w:pStyle w:val="Default"/>
        <w:rPr>
          <w:color w:val="auto"/>
        </w:rPr>
      </w:pPr>
    </w:p>
    <w:p w:rsidR="00191546" w:rsidRDefault="00191546" w:rsidP="005D4085">
      <w:pPr>
        <w:pStyle w:val="Default"/>
        <w:rPr>
          <w:color w:val="auto"/>
        </w:rPr>
      </w:pPr>
      <w:r>
        <w:rPr>
          <w:color w:val="auto"/>
        </w:rPr>
        <w:t xml:space="preserve">Core Principle 8 – Daily Publication of Trading Information:  As discussed above, removal of the word “promptly” in the Off-Exchange Transactions Reference Guide will not implicate Core Principle 8 as trade information will continue to be published </w:t>
      </w:r>
      <w:r w:rsidR="00935BFD">
        <w:rPr>
          <w:color w:val="auto"/>
        </w:rPr>
        <w:t xml:space="preserve">by the Exchange </w:t>
      </w:r>
      <w:r>
        <w:rPr>
          <w:color w:val="auto"/>
        </w:rPr>
        <w:t xml:space="preserve">on a daily basis. </w:t>
      </w:r>
    </w:p>
    <w:p w:rsidR="0008423C" w:rsidRDefault="0008423C" w:rsidP="005D4085">
      <w:pPr>
        <w:pStyle w:val="Default"/>
        <w:rPr>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5D4085">
      <w:pPr>
        <w:pStyle w:val="PlainText"/>
        <w:ind w:firstLine="72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DF1467">
        <w:rPr>
          <w:rFonts w:ascii="Times New Roman" w:eastAsia="Calibri" w:hAnsi="Times New Roman" w:cs="Times New Roman"/>
          <w:sz w:val="24"/>
          <w:szCs w:val="24"/>
        </w:rPr>
        <w:t xml:space="preserve">If you require any additional information regarding the submission, please </w:t>
      </w:r>
      <w:r w:rsidRPr="00DF1467">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DF1467">
        <w:rPr>
          <w:rFonts w:ascii="Times New Roman" w:hAnsi="Times New Roman" w:cs="Times New Roman"/>
          <w:spacing w:val="-6"/>
          <w:sz w:val="24"/>
          <w:szCs w:val="24"/>
        </w:rPr>
        <w:t>Aravind</w:t>
      </w:r>
      <w:proofErr w:type="spellEnd"/>
      <w:r w:rsidRPr="00DF1467">
        <w:rPr>
          <w:rFonts w:ascii="Times New Roman" w:hAnsi="Times New Roman" w:cs="Times New Roman"/>
          <w:spacing w:val="-6"/>
          <w:sz w:val="24"/>
          <w:szCs w:val="24"/>
        </w:rPr>
        <w:t xml:space="preserve"> Menon at (301) 978-8416 </w:t>
      </w:r>
      <w:r w:rsidRPr="00DF1467">
        <w:rPr>
          <w:rFonts w:ascii="Times New Roman" w:hAnsi="Times New Roman" w:cs="Times New Roman"/>
          <w:sz w:val="24"/>
          <w:szCs w:val="24"/>
        </w:rPr>
        <w:t>or</w:t>
      </w:r>
      <w:r w:rsidRPr="00DF1467">
        <w:rPr>
          <w:rFonts w:ascii="Times New Roman" w:hAnsi="Times New Roman" w:cs="Times New Roman"/>
          <w:spacing w:val="-6"/>
          <w:sz w:val="24"/>
          <w:szCs w:val="24"/>
        </w:rPr>
        <w:t xml:space="preserve"> </w:t>
      </w:r>
      <w:r w:rsidRPr="00DF1467">
        <w:rPr>
          <w:rFonts w:ascii="Times New Roman" w:hAnsi="Times New Roman" w:cs="Times New Roman"/>
          <w:sz w:val="24"/>
          <w:szCs w:val="24"/>
        </w:rPr>
        <w:t>aravind.menon@nasdaq.com</w:t>
      </w:r>
      <w:r w:rsidRPr="00DF1467">
        <w:rPr>
          <w:rFonts w:ascii="Times New Roman" w:hAnsi="Times New Roman" w:cs="Times New Roman"/>
          <w:spacing w:val="-6"/>
          <w:sz w:val="24"/>
          <w:szCs w:val="24"/>
        </w:rPr>
        <w:t xml:space="preserve">.  </w:t>
      </w:r>
      <w:r w:rsidRPr="00DF1467">
        <w:rPr>
          <w:rFonts w:ascii="Times New Roman" w:hAnsi="Times New Roman" w:cs="Times New Roman"/>
          <w:sz w:val="24"/>
          <w:szCs w:val="24"/>
        </w:rPr>
        <w:t>Please</w:t>
      </w:r>
      <w:r w:rsidRPr="00DF1467">
        <w:rPr>
          <w:rFonts w:ascii="Times New Roman" w:hAnsi="Times New Roman" w:cs="Times New Roman"/>
          <w:spacing w:val="-6"/>
          <w:sz w:val="24"/>
          <w:szCs w:val="24"/>
        </w:rPr>
        <w:t xml:space="preserve"> </w:t>
      </w:r>
      <w:r w:rsidRPr="00DF1467">
        <w:rPr>
          <w:rFonts w:ascii="Times New Roman" w:hAnsi="Times New Roman" w:cs="Times New Roman"/>
          <w:sz w:val="24"/>
          <w:szCs w:val="24"/>
        </w:rPr>
        <w:t>refer to</w:t>
      </w:r>
      <w:r w:rsidRPr="00DF1467">
        <w:rPr>
          <w:rFonts w:ascii="Times New Roman" w:hAnsi="Times New Roman" w:cs="Times New Roman"/>
          <w:spacing w:val="-6"/>
          <w:sz w:val="24"/>
          <w:szCs w:val="24"/>
        </w:rPr>
        <w:t xml:space="preserve"> </w:t>
      </w:r>
      <w:r w:rsidRPr="00DF1467">
        <w:rPr>
          <w:rFonts w:ascii="Times New Roman" w:hAnsi="Times New Roman" w:cs="Times New Roman"/>
          <w:sz w:val="24"/>
          <w:szCs w:val="24"/>
        </w:rPr>
        <w:t>SR-NFX-201</w:t>
      </w:r>
      <w:r w:rsidR="00DF1467" w:rsidRPr="00DF1467">
        <w:rPr>
          <w:rFonts w:ascii="Times New Roman" w:hAnsi="Times New Roman" w:cs="Times New Roman"/>
          <w:sz w:val="24"/>
          <w:szCs w:val="24"/>
        </w:rPr>
        <w:t>9</w:t>
      </w:r>
      <w:r w:rsidRPr="00E1206A">
        <w:rPr>
          <w:rFonts w:ascii="Times New Roman" w:hAnsi="Times New Roman" w:cs="Times New Roman"/>
          <w:sz w:val="24"/>
          <w:szCs w:val="24"/>
        </w:rPr>
        <w:t>-</w:t>
      </w:r>
      <w:r w:rsidR="005D2A9E">
        <w:rPr>
          <w:rFonts w:ascii="Times New Roman" w:hAnsi="Times New Roman" w:cs="Times New Roman"/>
          <w:sz w:val="24"/>
          <w:szCs w:val="24"/>
        </w:rPr>
        <w:t xml:space="preserve">12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95411C" w:rsidRDefault="00474C09" w:rsidP="0095411C">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09C41D3F" wp14:editId="43A2C258">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08423C" w:rsidRDefault="00474C09" w:rsidP="0095411C">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474C09" w:rsidRDefault="00474C09" w:rsidP="00474C09">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rsidR="0008423C" w:rsidRDefault="0008423C" w:rsidP="0008423C">
      <w:pPr>
        <w:pStyle w:val="NoSpacing"/>
        <w:rPr>
          <w:rFonts w:ascii="Times New Roman" w:eastAsia="Calibri" w:hAnsi="Times New Roman" w:cs="Times New Roman"/>
          <w:sz w:val="24"/>
          <w:szCs w:val="24"/>
        </w:rPr>
      </w:pPr>
    </w:p>
    <w:p w:rsidR="0095411C" w:rsidRPr="00E1206A" w:rsidRDefault="0095411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3D724D" w:rsidRDefault="0008423C" w:rsidP="003D724D">
      <w:pPr>
        <w:spacing w:after="0" w:line="240" w:lineRule="auto"/>
        <w:ind w:left="1440" w:hanging="1440"/>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003D724D">
        <w:rPr>
          <w:rFonts w:ascii="Times New Roman" w:hAnsi="Times New Roman" w:cs="Times New Roman"/>
          <w:sz w:val="24"/>
          <w:szCs w:val="24"/>
        </w:rPr>
        <w:t>:</w:t>
      </w:r>
      <w:r w:rsidR="003D724D">
        <w:rPr>
          <w:rFonts w:ascii="Times New Roman" w:hAnsi="Times New Roman" w:cs="Times New Roman"/>
          <w:sz w:val="24"/>
          <w:szCs w:val="24"/>
        </w:rPr>
        <w:tab/>
        <w:t>A</w:t>
      </w:r>
      <w:r w:rsidRPr="00E1206A">
        <w:rPr>
          <w:rFonts w:ascii="Times New Roman" w:hAnsi="Times New Roman" w:cs="Times New Roman"/>
          <w:sz w:val="24"/>
          <w:szCs w:val="24"/>
        </w:rPr>
        <w:t xml:space="preserve">mendments to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xml:space="preserve"> – </w:t>
      </w:r>
      <w:r w:rsidR="003D724D">
        <w:rPr>
          <w:rFonts w:ascii="Times New Roman" w:hAnsi="Times New Roman" w:cs="Times New Roman"/>
          <w:sz w:val="24"/>
          <w:szCs w:val="24"/>
        </w:rPr>
        <w:t>Off-Exchange Transactions Reference Guide</w:t>
      </w:r>
    </w:p>
    <w:p w:rsidR="00D60246" w:rsidRDefault="003D724D" w:rsidP="00D60246">
      <w:pPr>
        <w:spacing w:after="0" w:line="240" w:lineRule="auto"/>
        <w:rPr>
          <w:rFonts w:ascii="Times New Roman" w:hAnsi="Times New Roman" w:cs="Times New Roman"/>
          <w:sz w:val="24"/>
          <w:szCs w:val="24"/>
        </w:rPr>
      </w:pPr>
      <w:r w:rsidRPr="003D724D">
        <w:rPr>
          <w:rFonts w:ascii="Times New Roman" w:hAnsi="Times New Roman" w:cs="Times New Roman"/>
          <w:sz w:val="24"/>
          <w:szCs w:val="24"/>
          <w:u w:val="single"/>
        </w:rPr>
        <w:t>Exhibit B</w:t>
      </w:r>
      <w:r>
        <w:rPr>
          <w:rFonts w:ascii="Times New Roman" w:hAnsi="Times New Roman" w:cs="Times New Roman"/>
          <w:sz w:val="24"/>
          <w:szCs w:val="24"/>
        </w:rPr>
        <w:t>:</w:t>
      </w:r>
      <w:r>
        <w:rPr>
          <w:rFonts w:ascii="Times New Roman" w:hAnsi="Times New Roman" w:cs="Times New Roman"/>
          <w:sz w:val="24"/>
          <w:szCs w:val="24"/>
        </w:rPr>
        <w:tab/>
        <w:t xml:space="preserve">Appendix A, </w:t>
      </w:r>
      <w:r w:rsidR="0008423C" w:rsidRPr="00E1206A">
        <w:rPr>
          <w:rFonts w:ascii="Times New Roman" w:hAnsi="Times New Roman" w:cs="Times New Roman"/>
          <w:sz w:val="24"/>
          <w:szCs w:val="24"/>
        </w:rPr>
        <w:t>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63" w:rsidRDefault="00E96E63" w:rsidP="0008423C">
      <w:pPr>
        <w:spacing w:after="0" w:line="240" w:lineRule="auto"/>
      </w:pPr>
      <w:r>
        <w:separator/>
      </w:r>
    </w:p>
  </w:endnote>
  <w:endnote w:type="continuationSeparator" w:id="0">
    <w:p w:rsidR="00E96E63" w:rsidRDefault="00E96E63"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63" w:rsidRDefault="00E96E63" w:rsidP="0008423C">
      <w:pPr>
        <w:spacing w:after="0" w:line="240" w:lineRule="auto"/>
      </w:pPr>
      <w:r>
        <w:separator/>
      </w:r>
    </w:p>
  </w:footnote>
  <w:footnote w:type="continuationSeparator" w:id="0">
    <w:p w:rsidR="00E96E63" w:rsidRDefault="00E96E63" w:rsidP="0008423C">
      <w:pPr>
        <w:spacing w:after="0" w:line="240" w:lineRule="auto"/>
      </w:pPr>
      <w:r>
        <w:continuationSeparator/>
      </w:r>
    </w:p>
  </w:footnote>
  <w:footnote w:id="1">
    <w:p w:rsidR="00A0123F" w:rsidRPr="00191546" w:rsidRDefault="00A0123F">
      <w:pPr>
        <w:pStyle w:val="FootnoteText"/>
        <w:rPr>
          <w:rFonts w:ascii="Times New Roman" w:hAnsi="Times New Roman" w:cs="Times New Roman"/>
        </w:rPr>
      </w:pPr>
      <w:r w:rsidRPr="00191546">
        <w:rPr>
          <w:rStyle w:val="FootnoteReference"/>
          <w:rFonts w:ascii="Times New Roman" w:hAnsi="Times New Roman" w:cs="Times New Roman"/>
        </w:rPr>
        <w:footnoteRef/>
      </w:r>
      <w:r w:rsidRPr="00191546">
        <w:rPr>
          <w:rFonts w:ascii="Times New Roman" w:hAnsi="Times New Roman" w:cs="Times New Roman"/>
        </w:rPr>
        <w:t xml:space="preserve"> </w:t>
      </w:r>
      <w:r w:rsidRPr="00191546">
        <w:rPr>
          <w:rFonts w:ascii="Times New Roman" w:hAnsi="Times New Roman" w:cs="Times New Roman"/>
        </w:rPr>
        <w:tab/>
        <w:t xml:space="preserve">See Off-Exchange Transactions Reference Guide, page 15.  </w:t>
      </w:r>
    </w:p>
  </w:footnote>
  <w:footnote w:id="2">
    <w:p w:rsidR="000565B8" w:rsidRPr="00191546" w:rsidRDefault="000565B8">
      <w:pPr>
        <w:pStyle w:val="FootnoteText"/>
        <w:rPr>
          <w:rFonts w:ascii="Times New Roman" w:hAnsi="Times New Roman" w:cs="Times New Roman"/>
        </w:rPr>
      </w:pPr>
      <w:r w:rsidRPr="00191546">
        <w:rPr>
          <w:rStyle w:val="FootnoteReference"/>
          <w:rFonts w:ascii="Times New Roman" w:hAnsi="Times New Roman" w:cs="Times New Roman"/>
        </w:rPr>
        <w:footnoteRef/>
      </w:r>
      <w:r w:rsidRPr="00191546">
        <w:rPr>
          <w:rFonts w:ascii="Times New Roman" w:hAnsi="Times New Roman" w:cs="Times New Roman"/>
        </w:rPr>
        <w:t xml:space="preserve"> </w:t>
      </w:r>
      <w:r w:rsidRPr="00191546">
        <w:rPr>
          <w:rFonts w:ascii="Times New Roman" w:hAnsi="Times New Roman" w:cs="Times New Roman"/>
        </w:rPr>
        <w:tab/>
        <w:t xml:space="preserve">See X.04 Final Settlement Day for each of the Argus Contracts.  </w:t>
      </w:r>
    </w:p>
  </w:footnote>
  <w:footnote w:id="3">
    <w:p w:rsidR="00883BA4" w:rsidRDefault="00883BA4" w:rsidP="00883BA4">
      <w:pPr>
        <w:pStyle w:val="FootnoteText"/>
        <w:rPr>
          <w:rFonts w:ascii="Times New Roman" w:hAnsi="Times New Roman" w:cs="Times New Roman"/>
        </w:rPr>
      </w:pPr>
      <w:r w:rsidRPr="00191546">
        <w:rPr>
          <w:rStyle w:val="FootnoteReference"/>
          <w:rFonts w:ascii="Times New Roman" w:hAnsi="Times New Roman" w:cs="Times New Roman"/>
        </w:rPr>
        <w:footnoteRef/>
      </w:r>
      <w:r w:rsidRPr="00191546">
        <w:rPr>
          <w:rFonts w:ascii="Times New Roman" w:hAnsi="Times New Roman" w:cs="Times New Roman"/>
        </w:rPr>
        <w:t xml:space="preserve"> </w:t>
      </w:r>
      <w:r w:rsidRPr="00191546">
        <w:rPr>
          <w:rFonts w:ascii="Times New Roman" w:hAnsi="Times New Roman" w:cs="Times New Roman"/>
        </w:rPr>
        <w:tab/>
        <w:t xml:space="preserve">NFX offers five futures contracts that establish a basis spread between a referenced underlying commodity and the NFX WTI 1st Line Financial Futures.  The terms and conditions for each Basis Contract may be found in chapters 117, 121, 125, 129 and 133.  </w:t>
      </w:r>
    </w:p>
    <w:p w:rsidR="00A10026" w:rsidRPr="00191546" w:rsidRDefault="00A10026" w:rsidP="00883BA4">
      <w:pPr>
        <w:pStyle w:val="FootnoteText"/>
        <w:rPr>
          <w:rFonts w:ascii="Times New Roman" w:hAnsi="Times New Roman" w:cs="Times New Roman"/>
        </w:rPr>
      </w:pPr>
    </w:p>
  </w:footnote>
  <w:footnote w:id="4">
    <w:p w:rsidR="00A10026" w:rsidRPr="00A10026" w:rsidRDefault="00A10026">
      <w:pPr>
        <w:pStyle w:val="FootnoteText"/>
        <w:rPr>
          <w:rFonts w:ascii="Times New Roman" w:hAnsi="Times New Roman" w:cs="Times New Roman"/>
        </w:rPr>
      </w:pPr>
      <w:r w:rsidRPr="00A10026">
        <w:rPr>
          <w:rStyle w:val="FootnoteReference"/>
          <w:rFonts w:ascii="Times New Roman" w:hAnsi="Times New Roman" w:cs="Times New Roman"/>
        </w:rPr>
        <w:footnoteRef/>
      </w:r>
      <w:r w:rsidRPr="00A10026">
        <w:rPr>
          <w:rFonts w:ascii="Times New Roman" w:hAnsi="Times New Roman" w:cs="Times New Roman"/>
        </w:rPr>
        <w:t xml:space="preserve"> </w:t>
      </w:r>
      <w:r w:rsidRPr="00A10026">
        <w:rPr>
          <w:rFonts w:ascii="Times New Roman" w:hAnsi="Times New Roman" w:cs="Times New Roman"/>
        </w:rPr>
        <w:tab/>
        <w:t xml:space="preserve">All related references to the fuel oil and CAISO contracts will be removed from the </w:t>
      </w:r>
      <w:r>
        <w:rPr>
          <w:rFonts w:ascii="Times New Roman" w:hAnsi="Times New Roman" w:cs="Times New Roman"/>
        </w:rPr>
        <w:t xml:space="preserve">fee schedule and position limit chart of the NFX </w:t>
      </w:r>
      <w:r w:rsidRPr="00A10026">
        <w:rPr>
          <w:rFonts w:ascii="Times New Roman" w:hAnsi="Times New Roman" w:cs="Times New Roman"/>
        </w:rPr>
        <w:t xml:space="preserve">rulebook.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6172">
      <w:rPr>
        <w:rFonts w:ascii="Times New Roman" w:hAnsi="Times New Roman" w:cs="Times New Roman"/>
        <w:noProof/>
        <w:sz w:val="20"/>
        <w:szCs w:val="20"/>
      </w:rPr>
      <w:t>April 10, 2019</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w:t>
    </w:r>
    <w:r w:rsidR="0093302B">
      <w:rPr>
        <w:rFonts w:ascii="Times New Roman" w:hAnsi="Times New Roman" w:cs="Times New Roman"/>
        <w:sz w:val="20"/>
        <w:szCs w:val="20"/>
      </w:rPr>
      <w:t>2019</w:t>
    </w:r>
    <w:r w:rsidR="00E12802" w:rsidRPr="00C54BB6">
      <w:rPr>
        <w:rFonts w:ascii="Times New Roman" w:hAnsi="Times New Roman" w:cs="Times New Roman"/>
        <w:sz w:val="20"/>
        <w:szCs w:val="20"/>
      </w:rPr>
      <w:t>-</w:t>
    </w:r>
    <w:r w:rsidR="005D2A9E">
      <w:rPr>
        <w:rFonts w:ascii="Times New Roman" w:hAnsi="Times New Roman" w:cs="Times New Roman"/>
        <w:sz w:val="20"/>
        <w:szCs w:val="20"/>
      </w:rPr>
      <w:t>12</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D6172">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6537C"/>
    <w:multiLevelType w:val="hybridMultilevel"/>
    <w:tmpl w:val="EBFA62F8"/>
    <w:lvl w:ilvl="0" w:tplc="218ECBF4">
      <w:start w:val="1"/>
      <w:numFmt w:val="bullet"/>
      <w:lvlText w:val=""/>
      <w:lvlJc w:val="left"/>
      <w:pPr>
        <w:ind w:left="1670" w:hanging="360"/>
      </w:pPr>
      <w:rPr>
        <w:rFonts w:ascii="Symbol" w:eastAsiaTheme="minorHAnsi" w:hAnsi="Symbol" w:cs="Times New Roman" w:hint="default"/>
        <w:u w:val="single"/>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565B8"/>
    <w:rsid w:val="0006690C"/>
    <w:rsid w:val="0008423C"/>
    <w:rsid w:val="000B0A72"/>
    <w:rsid w:val="000E26AE"/>
    <w:rsid w:val="000E415C"/>
    <w:rsid w:val="0011768E"/>
    <w:rsid w:val="00123A3B"/>
    <w:rsid w:val="0012529D"/>
    <w:rsid w:val="00143C26"/>
    <w:rsid w:val="00154FD5"/>
    <w:rsid w:val="00161AB2"/>
    <w:rsid w:val="001710AA"/>
    <w:rsid w:val="00191546"/>
    <w:rsid w:val="00204EC5"/>
    <w:rsid w:val="00253701"/>
    <w:rsid w:val="00270284"/>
    <w:rsid w:val="002A734D"/>
    <w:rsid w:val="002C0A34"/>
    <w:rsid w:val="002C0FB3"/>
    <w:rsid w:val="002E3077"/>
    <w:rsid w:val="00317C2C"/>
    <w:rsid w:val="00325C2B"/>
    <w:rsid w:val="0034244F"/>
    <w:rsid w:val="003775E4"/>
    <w:rsid w:val="003B3AF9"/>
    <w:rsid w:val="003D40B8"/>
    <w:rsid w:val="003D724D"/>
    <w:rsid w:val="003F5F13"/>
    <w:rsid w:val="004008C0"/>
    <w:rsid w:val="00403D9A"/>
    <w:rsid w:val="00433B85"/>
    <w:rsid w:val="00474C09"/>
    <w:rsid w:val="004965FA"/>
    <w:rsid w:val="004A53F9"/>
    <w:rsid w:val="004B0524"/>
    <w:rsid w:val="004D683F"/>
    <w:rsid w:val="004D7E5D"/>
    <w:rsid w:val="004F147E"/>
    <w:rsid w:val="00543CA2"/>
    <w:rsid w:val="00581BC6"/>
    <w:rsid w:val="00594DC8"/>
    <w:rsid w:val="005A08AE"/>
    <w:rsid w:val="005D2A9E"/>
    <w:rsid w:val="005D4085"/>
    <w:rsid w:val="005E3020"/>
    <w:rsid w:val="005F3337"/>
    <w:rsid w:val="006317AA"/>
    <w:rsid w:val="00682A97"/>
    <w:rsid w:val="0069577B"/>
    <w:rsid w:val="006A79D0"/>
    <w:rsid w:val="006B3A2F"/>
    <w:rsid w:val="006E7A2A"/>
    <w:rsid w:val="007076E9"/>
    <w:rsid w:val="00756ECA"/>
    <w:rsid w:val="007958C5"/>
    <w:rsid w:val="007C7601"/>
    <w:rsid w:val="007E0783"/>
    <w:rsid w:val="00821537"/>
    <w:rsid w:val="00823DAF"/>
    <w:rsid w:val="0082421C"/>
    <w:rsid w:val="008321A8"/>
    <w:rsid w:val="0083533B"/>
    <w:rsid w:val="00846BAF"/>
    <w:rsid w:val="00864CEC"/>
    <w:rsid w:val="00883BA4"/>
    <w:rsid w:val="00893E15"/>
    <w:rsid w:val="008B041F"/>
    <w:rsid w:val="008C3F5C"/>
    <w:rsid w:val="0093302B"/>
    <w:rsid w:val="00935BFD"/>
    <w:rsid w:val="0095133E"/>
    <w:rsid w:val="0095411C"/>
    <w:rsid w:val="0096726E"/>
    <w:rsid w:val="00995D64"/>
    <w:rsid w:val="009A686A"/>
    <w:rsid w:val="009D0582"/>
    <w:rsid w:val="009D6172"/>
    <w:rsid w:val="00A0123F"/>
    <w:rsid w:val="00A03D1E"/>
    <w:rsid w:val="00A10026"/>
    <w:rsid w:val="00A5669E"/>
    <w:rsid w:val="00A63BA2"/>
    <w:rsid w:val="00AD7CB9"/>
    <w:rsid w:val="00B10067"/>
    <w:rsid w:val="00B40073"/>
    <w:rsid w:val="00B53DD6"/>
    <w:rsid w:val="00B53FAF"/>
    <w:rsid w:val="00B6532A"/>
    <w:rsid w:val="00BE291B"/>
    <w:rsid w:val="00BF3AF0"/>
    <w:rsid w:val="00C21CE4"/>
    <w:rsid w:val="00C34D56"/>
    <w:rsid w:val="00C4068B"/>
    <w:rsid w:val="00C67CC4"/>
    <w:rsid w:val="00CA52C3"/>
    <w:rsid w:val="00CA6E45"/>
    <w:rsid w:val="00CB53DA"/>
    <w:rsid w:val="00D0050D"/>
    <w:rsid w:val="00D13786"/>
    <w:rsid w:val="00D14EA5"/>
    <w:rsid w:val="00D327C6"/>
    <w:rsid w:val="00D60246"/>
    <w:rsid w:val="00D6561E"/>
    <w:rsid w:val="00D70718"/>
    <w:rsid w:val="00D84895"/>
    <w:rsid w:val="00DA3C06"/>
    <w:rsid w:val="00DE2C1B"/>
    <w:rsid w:val="00DF1467"/>
    <w:rsid w:val="00DF5AFC"/>
    <w:rsid w:val="00E1206A"/>
    <w:rsid w:val="00E12802"/>
    <w:rsid w:val="00E34482"/>
    <w:rsid w:val="00E74C83"/>
    <w:rsid w:val="00E96E63"/>
    <w:rsid w:val="00EA3EB4"/>
    <w:rsid w:val="00EC432B"/>
    <w:rsid w:val="00F02F13"/>
    <w:rsid w:val="00F20122"/>
    <w:rsid w:val="00F33D5A"/>
    <w:rsid w:val="00F452FD"/>
    <w:rsid w:val="00F86B2E"/>
    <w:rsid w:val="00F93853"/>
    <w:rsid w:val="00F97018"/>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0a747881-35b9-48d4-8768-c47ffa2ff76d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2019-04-10T16:19:54+00:00</Document_x0020_Date>
    <Document_x0020_No xmlns="4b47aac5-4c46-444f-8595-ce09b406fc61">47555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D1A31-8E59-4F0D-8119-D54421BF97E8}"/>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3C2B673A-B6E2-4A72-9706-8740AD2AA1B7}">
  <ds:schemaRefs>
    <ds:schemaRef ds:uri="http://schemas.openxmlformats.org/officeDocument/2006/bibliography"/>
  </ds:schemaRefs>
</ds:datastoreItem>
</file>

<file path=customXml/itemProps5.xml><?xml version="1.0" encoding="utf-8"?>
<ds:datastoreItem xmlns:ds="http://schemas.openxmlformats.org/officeDocument/2006/customXml" ds:itemID="{A89A20EA-5936-4699-BF1A-83AE80B36FA0}"/>
</file>

<file path=docProps/app.xml><?xml version="1.0" encoding="utf-8"?>
<Properties xmlns="http://schemas.openxmlformats.org/officeDocument/2006/extended-properties" xmlns:vt="http://schemas.openxmlformats.org/officeDocument/2006/docPropsVTypes">
  <Template>Normal</Template>
  <TotalTime>67</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Alejandro Aguayo</cp:lastModifiedBy>
  <cp:revision>8</cp:revision>
  <dcterms:created xsi:type="dcterms:W3CDTF">2019-04-10T13:41:00Z</dcterms:created>
  <dcterms:modified xsi:type="dcterms:W3CDTF">2019-04-10T16:12:00Z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Locations\Portal\Temp\799f3924-1dc1-4055-92aa-7fb87c8a17eb\SR-NFX-2019-12 Rule Certification.docx</vt:lpwstr>
  </property>
  <property fmtid="{D5CDD505-2E9C-101B-9397-08002B2CF9AE}" pid="4" name="Order">
    <vt:r8>116600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