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Nasdaq Futures, Inc.</w:t>
      </w:r>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F1513C"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w:t>
      </w:r>
      <w:r w:rsidR="00CE568D">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Include New Products in the N</w:t>
      </w:r>
      <w:r w:rsidR="00CE568D">
        <w:rPr>
          <w:rFonts w:ascii="Times New Roman" w:eastAsia="Calibri" w:hAnsi="Times New Roman" w:cs="Times New Roman"/>
          <w:b/>
          <w:sz w:val="24"/>
          <w:szCs w:val="24"/>
        </w:rPr>
        <w:t>FX Fee Schedule</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F1513C">
        <w:rPr>
          <w:rFonts w:ascii="Times New Roman" w:eastAsia="Calibri" w:hAnsi="Times New Roman" w:cs="Times New Roman"/>
          <w:b/>
          <w:sz w:val="24"/>
          <w:szCs w:val="24"/>
          <w:u w:val="single"/>
        </w:rPr>
        <w:t>45</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B14D27" w:rsidRPr="00B14D27" w:rsidRDefault="00EC1F98" w:rsidP="00F1513C">
      <w:pPr>
        <w:autoSpaceDE w:val="0"/>
        <w:autoSpaceDN w:val="0"/>
        <w:adjustRightInd w:val="0"/>
        <w:spacing w:after="0" w:line="240" w:lineRule="auto"/>
        <w:rPr>
          <w:rFonts w:ascii="Times New Roman" w:hAnsi="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B14D27" w:rsidRPr="00B14D27">
        <w:rPr>
          <w:rFonts w:ascii="Times New Roman" w:hAnsi="Times New Roman"/>
          <w:sz w:val="24"/>
          <w:szCs w:val="24"/>
        </w:rPr>
        <w:t xml:space="preserve">submits this self-certification to amend the NASDAQ Futures Fee Schedule as it relates to fees to include </w:t>
      </w:r>
      <w:r w:rsidR="00F1513C">
        <w:rPr>
          <w:rFonts w:ascii="Times New Roman" w:eastAsia="Times New Roman" w:hAnsi="Times New Roman" w:cs="Times New Roman"/>
          <w:sz w:val="24"/>
          <w:szCs w:val="24"/>
        </w:rPr>
        <w:t>NFX Options on the NFX PJM Western Hub Real-Time Peak Financial Futures</w:t>
      </w:r>
      <w:r w:rsidR="00B14D27" w:rsidRPr="00B14D27">
        <w:rPr>
          <w:rFonts w:ascii="Times New Roman" w:hAnsi="Times New Roman"/>
          <w:sz w:val="24"/>
          <w:szCs w:val="24"/>
        </w:rPr>
        <w:t xml:space="preserve"> product filed under filing SR-NFX-2016-</w:t>
      </w:r>
      <w:r w:rsidR="00F1513C">
        <w:rPr>
          <w:rFonts w:ascii="Times New Roman" w:hAnsi="Times New Roman"/>
          <w:sz w:val="24"/>
          <w:szCs w:val="24"/>
        </w:rPr>
        <w:t>43</w:t>
      </w:r>
      <w:r w:rsidR="00B14D27" w:rsidRPr="00B14D27">
        <w:rPr>
          <w:rFonts w:ascii="Times New Roman" w:hAnsi="Times New Roman"/>
          <w:sz w:val="24"/>
          <w:szCs w:val="24"/>
        </w:rPr>
        <w:t xml:space="preserve"> (the “</w:t>
      </w:r>
      <w:r w:rsidR="00B14D27" w:rsidRPr="00B14D27">
        <w:rPr>
          <w:rFonts w:ascii="Times New Roman" w:hAnsi="Times New Roman"/>
          <w:sz w:val="24"/>
          <w:szCs w:val="24"/>
          <w:u w:val="single"/>
        </w:rPr>
        <w:t>New Contracts</w:t>
      </w:r>
      <w:r w:rsidR="00B14D27" w:rsidRPr="00B14D27">
        <w:rPr>
          <w:rFonts w:ascii="Times New Roman" w:hAnsi="Times New Roman"/>
          <w:sz w:val="24"/>
          <w:szCs w:val="24"/>
        </w:rPr>
        <w:t>”, and collectively with the other listed energy futures and futures options products, the “</w:t>
      </w:r>
      <w:r w:rsidR="00B14D27" w:rsidRPr="00B14D27">
        <w:rPr>
          <w:rFonts w:ascii="Times New Roman" w:hAnsi="Times New Roman"/>
          <w:sz w:val="24"/>
          <w:szCs w:val="24"/>
          <w:u w:val="single"/>
        </w:rPr>
        <w:t>Energy Products</w:t>
      </w:r>
      <w:r w:rsidR="00B14D27" w:rsidRPr="00B14D27">
        <w:rPr>
          <w:rFonts w:ascii="Times New Roman" w:hAnsi="Times New Roman"/>
          <w:sz w:val="24"/>
          <w:szCs w:val="24"/>
        </w:rPr>
        <w:t xml:space="preserve">”).  The amendments to the current NASDAQ Futures Fee Schedule are set forth in </w:t>
      </w:r>
      <w:r w:rsidR="00B14D27" w:rsidRPr="00B14D27">
        <w:rPr>
          <w:rFonts w:ascii="Times New Roman" w:hAnsi="Times New Roman"/>
          <w:sz w:val="24"/>
          <w:szCs w:val="24"/>
          <w:u w:val="single"/>
        </w:rPr>
        <w:t>Exhibit A</w:t>
      </w:r>
      <w:r w:rsidR="00B14D27" w:rsidRPr="00B14D27">
        <w:rPr>
          <w:rFonts w:ascii="Times New Roman" w:hAnsi="Times New Roman"/>
          <w:sz w:val="24"/>
          <w:szCs w:val="24"/>
        </w:rPr>
        <w:t xml:space="preserve">.  Subject to the Commission’s regulatory review period, this rule change will be implemented on </w:t>
      </w:r>
      <w:r w:rsidR="00CE568D">
        <w:rPr>
          <w:rFonts w:ascii="Times New Roman" w:hAnsi="Times New Roman"/>
          <w:sz w:val="24"/>
          <w:szCs w:val="24"/>
        </w:rPr>
        <w:t xml:space="preserve">April </w:t>
      </w:r>
      <w:r w:rsidR="00F1513C">
        <w:rPr>
          <w:rFonts w:ascii="Times New Roman" w:hAnsi="Times New Roman"/>
          <w:sz w:val="24"/>
          <w:szCs w:val="24"/>
        </w:rPr>
        <w:t>28</w:t>
      </w:r>
      <w:r w:rsidR="00B14D27" w:rsidRPr="00B14D27">
        <w:rPr>
          <w:rFonts w:ascii="Times New Roman" w:hAnsi="Times New Roman"/>
          <w:sz w:val="24"/>
          <w:szCs w:val="24"/>
        </w:rPr>
        <w:t>, 2016</w:t>
      </w:r>
      <w:r w:rsidR="00F1513C">
        <w:rPr>
          <w:rFonts w:ascii="Times New Roman" w:hAnsi="Times New Roman"/>
          <w:sz w:val="24"/>
          <w:szCs w:val="24"/>
        </w:rPr>
        <w:t xml:space="preserve"> when the New Contracts are listed</w:t>
      </w:r>
      <w:r w:rsidR="00B14D27" w:rsidRPr="00B14D27">
        <w:rPr>
          <w:rFonts w:ascii="Times New Roman" w:hAnsi="Times New Roman"/>
          <w:sz w:val="24"/>
          <w:szCs w:val="24"/>
        </w:rPr>
        <w:t>.</w:t>
      </w:r>
    </w:p>
    <w:p w:rsidR="00B14D27" w:rsidRPr="00B14D27" w:rsidRDefault="00B14D27" w:rsidP="00B14D27">
      <w:pPr>
        <w:spacing w:after="0" w:line="240" w:lineRule="auto"/>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Calibri" w:hAnsi="Times New Roman" w:cs="Times New Roman"/>
          <w:sz w:val="24"/>
          <w:szCs w:val="24"/>
        </w:rPr>
        <w:t xml:space="preserve">The amendments set forth in </w:t>
      </w:r>
      <w:r w:rsidRPr="00B14D27">
        <w:rPr>
          <w:rFonts w:ascii="Times New Roman" w:eastAsia="Calibri" w:hAnsi="Times New Roman" w:cs="Times New Roman"/>
          <w:sz w:val="24"/>
          <w:szCs w:val="24"/>
          <w:u w:val="single"/>
        </w:rPr>
        <w:t>Exhibit A</w:t>
      </w:r>
      <w:r w:rsidRPr="00B14D27">
        <w:rPr>
          <w:rFonts w:ascii="Times New Roman" w:eastAsia="Calibri" w:hAnsi="Times New Roman" w:cs="Times New Roman"/>
          <w:sz w:val="24"/>
          <w:szCs w:val="24"/>
        </w:rPr>
        <w:t xml:space="preserve"> confirm that the Exchange will assess no transaction charges with respect to the New Contracts or the Energy Products until May 1, 2016.  The Exchange plans to announce revised fees prior to May 1, 2016.  </w:t>
      </w:r>
      <w:r w:rsidRPr="00B14D27">
        <w:rPr>
          <w:rFonts w:ascii="Times New Roman" w:eastAsia="Times New Roman" w:hAnsi="Times New Roman" w:cs="Times New Roman"/>
          <w:sz w:val="24"/>
          <w:szCs w:val="24"/>
        </w:rPr>
        <w:t>The fees will apply to trades entered into the Exchange’s Order Book and off-exchange transactions (Block or Exchange for Related Position).  The Exchange will assess these fees by billing Futures Participants.</w:t>
      </w:r>
    </w:p>
    <w:p w:rsidR="00B14D27" w:rsidRPr="00B14D27" w:rsidRDefault="00B14D27" w:rsidP="00B14D27">
      <w:pPr>
        <w:spacing w:after="0" w:line="240" w:lineRule="auto"/>
        <w:ind w:firstLine="720"/>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provides real-time surveillance for activity on the Exchange to maintain an orderly marketplace and level playing field for investors, market participants and listed companies.  The Exchange monitors for compliance with Exchange Rules and policies through real-time surveillance of price and volume information reported by market participants in Options and Futures transactions.  With respect to compliance with Core Principle 7, the fees will be set forth in a clear and transparent manner on the Exchange’s Fee Schedule, which is publically available on the Exchange’s website.  </w:t>
      </w: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Further, with respect to the fees related to the New Contracts,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B14D27" w:rsidRPr="00B14D27" w:rsidRDefault="00B14D27" w:rsidP="00B14D27">
      <w:pPr>
        <w:spacing w:after="0" w:line="240" w:lineRule="auto"/>
        <w:jc w:val="both"/>
        <w:rPr>
          <w:rFonts w:ascii="Times New Roman" w:eastAsia="Times New Roman" w:hAnsi="Times New Roman" w:cs="Times New Roman"/>
          <w:color w:val="000000"/>
          <w:sz w:val="24"/>
          <w:szCs w:val="24"/>
        </w:rPr>
      </w:pPr>
    </w:p>
    <w:p w:rsidR="00B14D27" w:rsidRPr="00B14D27" w:rsidRDefault="00B14D27" w:rsidP="00B14D27">
      <w:pPr>
        <w:spacing w:after="0" w:line="240" w:lineRule="auto"/>
        <w:ind w:firstLine="72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There were no opposing views among the Exchange’s Board of Directors, members or market participants.  The Exchange certifies that the changes to the Exchange’s Fee Schedule and the clarification set forth herein comply with the Commodity Exchange Act and regulations thereunder.  The Exchange also certifies that notice of pending certification and a copy of this submission have been concurrently posted on the Exchange’s website at</w:t>
      </w:r>
      <w:r w:rsidRPr="00B14D27">
        <w:rPr>
          <w:rFonts w:ascii="Times New Roman" w:eastAsia="Calibri" w:hAnsi="Times New Roman" w:cs="Times New Roman"/>
          <w:sz w:val="24"/>
          <w:szCs w:val="24"/>
        </w:rPr>
        <w:t xml:space="preserve"> </w:t>
      </w:r>
      <w:hyperlink r:id="rId12" w:history="1">
        <w:r w:rsidR="00E44B27" w:rsidRPr="00AD1CC7">
          <w:rPr>
            <w:rStyle w:val="Hyperlink"/>
            <w:rFonts w:ascii="Times New Roman" w:eastAsia="Calibri" w:hAnsi="Times New Roman" w:cs="Times New Roman"/>
            <w:sz w:val="24"/>
            <w:szCs w:val="24"/>
          </w:rPr>
          <w:t>http://business.nasdaq.com/futures</w:t>
        </w:r>
      </w:hyperlink>
      <w:r w:rsidRPr="00B14D27">
        <w:rPr>
          <w:rFonts w:ascii="Times New Roman" w:eastAsia="Times New Roman" w:hAnsi="Times New Roman" w:cs="Times New Roman"/>
          <w:sz w:val="24"/>
          <w:szCs w:val="24"/>
        </w:rPr>
        <w:t>.</w:t>
      </w:r>
    </w:p>
    <w:p w:rsidR="00B14D27" w:rsidRPr="00B14D27" w:rsidRDefault="00B14D27" w:rsidP="00B14D27">
      <w:pPr>
        <w:spacing w:after="0" w:line="240" w:lineRule="auto"/>
        <w:rPr>
          <w:rFonts w:ascii="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If you require any additional information regarding the submission, please contact Stephen Matthews at (301) 978-8458 or via e-mail at </w:t>
      </w:r>
      <w:r w:rsidRPr="00B14D27">
        <w:rPr>
          <w:rFonts w:ascii="Times New Roman" w:eastAsia="Times New Roman" w:hAnsi="Times New Roman" w:cs="Times New Roman"/>
          <w:sz w:val="24"/>
          <w:szCs w:val="24"/>
          <w:u w:val="single"/>
        </w:rPr>
        <w:t>steve.matthews@nasdaq.com</w:t>
      </w:r>
      <w:r w:rsidRPr="00B14D27">
        <w:rPr>
          <w:rFonts w:ascii="Times New Roman" w:eastAsia="Times New Roman" w:hAnsi="Times New Roman" w:cs="Times New Roman"/>
          <w:sz w:val="24"/>
          <w:szCs w:val="24"/>
        </w:rPr>
        <w:t>.  Please reference SR-NFX-2016-</w:t>
      </w:r>
      <w:r w:rsidR="00F1513C">
        <w:rPr>
          <w:rFonts w:ascii="Times New Roman" w:eastAsia="Times New Roman" w:hAnsi="Times New Roman" w:cs="Times New Roman"/>
          <w:sz w:val="24"/>
          <w:szCs w:val="24"/>
        </w:rPr>
        <w:t>45</w:t>
      </w:r>
      <w:r w:rsidRPr="00B14D27">
        <w:rPr>
          <w:rFonts w:ascii="Times New Roman" w:eastAsia="Times New Roman" w:hAnsi="Times New Roman" w:cs="Times New Roman"/>
          <w:sz w:val="24"/>
          <w:szCs w:val="24"/>
        </w:rPr>
        <w:t xml:space="preserve"> in any related correspondence.</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121AAEF" wp14:editId="73A76970">
            <wp:simplePos x="0" y="0"/>
            <wp:positionH relativeFrom="column">
              <wp:posOffset>2045970</wp:posOffset>
            </wp:positionH>
            <wp:positionV relativeFrom="paragraph">
              <wp:posOffset>41910</wp:posOffset>
            </wp:positionV>
            <wp:extent cx="27527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B14D27">
        <w:rPr>
          <w:rFonts w:ascii="Times New Roman" w:eastAsia="Times New Roman" w:hAnsi="Times New Roman" w:cs="Times New Roman"/>
          <w:sz w:val="24"/>
          <w:szCs w:val="24"/>
        </w:rPr>
        <w:t>                                                    Regards,</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Daniel Carrigan</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President</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Default="00B14D27" w:rsidP="00B14D27">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B14D27" w:rsidRDefault="00B14D27" w:rsidP="00B14D27">
      <w:pPr>
        <w:spacing w:after="0" w:line="240" w:lineRule="auto"/>
        <w:rPr>
          <w:rFonts w:ascii="Times New Roman" w:hAnsi="Times New Roman" w:cs="Times New Roman"/>
          <w:sz w:val="24"/>
          <w:szCs w:val="24"/>
        </w:rPr>
      </w:pPr>
    </w:p>
    <w:p w:rsidR="00B14D27" w:rsidRPr="0050746F" w:rsidRDefault="00B14D27" w:rsidP="00B14D27">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NASDAQ Futures Fee Schedule</w:t>
      </w:r>
    </w:p>
    <w:p w:rsidR="005444C0" w:rsidRDefault="005444C0" w:rsidP="00B14D27">
      <w:pPr>
        <w:pStyle w:val="NoSpacing"/>
        <w:ind w:firstLine="1310"/>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29" w:rsidRDefault="00F23029">
      <w:r>
        <w:separator/>
      </w:r>
    </w:p>
  </w:endnote>
  <w:endnote w:type="continuationSeparator" w:id="0">
    <w:p w:rsidR="00F23029" w:rsidRDefault="00F2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793770A8-9E9D-4C03-AC39-0E19F5E40BF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29" w:rsidRDefault="00F23029">
      <w:r>
        <w:separator/>
      </w:r>
    </w:p>
  </w:footnote>
  <w:footnote w:type="continuationSeparator" w:id="0">
    <w:p w:rsidR="00F23029" w:rsidRDefault="00F2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1513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F1513C">
      <w:rPr>
        <w:rFonts w:ascii="Times New Roman" w:hAnsi="Times New Roman" w:cs="Times New Roman"/>
        <w:sz w:val="20"/>
        <w:szCs w:val="20"/>
      </w:rPr>
      <w:t>45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572E">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677CE"/>
    <w:rsid w:val="001746B9"/>
    <w:rsid w:val="0018088D"/>
    <w:rsid w:val="00197F73"/>
    <w:rsid w:val="001A2A6A"/>
    <w:rsid w:val="001C4306"/>
    <w:rsid w:val="001D1708"/>
    <w:rsid w:val="001E53F3"/>
    <w:rsid w:val="00242C21"/>
    <w:rsid w:val="00261A57"/>
    <w:rsid w:val="00273392"/>
    <w:rsid w:val="002A147E"/>
    <w:rsid w:val="002A70DC"/>
    <w:rsid w:val="002B0DB3"/>
    <w:rsid w:val="002D1A0E"/>
    <w:rsid w:val="00300E44"/>
    <w:rsid w:val="003017B3"/>
    <w:rsid w:val="00304E3B"/>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A23F0"/>
    <w:rsid w:val="006B55A4"/>
    <w:rsid w:val="006C1819"/>
    <w:rsid w:val="006C2BD3"/>
    <w:rsid w:val="006C7C6D"/>
    <w:rsid w:val="006D0516"/>
    <w:rsid w:val="006D7316"/>
    <w:rsid w:val="006E620B"/>
    <w:rsid w:val="006F78A0"/>
    <w:rsid w:val="00704A07"/>
    <w:rsid w:val="00706405"/>
    <w:rsid w:val="0071674F"/>
    <w:rsid w:val="00723F8E"/>
    <w:rsid w:val="00746658"/>
    <w:rsid w:val="007525F5"/>
    <w:rsid w:val="00752A6A"/>
    <w:rsid w:val="007667BD"/>
    <w:rsid w:val="00766B6F"/>
    <w:rsid w:val="00783552"/>
    <w:rsid w:val="0079548F"/>
    <w:rsid w:val="007B39B4"/>
    <w:rsid w:val="007D48A6"/>
    <w:rsid w:val="007D654F"/>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55F8C"/>
    <w:rsid w:val="009A2490"/>
    <w:rsid w:val="009D691D"/>
    <w:rsid w:val="009F7A70"/>
    <w:rsid w:val="00A01596"/>
    <w:rsid w:val="00A01B4B"/>
    <w:rsid w:val="00A03815"/>
    <w:rsid w:val="00A06C10"/>
    <w:rsid w:val="00A137D7"/>
    <w:rsid w:val="00A35B1F"/>
    <w:rsid w:val="00A43066"/>
    <w:rsid w:val="00A568CC"/>
    <w:rsid w:val="00A62A66"/>
    <w:rsid w:val="00A74418"/>
    <w:rsid w:val="00A85786"/>
    <w:rsid w:val="00A87D38"/>
    <w:rsid w:val="00A961CE"/>
    <w:rsid w:val="00AA346F"/>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E568D"/>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4B27"/>
    <w:rsid w:val="00E453F6"/>
    <w:rsid w:val="00E462DD"/>
    <w:rsid w:val="00E50F10"/>
    <w:rsid w:val="00E62D3A"/>
    <w:rsid w:val="00E67374"/>
    <w:rsid w:val="00E74ECF"/>
    <w:rsid w:val="00E81CD4"/>
    <w:rsid w:val="00E87C9F"/>
    <w:rsid w:val="00EA57C7"/>
    <w:rsid w:val="00EA7DF6"/>
    <w:rsid w:val="00EC12B3"/>
    <w:rsid w:val="00EC1F98"/>
    <w:rsid w:val="00ED572E"/>
    <w:rsid w:val="00F06CCD"/>
    <w:rsid w:val="00F12343"/>
    <w:rsid w:val="00F1513C"/>
    <w:rsid w:val="00F16B3B"/>
    <w:rsid w:val="00F16EA3"/>
    <w:rsid w:val="00F17C44"/>
    <w:rsid w:val="00F23029"/>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E44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E44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015c578f-d5c1-4d3d-b6fa-3cd38a193ae4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2016-04-12T20:30:43+00:00</Document_x0020_Date>
    <Document_x0020_No xmlns="4b47aac5-4c46-444f-8595-ce09b406fc61">23716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F57C9-BD13-41B5-B9D9-1706C6FBBF84}"/>
</file>

<file path=customXml/itemProps2.xml><?xml version="1.0" encoding="utf-8"?>
<ds:datastoreItem xmlns:ds="http://schemas.openxmlformats.org/officeDocument/2006/customXml" ds:itemID="{0EACA9F3-FE3E-47BE-860E-57981C735358}"/>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6714431-5E8D-42B3-8859-0082FF8A1644}"/>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642</Words>
  <Characters>3662</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2016-04-12T20:15:00Z</dcterms:created>
  <dcterms:modified xsi:type="dcterms:W3CDTF">2016-04-12T20:15:00Z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2415300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