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955F8C" w:rsidRPr="00CF4B16" w:rsidRDefault="00955F8C" w:rsidP="00955F8C">
      <w:pPr>
        <w:pStyle w:val="LetterheadAddress"/>
        <w:jc w:val="right"/>
        <w:rPr>
          <w:sz w:val="20"/>
        </w:rPr>
      </w:pPr>
      <w:r w:rsidRPr="00CF4B16">
        <w:rPr>
          <w:sz w:val="20"/>
        </w:rPr>
        <w:t xml:space="preserve">Nasdaq Futures, </w:t>
      </w:r>
      <w:proofErr w:type="gramStart"/>
      <w:r w:rsidRPr="00CF4B16">
        <w:rPr>
          <w:sz w:val="20"/>
        </w:rPr>
        <w:t>Inc.</w:t>
      </w:r>
      <w:proofErr w:type="gramEnd"/>
    </w:p>
    <w:p w:rsidR="00955F8C" w:rsidRPr="00CF4B16" w:rsidRDefault="00955F8C" w:rsidP="00955F8C">
      <w:pPr>
        <w:pStyle w:val="LetterheadAddress"/>
        <w:jc w:val="right"/>
        <w:rPr>
          <w:sz w:val="20"/>
        </w:rPr>
      </w:pPr>
      <w:r w:rsidRPr="00CF4B16">
        <w:rPr>
          <w:sz w:val="20"/>
        </w:rPr>
        <w:t>1900 Market Street</w:t>
      </w:r>
    </w:p>
    <w:p w:rsidR="00955F8C" w:rsidRPr="00CF4B16" w:rsidRDefault="00955F8C" w:rsidP="00955F8C">
      <w:pPr>
        <w:pStyle w:val="LetterheadAddress"/>
        <w:jc w:val="right"/>
        <w:rPr>
          <w:sz w:val="20"/>
        </w:rPr>
      </w:pPr>
      <w:r w:rsidRPr="00CF4B16">
        <w:rPr>
          <w:sz w:val="20"/>
        </w:rPr>
        <w:t>Philadelphia, PA 19103 / USA</w:t>
      </w:r>
    </w:p>
    <w:p w:rsidR="00955F8C" w:rsidRPr="00CF4B16" w:rsidRDefault="00955F8C" w:rsidP="00955F8C">
      <w:pPr>
        <w:spacing w:before="120" w:after="0"/>
        <w:jc w:val="right"/>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EC1F98" w:rsidRPr="00650B32" w:rsidRDefault="00EC1F98" w:rsidP="00955F8C">
      <w:pPr>
        <w:pStyle w:val="NoSpacing"/>
        <w:jc w:val="right"/>
        <w:rPr>
          <w:rFonts w:ascii="Times New Roman" w:eastAsia="Calibri" w:hAnsi="Times New Roman" w:cs="Times New Roman"/>
          <w:sz w:val="24"/>
          <w:szCs w:val="24"/>
          <w:u w:val="single"/>
        </w:rPr>
      </w:pPr>
    </w:p>
    <w:p w:rsidR="00EC1F98" w:rsidRPr="00650B32" w:rsidRDefault="00C50CD7"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955F8C" w:rsidRPr="00352533" w:rsidRDefault="00352533" w:rsidP="00955F8C">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955F8C" w:rsidRPr="00352533">
        <w:rPr>
          <w:rFonts w:ascii="Times New Roman" w:eastAsia="Calibri" w:hAnsi="Times New Roman" w:cs="Times New Roman"/>
          <w:b/>
          <w:sz w:val="24"/>
          <w:szCs w:val="24"/>
        </w:rPr>
        <w:t xml:space="preserve">Rule Certification </w:t>
      </w:r>
      <w:r w:rsidR="00955F8C">
        <w:rPr>
          <w:rFonts w:ascii="Times New Roman" w:eastAsia="Calibri" w:hAnsi="Times New Roman" w:cs="Times New Roman"/>
          <w:b/>
          <w:sz w:val="24"/>
          <w:szCs w:val="24"/>
        </w:rPr>
        <w:t>to</w:t>
      </w:r>
    </w:p>
    <w:p w:rsidR="00955F8C" w:rsidRPr="00352533" w:rsidRDefault="00955F8C" w:rsidP="00955F8C">
      <w:pPr>
        <w:tabs>
          <w:tab w:val="left" w:pos="1170"/>
        </w:tabs>
        <w:spacing w:after="0"/>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Include New Products in the </w:t>
      </w:r>
      <w:r w:rsidR="00B82EFE">
        <w:rPr>
          <w:rFonts w:ascii="Times New Roman" w:eastAsia="Calibri" w:hAnsi="Times New Roman" w:cs="Times New Roman"/>
          <w:b/>
          <w:sz w:val="24"/>
          <w:szCs w:val="24"/>
        </w:rPr>
        <w:t>Energy Broker Incentive Program</w:t>
      </w:r>
      <w:r>
        <w:rPr>
          <w:rFonts w:ascii="Times New Roman" w:eastAsia="Calibri" w:hAnsi="Times New Roman" w:cs="Times New Roman"/>
          <w:b/>
          <w:sz w:val="24"/>
          <w:szCs w:val="24"/>
        </w:rPr>
        <w:t xml:space="preserve"> </w:t>
      </w:r>
    </w:p>
    <w:p w:rsidR="00955F8C" w:rsidRPr="00352533" w:rsidRDefault="00955F8C" w:rsidP="00955F8C">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SR-NFX-2016-</w:t>
      </w:r>
      <w:r w:rsidR="00C50CD7">
        <w:rPr>
          <w:rFonts w:ascii="Times New Roman" w:eastAsia="Calibri" w:hAnsi="Times New Roman" w:cs="Times New Roman"/>
          <w:b/>
          <w:sz w:val="24"/>
          <w:szCs w:val="24"/>
          <w:u w:val="single"/>
        </w:rPr>
        <w:t>46</w:t>
      </w:r>
    </w:p>
    <w:p w:rsidR="00EC1F98" w:rsidRPr="00352533" w:rsidRDefault="00EC1F98" w:rsidP="00955F8C">
      <w:pPr>
        <w:pStyle w:val="NoSpacing"/>
        <w:ind w:left="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7E2958" w:rsidRDefault="00EC1F98" w:rsidP="007E2958">
      <w:pPr>
        <w:pStyle w:val="NoSpacing"/>
        <w:ind w:firstLine="72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7E2958" w:rsidRPr="00021A62">
        <w:rPr>
          <w:rFonts w:ascii="Times New Roman" w:eastAsia="Calibri" w:hAnsi="Times New Roman" w:cs="Times New Roman"/>
          <w:sz w:val="24"/>
          <w:szCs w:val="24"/>
        </w:rPr>
        <w:t>is</w:t>
      </w:r>
      <w:r w:rsidR="007E2958">
        <w:rPr>
          <w:rFonts w:ascii="Times New Roman" w:eastAsia="Calibri" w:hAnsi="Times New Roman" w:cs="Times New Roman"/>
          <w:sz w:val="24"/>
          <w:szCs w:val="24"/>
        </w:rPr>
        <w:t xml:space="preserve"> notifying the Commission of an amendment to the Exchange’s broker incentive program (the “</w:t>
      </w:r>
      <w:r w:rsidR="007E2958" w:rsidRPr="00765E44">
        <w:rPr>
          <w:rFonts w:ascii="Times New Roman" w:eastAsia="Calibri" w:hAnsi="Times New Roman" w:cs="Times New Roman"/>
          <w:sz w:val="24"/>
          <w:szCs w:val="24"/>
          <w:u w:val="single"/>
        </w:rPr>
        <w:t xml:space="preserve">Energy </w:t>
      </w:r>
      <w:r w:rsidR="007E2958">
        <w:rPr>
          <w:rFonts w:ascii="Times New Roman" w:eastAsia="Calibri" w:hAnsi="Times New Roman" w:cs="Times New Roman"/>
          <w:sz w:val="24"/>
          <w:szCs w:val="24"/>
          <w:u w:val="single"/>
        </w:rPr>
        <w:t xml:space="preserve">Broker Incentive </w:t>
      </w:r>
      <w:r w:rsidR="007E2958" w:rsidRPr="00FC6DF1">
        <w:rPr>
          <w:rFonts w:ascii="Times New Roman" w:eastAsia="Calibri" w:hAnsi="Times New Roman" w:cs="Times New Roman"/>
          <w:sz w:val="24"/>
          <w:szCs w:val="24"/>
          <w:u w:val="single"/>
        </w:rPr>
        <w:t>Program</w:t>
      </w:r>
      <w:r w:rsidR="007E2958">
        <w:rPr>
          <w:rFonts w:ascii="Times New Roman" w:eastAsia="Calibri" w:hAnsi="Times New Roman" w:cs="Times New Roman"/>
          <w:sz w:val="24"/>
          <w:szCs w:val="24"/>
        </w:rPr>
        <w:t>” or “</w:t>
      </w:r>
      <w:r w:rsidR="007E2958" w:rsidRPr="00A23D65">
        <w:rPr>
          <w:rFonts w:ascii="Times New Roman" w:eastAsia="Calibri" w:hAnsi="Times New Roman" w:cs="Times New Roman"/>
          <w:sz w:val="24"/>
          <w:szCs w:val="24"/>
          <w:u w:val="single"/>
        </w:rPr>
        <w:t>Program</w:t>
      </w:r>
      <w:r w:rsidR="007E2958">
        <w:rPr>
          <w:rFonts w:ascii="Times New Roman" w:eastAsia="Calibri" w:hAnsi="Times New Roman" w:cs="Times New Roman"/>
          <w:sz w:val="24"/>
          <w:szCs w:val="24"/>
        </w:rPr>
        <w:t>”) for certain energy contracts (the “</w:t>
      </w:r>
      <w:r w:rsidR="007E2958" w:rsidRPr="00FC6DF1">
        <w:rPr>
          <w:rFonts w:ascii="Times New Roman" w:eastAsia="Calibri" w:hAnsi="Times New Roman" w:cs="Times New Roman"/>
          <w:sz w:val="24"/>
          <w:szCs w:val="24"/>
          <w:u w:val="single"/>
        </w:rPr>
        <w:t>Energy Contracts</w:t>
      </w:r>
      <w:r w:rsidR="007E2958">
        <w:rPr>
          <w:rFonts w:ascii="Times New Roman" w:eastAsia="Calibri" w:hAnsi="Times New Roman" w:cs="Times New Roman"/>
          <w:sz w:val="24"/>
          <w:szCs w:val="24"/>
        </w:rPr>
        <w:t>”).</w:t>
      </w:r>
      <w:r w:rsidR="007E2958">
        <w:rPr>
          <w:rStyle w:val="FootnoteReference"/>
          <w:rFonts w:ascii="Times New Roman" w:eastAsia="Calibri" w:hAnsi="Times New Roman" w:cs="Times New Roman"/>
          <w:sz w:val="24"/>
          <w:szCs w:val="24"/>
        </w:rPr>
        <w:footnoteReference w:id="1"/>
      </w:r>
      <w:r w:rsidR="007E2958" w:rsidRPr="00021A62">
        <w:rPr>
          <w:rFonts w:ascii="Times New Roman" w:eastAsia="Calibri" w:hAnsi="Times New Roman" w:cs="Times New Roman"/>
          <w:sz w:val="24"/>
          <w:szCs w:val="24"/>
        </w:rPr>
        <w:t xml:space="preserve">  </w:t>
      </w:r>
      <w:r w:rsidR="007E2958">
        <w:rPr>
          <w:rFonts w:ascii="Times New Roman" w:eastAsia="Calibri" w:hAnsi="Times New Roman" w:cs="Times New Roman"/>
          <w:sz w:val="24"/>
          <w:szCs w:val="24"/>
        </w:rPr>
        <w:t xml:space="preserve">The Exchange wishes to include </w:t>
      </w:r>
      <w:r w:rsidR="00C50CD7">
        <w:rPr>
          <w:rFonts w:ascii="Times New Roman" w:eastAsia="Times New Roman" w:hAnsi="Times New Roman" w:cs="Times New Roman"/>
          <w:sz w:val="24"/>
          <w:szCs w:val="24"/>
        </w:rPr>
        <w:t>NFX Options on the NFX PJM Western Hub Real-Time Peak Financial Futures</w:t>
      </w:r>
      <w:r w:rsidR="00C50CD7" w:rsidRPr="00B14D27">
        <w:rPr>
          <w:rFonts w:ascii="Times New Roman" w:hAnsi="Times New Roman"/>
          <w:sz w:val="24"/>
          <w:szCs w:val="24"/>
        </w:rPr>
        <w:t xml:space="preserve"> product filed under filing SR-NFX-2016-</w:t>
      </w:r>
      <w:r w:rsidR="00C50CD7">
        <w:rPr>
          <w:rFonts w:ascii="Times New Roman" w:hAnsi="Times New Roman"/>
          <w:sz w:val="24"/>
          <w:szCs w:val="24"/>
        </w:rPr>
        <w:t>43</w:t>
      </w:r>
      <w:r w:rsidR="007E2958">
        <w:rPr>
          <w:rFonts w:ascii="Times New Roman" w:eastAsia="Calibri" w:hAnsi="Times New Roman" w:cs="Times New Roman"/>
          <w:sz w:val="24"/>
          <w:szCs w:val="24"/>
        </w:rPr>
        <w:t xml:space="preserve"> (the “</w:t>
      </w:r>
      <w:r w:rsidR="007E2958" w:rsidRPr="004C1269">
        <w:rPr>
          <w:rFonts w:ascii="Times New Roman" w:eastAsia="Calibri" w:hAnsi="Times New Roman" w:cs="Times New Roman"/>
          <w:sz w:val="24"/>
          <w:szCs w:val="24"/>
          <w:u w:val="single"/>
        </w:rPr>
        <w:t>New Contracts</w:t>
      </w:r>
      <w:r w:rsidR="007E2958">
        <w:rPr>
          <w:rFonts w:ascii="Times New Roman" w:eastAsia="Calibri" w:hAnsi="Times New Roman" w:cs="Times New Roman"/>
          <w:sz w:val="24"/>
          <w:szCs w:val="24"/>
        </w:rPr>
        <w:t xml:space="preserve">”) under the </w:t>
      </w:r>
      <w:r w:rsidR="007E2958" w:rsidRPr="00B7452F">
        <w:rPr>
          <w:rFonts w:ascii="Times New Roman" w:eastAsia="Calibri" w:hAnsi="Times New Roman" w:cs="Times New Roman"/>
          <w:sz w:val="24"/>
          <w:szCs w:val="24"/>
        </w:rPr>
        <w:t>Program</w:t>
      </w:r>
      <w:r w:rsidR="007E2958" w:rsidRPr="00B7452F">
        <w:rPr>
          <w:rFonts w:ascii="Times New Roman" w:hAnsi="Times New Roman" w:cs="Times New Roman"/>
          <w:sz w:val="24"/>
          <w:szCs w:val="24"/>
        </w:rPr>
        <w:t>.</w:t>
      </w:r>
    </w:p>
    <w:p w:rsidR="007E2958" w:rsidRDefault="007E2958" w:rsidP="007E2958">
      <w:pPr>
        <w:pStyle w:val="NoSpacing"/>
        <w:ind w:firstLine="720"/>
        <w:rPr>
          <w:rFonts w:ascii="Times New Roman" w:eastAsia="Calibri" w:hAnsi="Times New Roman" w:cs="Times New Roman"/>
          <w:sz w:val="24"/>
          <w:szCs w:val="24"/>
        </w:rPr>
      </w:pPr>
    </w:p>
    <w:p w:rsidR="007E2958" w:rsidRDefault="007E2958" w:rsidP="007E2958">
      <w:pPr>
        <w:pStyle w:val="NoSpacing"/>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Program is </w:t>
      </w:r>
      <w:r w:rsidRPr="00A23D65">
        <w:rPr>
          <w:rFonts w:ascii="Times New Roman" w:eastAsia="Calibri" w:hAnsi="Times New Roman" w:cs="Times New Roman"/>
          <w:sz w:val="24"/>
          <w:szCs w:val="24"/>
        </w:rPr>
        <w:t>designed to incentivize Off-Exchange Reporting Brokers (“</w:t>
      </w:r>
      <w:r w:rsidRPr="00A23D65">
        <w:rPr>
          <w:rFonts w:ascii="Times New Roman" w:eastAsia="Calibri" w:hAnsi="Times New Roman" w:cs="Times New Roman"/>
          <w:sz w:val="24"/>
          <w:szCs w:val="24"/>
          <w:u w:val="single"/>
        </w:rPr>
        <w:t>ORBs</w:t>
      </w:r>
      <w:r w:rsidRPr="00A23D65">
        <w:rPr>
          <w:rFonts w:ascii="Times New Roman" w:eastAsia="Calibri" w:hAnsi="Times New Roman" w:cs="Times New Roman"/>
          <w:sz w:val="24"/>
          <w:szCs w:val="24"/>
        </w:rPr>
        <w:t>”) to in</w:t>
      </w:r>
      <w:r>
        <w:rPr>
          <w:rFonts w:ascii="Times New Roman" w:eastAsia="Calibri" w:hAnsi="Times New Roman" w:cs="Times New Roman"/>
          <w:sz w:val="24"/>
          <w:szCs w:val="24"/>
        </w:rPr>
        <w:t>crease their volume in certain Energy C</w:t>
      </w:r>
      <w:r w:rsidRPr="00A23D65">
        <w:rPr>
          <w:rFonts w:ascii="Times New Roman" w:eastAsia="Calibri" w:hAnsi="Times New Roman" w:cs="Times New Roman"/>
          <w:sz w:val="24"/>
          <w:szCs w:val="24"/>
        </w:rPr>
        <w:t xml:space="preserve">ontracts they submit to NFX as </w:t>
      </w:r>
      <w:r>
        <w:rPr>
          <w:rFonts w:ascii="Times New Roman" w:eastAsia="Calibri" w:hAnsi="Times New Roman" w:cs="Times New Roman"/>
          <w:sz w:val="24"/>
          <w:szCs w:val="24"/>
        </w:rPr>
        <w:t>B</w:t>
      </w:r>
      <w:r w:rsidRPr="00A23D65">
        <w:rPr>
          <w:rFonts w:ascii="Times New Roman" w:eastAsia="Calibri" w:hAnsi="Times New Roman" w:cs="Times New Roman"/>
          <w:sz w:val="24"/>
          <w:szCs w:val="24"/>
        </w:rPr>
        <w:t xml:space="preserve">lock </w:t>
      </w:r>
      <w:r>
        <w:rPr>
          <w:rFonts w:ascii="Times New Roman" w:eastAsia="Calibri" w:hAnsi="Times New Roman" w:cs="Times New Roman"/>
          <w:sz w:val="24"/>
          <w:szCs w:val="24"/>
        </w:rPr>
        <w:t>T</w:t>
      </w:r>
      <w:r w:rsidRPr="00A23D65">
        <w:rPr>
          <w:rFonts w:ascii="Times New Roman" w:eastAsia="Calibri" w:hAnsi="Times New Roman" w:cs="Times New Roman"/>
          <w:sz w:val="24"/>
          <w:szCs w:val="24"/>
        </w:rPr>
        <w:t xml:space="preserve">rades, thereby </w:t>
      </w:r>
      <w:proofErr w:type="gramStart"/>
      <w:r w:rsidRPr="00A23D65">
        <w:rPr>
          <w:rFonts w:ascii="Times New Roman" w:eastAsia="Calibri" w:hAnsi="Times New Roman" w:cs="Times New Roman"/>
          <w:sz w:val="24"/>
          <w:szCs w:val="24"/>
        </w:rPr>
        <w:t>enhancing</w:t>
      </w:r>
      <w:proofErr w:type="gramEnd"/>
      <w:r w:rsidRPr="00A23D65">
        <w:rPr>
          <w:rFonts w:ascii="Times New Roman" w:eastAsia="Calibri" w:hAnsi="Times New Roman" w:cs="Times New Roman"/>
          <w:sz w:val="24"/>
          <w:szCs w:val="24"/>
        </w:rPr>
        <w:t xml:space="preserve"> market liquidity for these products.</w:t>
      </w:r>
      <w:r>
        <w:rPr>
          <w:rStyle w:val="FootnoteReference"/>
          <w:rFonts w:ascii="Times New Roman" w:eastAsia="Calibri" w:hAnsi="Times New Roman" w:cs="Times New Roman"/>
          <w:sz w:val="24"/>
          <w:szCs w:val="24"/>
        </w:rPr>
        <w:footnoteReference w:id="2"/>
      </w:r>
      <w:r>
        <w:rPr>
          <w:rFonts w:ascii="Times New Roman" w:eastAsia="Calibri" w:hAnsi="Times New Roman" w:cs="Times New Roman"/>
          <w:sz w:val="24"/>
          <w:szCs w:val="24"/>
        </w:rPr>
        <w:t xml:space="preserve">  The terms and conditions of the Energy Broker Incentive Program are attached hereto as </w:t>
      </w:r>
      <w:r w:rsidRPr="00A23D65">
        <w:rPr>
          <w:rFonts w:ascii="Times New Roman" w:eastAsia="Calibri" w:hAnsi="Times New Roman" w:cs="Times New Roman"/>
          <w:sz w:val="24"/>
          <w:szCs w:val="24"/>
          <w:u w:val="single"/>
        </w:rPr>
        <w:t>Exhibit A</w:t>
      </w:r>
      <w:r>
        <w:rPr>
          <w:rFonts w:ascii="Times New Roman" w:eastAsia="Calibri" w:hAnsi="Times New Roman" w:cs="Times New Roman"/>
          <w:sz w:val="24"/>
          <w:szCs w:val="24"/>
        </w:rPr>
        <w:t xml:space="preserve">.  The amendment in </w:t>
      </w:r>
      <w:r w:rsidRPr="0053719C">
        <w:rPr>
          <w:rFonts w:ascii="Times New Roman" w:eastAsia="Calibri" w:hAnsi="Times New Roman" w:cs="Times New Roman"/>
          <w:sz w:val="24"/>
          <w:szCs w:val="24"/>
          <w:u w:val="single"/>
        </w:rPr>
        <w:t>Exhibit A</w:t>
      </w:r>
      <w:r>
        <w:rPr>
          <w:rFonts w:ascii="Times New Roman" w:eastAsia="Calibri" w:hAnsi="Times New Roman" w:cs="Times New Roman"/>
          <w:sz w:val="24"/>
          <w:szCs w:val="24"/>
        </w:rPr>
        <w:t xml:space="preserve"> will be implemented on </w:t>
      </w:r>
      <w:r w:rsidR="006D5C69">
        <w:rPr>
          <w:rFonts w:ascii="Times New Roman" w:eastAsia="Calibri" w:hAnsi="Times New Roman" w:cs="Times New Roman"/>
          <w:sz w:val="24"/>
          <w:szCs w:val="24"/>
        </w:rPr>
        <w:t xml:space="preserve">April </w:t>
      </w:r>
      <w:r w:rsidR="00C50CD7">
        <w:rPr>
          <w:rFonts w:ascii="Times New Roman" w:eastAsia="Calibri" w:hAnsi="Times New Roman" w:cs="Times New Roman"/>
          <w:sz w:val="24"/>
          <w:szCs w:val="24"/>
        </w:rPr>
        <w:t>28</w:t>
      </w:r>
      <w:r>
        <w:rPr>
          <w:rFonts w:ascii="Times New Roman" w:eastAsia="Calibri" w:hAnsi="Times New Roman" w:cs="Times New Roman"/>
          <w:sz w:val="24"/>
          <w:szCs w:val="24"/>
        </w:rPr>
        <w:t>, 2016 and will have the same Program Term as the other Energy Contracts currently in the Energy Broker Incentive Program which expires on July 24, 2016.</w:t>
      </w:r>
    </w:p>
    <w:p w:rsidR="007E2958" w:rsidRDefault="007E2958" w:rsidP="007E2958">
      <w:pPr>
        <w:pStyle w:val="NoSpacing"/>
        <w:ind w:firstLine="1310"/>
        <w:rPr>
          <w:rFonts w:ascii="Times New Roman" w:eastAsia="Calibri" w:hAnsi="Times New Roman" w:cs="Times New Roman"/>
          <w:sz w:val="24"/>
          <w:szCs w:val="24"/>
        </w:rPr>
      </w:pPr>
    </w:p>
    <w:p w:rsidR="007E2958" w:rsidRDefault="007E2958" w:rsidP="007E2958">
      <w:pPr>
        <w:pStyle w:val="NoSpacing"/>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Exchange believes that the Energy Broker Incentive Program complies with Core Principle 4 (Monitoring of Trading), Core Principle 9 (Execution of Transactions) and Core </w:t>
      </w:r>
      <w:r>
        <w:rPr>
          <w:rFonts w:ascii="Times New Roman" w:eastAsia="Calibri" w:hAnsi="Times New Roman" w:cs="Times New Roman"/>
          <w:sz w:val="24"/>
          <w:szCs w:val="24"/>
        </w:rPr>
        <w:lastRenderedPageBreak/>
        <w:t xml:space="preserve">Principle 12 (Protection of Market Participants).  The Energy Broker Incentive Program will not impact order execution priority or otherwise give participants any execution preference or advantage.  The Energy Broker Incentive Program will not impact the Exchange’s ability to perform its trade practice and market surveillance obligations under the Act and Exchange staff will monitor trading in the Energy Broker Incentive Program’s products to prevent manipulative trading and market abuse.  Additionally, the Exchange has systems to track Energy Broker Incentive Program participants’ volume to ensure proper distribution of earned incentives.  Finally, NFX rules include prohibitions against fraudulent, non-competitive, unfair or abusive practices. </w:t>
      </w:r>
      <w:r>
        <w:rPr>
          <w:rFonts w:ascii="Times New Roman" w:eastAsia="Calibri" w:hAnsi="Times New Roman" w:cs="Times New Roman"/>
          <w:sz w:val="24"/>
          <w:szCs w:val="24"/>
        </w:rPr>
        <w:tab/>
      </w:r>
    </w:p>
    <w:p w:rsidR="007E2958" w:rsidRDefault="007E2958" w:rsidP="007E2958">
      <w:pPr>
        <w:pStyle w:val="NoSpacing"/>
        <w:ind w:firstLine="720"/>
        <w:rPr>
          <w:rFonts w:ascii="Times New Roman" w:eastAsia="Calibri" w:hAnsi="Times New Roman" w:cs="Times New Roman"/>
          <w:sz w:val="24"/>
          <w:szCs w:val="24"/>
        </w:rPr>
      </w:pPr>
    </w:p>
    <w:p w:rsidR="007E2958" w:rsidRDefault="007E2958" w:rsidP="007E2958">
      <w:pPr>
        <w:spacing w:after="0" w:line="240" w:lineRule="auto"/>
        <w:ind w:firstLine="720"/>
        <w:rPr>
          <w:rFonts w:ascii="Times New Roman" w:eastAsia="Calibri" w:hAnsi="Times New Roman" w:cs="Times New Roman"/>
          <w:sz w:val="24"/>
          <w:szCs w:val="24"/>
        </w:rPr>
      </w:pPr>
      <w:r w:rsidRPr="00CF3D5C">
        <w:rPr>
          <w:rFonts w:ascii="Times New Roman" w:eastAsia="Calibri" w:hAnsi="Times New Roman" w:cs="Times New Roman"/>
          <w:sz w:val="24"/>
          <w:szCs w:val="24"/>
        </w:rPr>
        <w:t xml:space="preserve">There were no opposing views among the NFX’s Board of Directors, members or market participants.  The Exchange hereby certifies that the </w:t>
      </w:r>
      <w:r>
        <w:rPr>
          <w:rFonts w:ascii="Times New Roman" w:eastAsia="Calibri" w:hAnsi="Times New Roman" w:cs="Times New Roman"/>
          <w:sz w:val="24"/>
          <w:szCs w:val="24"/>
        </w:rPr>
        <w:t xml:space="preserve">amendment to include the New Contracts to the </w:t>
      </w:r>
      <w:r w:rsidRPr="00CF3D5C">
        <w:rPr>
          <w:rFonts w:ascii="Times New Roman" w:eastAsia="Calibri" w:hAnsi="Times New Roman" w:cs="Times New Roman"/>
          <w:sz w:val="24"/>
          <w:szCs w:val="24"/>
        </w:rPr>
        <w:t xml:space="preserve">Energy Broker Incentive Program complies with the Commodity Exchange Act and regulations thereunder.  The Exchange also certifies that notice of pending certification and a copy of this submission have been concurrently posted on the Exchange’s website at </w:t>
      </w:r>
      <w:hyperlink r:id="rId12" w:history="1">
        <w:r w:rsidR="00690113" w:rsidRPr="00AD1CC7">
          <w:rPr>
            <w:rStyle w:val="Hyperlink"/>
            <w:rFonts w:ascii="Times New Roman" w:eastAsia="Calibri" w:hAnsi="Times New Roman" w:cs="Times New Roman"/>
            <w:sz w:val="24"/>
            <w:szCs w:val="24"/>
          </w:rPr>
          <w:t>http://business.nasdaq.com/futures</w:t>
        </w:r>
      </w:hyperlink>
      <w:r w:rsidRPr="004B563F">
        <w:rPr>
          <w:rFonts w:ascii="Times New Roman" w:hAnsi="Times New Roman" w:cs="Times New Roman"/>
          <w:sz w:val="24"/>
          <w:szCs w:val="24"/>
        </w:rPr>
        <w:t>.</w:t>
      </w:r>
      <w:r w:rsidRPr="004B563F">
        <w:rPr>
          <w:rFonts w:ascii="Times New Roman" w:eastAsia="Calibri" w:hAnsi="Times New Roman" w:cs="Times New Roman"/>
          <w:sz w:val="24"/>
          <w:szCs w:val="24"/>
        </w:rPr>
        <w:t xml:space="preserve">  </w:t>
      </w:r>
    </w:p>
    <w:p w:rsidR="007E2958" w:rsidRPr="00CF3D5C" w:rsidRDefault="007E2958" w:rsidP="007E2958">
      <w:pPr>
        <w:spacing w:after="0" w:line="240" w:lineRule="auto"/>
        <w:ind w:firstLine="720"/>
        <w:rPr>
          <w:rFonts w:ascii="Times New Roman" w:hAnsi="Times New Roman" w:cs="Times New Roman"/>
          <w:sz w:val="24"/>
          <w:szCs w:val="24"/>
        </w:rPr>
      </w:pPr>
    </w:p>
    <w:p w:rsidR="007E2958" w:rsidRPr="004B563F" w:rsidRDefault="007E2958" w:rsidP="007E2958">
      <w:pPr>
        <w:spacing w:line="240" w:lineRule="auto"/>
        <w:ind w:firstLine="720"/>
        <w:rPr>
          <w:rFonts w:ascii="Times New Roman" w:hAnsi="Times New Roman" w:cs="Times New Roman"/>
          <w:sz w:val="24"/>
          <w:szCs w:val="24"/>
        </w:rPr>
      </w:pPr>
      <w:r w:rsidRPr="004B563F">
        <w:rPr>
          <w:rFonts w:ascii="Times New Roman" w:hAnsi="Times New Roman" w:cs="Times New Roman"/>
          <w:sz w:val="24"/>
          <w:szCs w:val="24"/>
        </w:rPr>
        <w:t xml:space="preserve">If you require any additional information regarding the submission, please contact </w:t>
      </w:r>
      <w:r w:rsidRPr="00F617CF">
        <w:rPr>
          <w:rStyle w:val="Hyperlink"/>
          <w:rFonts w:ascii="Times New Roman" w:hAnsi="Times New Roman" w:cs="Times New Roman"/>
          <w:color w:val="auto"/>
          <w:sz w:val="24"/>
          <w:szCs w:val="24"/>
          <w:u w:val="none"/>
        </w:rPr>
        <w:t>Ste</w:t>
      </w:r>
      <w:r>
        <w:rPr>
          <w:rStyle w:val="Hyperlink"/>
          <w:rFonts w:ascii="Times New Roman" w:hAnsi="Times New Roman" w:cs="Times New Roman"/>
          <w:color w:val="auto"/>
          <w:sz w:val="24"/>
          <w:szCs w:val="24"/>
          <w:u w:val="none"/>
        </w:rPr>
        <w:t>phen</w:t>
      </w:r>
      <w:r w:rsidRPr="00F617CF">
        <w:rPr>
          <w:rStyle w:val="Hyperlink"/>
          <w:rFonts w:ascii="Times New Roman" w:hAnsi="Times New Roman" w:cs="Times New Roman"/>
          <w:color w:val="auto"/>
          <w:sz w:val="24"/>
          <w:szCs w:val="24"/>
          <w:u w:val="none"/>
        </w:rPr>
        <w:t xml:space="preserve"> </w:t>
      </w:r>
      <w:r>
        <w:rPr>
          <w:rFonts w:ascii="Times New Roman" w:hAnsi="Times New Roman" w:cs="Times New Roman"/>
          <w:sz w:val="24"/>
          <w:szCs w:val="24"/>
        </w:rPr>
        <w:t xml:space="preserve">Matthews at +1 301 978 8458 or via e-mail at </w:t>
      </w:r>
      <w:r w:rsidRPr="00F617CF">
        <w:rPr>
          <w:rFonts w:ascii="Times New Roman" w:hAnsi="Times New Roman" w:cs="Times New Roman"/>
          <w:sz w:val="24"/>
          <w:szCs w:val="24"/>
          <w:u w:val="single"/>
        </w:rPr>
        <w:t>steve.matthews@nasdaq.com</w:t>
      </w:r>
      <w:r w:rsidRPr="004B563F">
        <w:rPr>
          <w:rFonts w:ascii="Times New Roman" w:hAnsi="Times New Roman" w:cs="Times New Roman"/>
          <w:sz w:val="24"/>
          <w:szCs w:val="24"/>
        </w:rPr>
        <w:t xml:space="preserve">.  </w:t>
      </w:r>
      <w:r w:rsidRPr="00CF3D5C">
        <w:rPr>
          <w:rFonts w:ascii="Times New Roman" w:hAnsi="Times New Roman" w:cs="Times New Roman"/>
          <w:sz w:val="24"/>
          <w:szCs w:val="24"/>
        </w:rPr>
        <w:t>Please reference SR-NFX-201</w:t>
      </w:r>
      <w:r>
        <w:rPr>
          <w:rFonts w:ascii="Times New Roman" w:hAnsi="Times New Roman" w:cs="Times New Roman"/>
          <w:sz w:val="24"/>
          <w:szCs w:val="24"/>
        </w:rPr>
        <w:t>6</w:t>
      </w:r>
      <w:r w:rsidRPr="00CF3D5C">
        <w:rPr>
          <w:rFonts w:ascii="Times New Roman" w:hAnsi="Times New Roman" w:cs="Times New Roman"/>
          <w:sz w:val="24"/>
          <w:szCs w:val="24"/>
        </w:rPr>
        <w:t>-</w:t>
      </w:r>
      <w:r w:rsidR="00C50CD7">
        <w:rPr>
          <w:rFonts w:ascii="Times New Roman" w:hAnsi="Times New Roman" w:cs="Times New Roman"/>
          <w:sz w:val="24"/>
          <w:szCs w:val="24"/>
        </w:rPr>
        <w:t>46</w:t>
      </w:r>
      <w:r w:rsidRPr="004B563F">
        <w:rPr>
          <w:rFonts w:ascii="Times New Roman" w:hAnsi="Times New Roman" w:cs="Times New Roman"/>
          <w:sz w:val="24"/>
          <w:szCs w:val="24"/>
        </w:rPr>
        <w:t xml:space="preserve"> in any related correspondence.</w:t>
      </w:r>
    </w:p>
    <w:p w:rsidR="007E2958" w:rsidRPr="00650B32" w:rsidRDefault="007E2958" w:rsidP="007E2958">
      <w:pPr>
        <w:pStyle w:val="NoSpacing"/>
        <w:keepNext/>
        <w:rPr>
          <w:rFonts w:ascii="Times New Roman" w:eastAsia="Times New Roman" w:hAnsi="Times New Roman" w:cs="Times New Roman"/>
          <w:sz w:val="24"/>
          <w:szCs w:val="24"/>
        </w:rPr>
      </w:pPr>
    </w:p>
    <w:p w:rsidR="007E2958" w:rsidRPr="00650B32" w:rsidRDefault="007E2958" w:rsidP="007E2958">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6E983EAE" wp14:editId="61A97D50">
            <wp:simplePos x="0" y="0"/>
            <wp:positionH relativeFrom="column">
              <wp:posOffset>2131695</wp:posOffset>
            </wp:positionH>
            <wp:positionV relativeFrom="paragraph">
              <wp:posOffset>123825</wp:posOffset>
            </wp:positionV>
            <wp:extent cx="244792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47925" cy="638175"/>
                    </a:xfrm>
                    <a:prstGeom prst="rect">
                      <a:avLst/>
                    </a:prstGeom>
                    <a:noFill/>
                    <a:ln w="9525">
                      <a:noFill/>
                      <a:miter lim="800000"/>
                      <a:headEnd/>
                      <a:tailEnd/>
                    </a:ln>
                  </pic:spPr>
                </pic:pic>
              </a:graphicData>
            </a:graphic>
            <wp14:sizeRelH relativeFrom="margin">
              <wp14:pctWidth>0</wp14:pctWidth>
            </wp14:sizeRelH>
          </wp:anchor>
        </w:drawing>
      </w:r>
    </w:p>
    <w:p w:rsidR="007E2958" w:rsidRPr="00650B32" w:rsidRDefault="007E2958" w:rsidP="007E2958">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7E2958" w:rsidRDefault="007E2958" w:rsidP="007E2958">
      <w:pPr>
        <w:pStyle w:val="NoSpacing"/>
        <w:keepNext/>
        <w:ind w:left="2880" w:firstLine="720"/>
      </w:pPr>
    </w:p>
    <w:p w:rsidR="007E2958" w:rsidRPr="00650B32" w:rsidRDefault="007E2958" w:rsidP="007E2958">
      <w:pPr>
        <w:pStyle w:val="NoSpacing"/>
        <w:keepNext/>
        <w:ind w:left="2880" w:firstLine="720"/>
        <w:rPr>
          <w:rFonts w:ascii="Times New Roman" w:eastAsia="Calibri" w:hAnsi="Times New Roman" w:cs="Times New Roman"/>
          <w:sz w:val="24"/>
          <w:szCs w:val="24"/>
        </w:rPr>
      </w:pPr>
    </w:p>
    <w:p w:rsidR="007E2958" w:rsidRDefault="007E2958" w:rsidP="007E2958">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7E2958" w:rsidRPr="00650B32" w:rsidRDefault="007E2958" w:rsidP="007E2958">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7E2958" w:rsidRPr="00650B32" w:rsidRDefault="007E2958" w:rsidP="007E2958">
      <w:pPr>
        <w:pStyle w:val="NoSpacing"/>
        <w:rPr>
          <w:rFonts w:ascii="Times New Roman" w:eastAsia="Calibri" w:hAnsi="Times New Roman" w:cs="Times New Roman"/>
          <w:sz w:val="24"/>
          <w:szCs w:val="24"/>
        </w:rPr>
      </w:pPr>
    </w:p>
    <w:p w:rsidR="007E2958" w:rsidRDefault="007E2958" w:rsidP="007E2958">
      <w:pPr>
        <w:spacing w:after="0" w:line="240" w:lineRule="auto"/>
        <w:rPr>
          <w:rFonts w:ascii="Times New Roman" w:eastAsia="Calibri" w:hAnsi="Times New Roman" w:cs="Times New Roman"/>
          <w:sz w:val="24"/>
          <w:szCs w:val="24"/>
        </w:rPr>
      </w:pPr>
    </w:p>
    <w:p w:rsidR="007E2958" w:rsidRDefault="007E2958" w:rsidP="007E2958">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 xml:space="preserve">ttachment: </w:t>
      </w:r>
    </w:p>
    <w:p w:rsidR="007E2958" w:rsidRDefault="007E2958" w:rsidP="007E2958">
      <w:pPr>
        <w:spacing w:after="0" w:line="240" w:lineRule="auto"/>
        <w:rPr>
          <w:rFonts w:ascii="Times New Roman" w:hAnsi="Times New Roman" w:cs="Times New Roman"/>
          <w:sz w:val="24"/>
          <w:szCs w:val="24"/>
        </w:rPr>
      </w:pPr>
    </w:p>
    <w:p w:rsidR="007E2958" w:rsidRPr="0050746F" w:rsidRDefault="007E2958" w:rsidP="007E2958">
      <w:pPr>
        <w:spacing w:after="0" w:line="240" w:lineRule="auto"/>
        <w:rPr>
          <w:rFonts w:ascii="Times New Roman" w:eastAsia="Calibri" w:hAnsi="Times New Roman" w:cs="Times New Roman"/>
          <w:sz w:val="24"/>
          <w:szCs w:val="24"/>
        </w:rPr>
      </w:pPr>
      <w:r w:rsidRPr="000A0FF7">
        <w:rPr>
          <w:rFonts w:ascii="Times New Roman" w:hAnsi="Times New Roman" w:cs="Times New Roman"/>
          <w:sz w:val="24"/>
          <w:szCs w:val="24"/>
          <w:u w:val="single"/>
        </w:rPr>
        <w:t>Exhibit 1</w:t>
      </w:r>
      <w:r>
        <w:rPr>
          <w:rFonts w:ascii="Times New Roman" w:hAnsi="Times New Roman" w:cs="Times New Roman"/>
          <w:sz w:val="24"/>
          <w:szCs w:val="24"/>
        </w:rPr>
        <w:t>:</w:t>
      </w:r>
      <w:r>
        <w:rPr>
          <w:rFonts w:ascii="Times New Roman" w:hAnsi="Times New Roman" w:cs="Times New Roman"/>
          <w:sz w:val="24"/>
          <w:szCs w:val="24"/>
        </w:rPr>
        <w:tab/>
        <w:t xml:space="preserve"> Amendment to </w:t>
      </w:r>
      <w:r w:rsidRPr="0050746F">
        <w:rPr>
          <w:rFonts w:ascii="Times New Roman" w:eastAsia="Calibri" w:hAnsi="Times New Roman" w:cs="Times New Roman"/>
          <w:sz w:val="24"/>
          <w:szCs w:val="24"/>
        </w:rPr>
        <w:t>Energy Broker Incentive Program</w:t>
      </w:r>
    </w:p>
    <w:p w:rsidR="005444C0" w:rsidRDefault="005444C0" w:rsidP="007E2958">
      <w:pPr>
        <w:spacing w:after="0" w:line="240" w:lineRule="auto"/>
      </w:pPr>
    </w:p>
    <w:sectPr w:rsidR="005444C0" w:rsidSect="005444C0">
      <w:headerReference w:type="default" r:id="rId14"/>
      <w:head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679" w:rsidRDefault="009A5679">
      <w:r>
        <w:separator/>
      </w:r>
    </w:p>
  </w:endnote>
  <w:endnote w:type="continuationSeparator" w:id="0">
    <w:p w:rsidR="009A5679" w:rsidRDefault="009A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913CF68D-5FB8-40CD-8639-E3D98DFCF7FC}"/>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679" w:rsidRDefault="009A5679">
      <w:r>
        <w:separator/>
      </w:r>
    </w:p>
  </w:footnote>
  <w:footnote w:type="continuationSeparator" w:id="0">
    <w:p w:rsidR="009A5679" w:rsidRDefault="009A5679">
      <w:r>
        <w:continuationSeparator/>
      </w:r>
    </w:p>
  </w:footnote>
  <w:footnote w:id="1">
    <w:p w:rsidR="007E2958" w:rsidRPr="001A4E51" w:rsidRDefault="007E2958" w:rsidP="007E2958">
      <w:pPr>
        <w:pStyle w:val="FootnoteText"/>
        <w:rPr>
          <w:rFonts w:ascii="Times New Roman" w:hAnsi="Times New Roman" w:cs="Times New Roman"/>
          <w:sz w:val="24"/>
          <w:szCs w:val="24"/>
        </w:rPr>
      </w:pPr>
      <w:r w:rsidRPr="001A4E51">
        <w:rPr>
          <w:rStyle w:val="FootnoteReference"/>
          <w:rFonts w:ascii="Times New Roman" w:hAnsi="Times New Roman" w:cs="Times New Roman"/>
          <w:sz w:val="24"/>
          <w:szCs w:val="24"/>
        </w:rPr>
        <w:footnoteRef/>
      </w:r>
      <w:r w:rsidRPr="001A4E51">
        <w:rPr>
          <w:rFonts w:ascii="Times New Roman" w:hAnsi="Times New Roman" w:cs="Times New Roman"/>
          <w:sz w:val="24"/>
          <w:szCs w:val="24"/>
        </w:rPr>
        <w:t xml:space="preserve"> </w:t>
      </w:r>
      <w:r>
        <w:rPr>
          <w:rFonts w:ascii="Times New Roman" w:hAnsi="Times New Roman" w:cs="Times New Roman"/>
          <w:sz w:val="24"/>
          <w:szCs w:val="24"/>
        </w:rPr>
        <w:t xml:space="preserve">The Exchange initially filed the broker incentive plan as </w:t>
      </w:r>
      <w:r w:rsidRPr="001A4E51">
        <w:rPr>
          <w:rFonts w:ascii="Times New Roman" w:hAnsi="Times New Roman" w:cs="Times New Roman"/>
          <w:sz w:val="24"/>
          <w:szCs w:val="24"/>
        </w:rPr>
        <w:t>SR-NFX-2015-</w:t>
      </w:r>
      <w:r>
        <w:rPr>
          <w:rFonts w:ascii="Times New Roman" w:hAnsi="Times New Roman" w:cs="Times New Roman"/>
          <w:sz w:val="24"/>
          <w:szCs w:val="24"/>
        </w:rPr>
        <w:t xml:space="preserve">45 on June 19, 2015 and the Program launched </w:t>
      </w:r>
      <w:r w:rsidRPr="00B7452F">
        <w:rPr>
          <w:rFonts w:ascii="Times New Roman" w:hAnsi="Times New Roman" w:cs="Times New Roman"/>
          <w:sz w:val="24"/>
          <w:szCs w:val="24"/>
        </w:rPr>
        <w:t xml:space="preserve">on July 24, 2015.  The Program </w:t>
      </w:r>
      <w:r>
        <w:rPr>
          <w:rFonts w:ascii="Times New Roman" w:hAnsi="Times New Roman" w:cs="Times New Roman"/>
          <w:sz w:val="24"/>
          <w:szCs w:val="24"/>
        </w:rPr>
        <w:t>has since been amended a number of times</w:t>
      </w:r>
      <w:r w:rsidRPr="00B7452F">
        <w:rPr>
          <w:rFonts w:ascii="Times New Roman" w:hAnsi="Times New Roman" w:cs="Times New Roman"/>
          <w:sz w:val="24"/>
          <w:szCs w:val="24"/>
        </w:rPr>
        <w:t>.</w:t>
      </w:r>
    </w:p>
    <w:p w:rsidR="007E2958" w:rsidRPr="001A4E51" w:rsidRDefault="007E2958" w:rsidP="007E2958">
      <w:pPr>
        <w:pStyle w:val="FootnoteText"/>
        <w:rPr>
          <w:rFonts w:ascii="Times New Roman" w:hAnsi="Times New Roman" w:cs="Times New Roman"/>
          <w:sz w:val="24"/>
          <w:szCs w:val="24"/>
        </w:rPr>
      </w:pPr>
    </w:p>
  </w:footnote>
  <w:footnote w:id="2">
    <w:p w:rsidR="007E2958" w:rsidRPr="001A4E51" w:rsidRDefault="007E2958" w:rsidP="007E2958">
      <w:pPr>
        <w:pStyle w:val="FootnoteText"/>
        <w:rPr>
          <w:rFonts w:ascii="Times New Roman" w:hAnsi="Times New Roman" w:cs="Times New Roman"/>
          <w:sz w:val="24"/>
          <w:szCs w:val="24"/>
        </w:rPr>
      </w:pPr>
      <w:r w:rsidRPr="001A4E51">
        <w:rPr>
          <w:rStyle w:val="FootnoteReference"/>
          <w:rFonts w:ascii="Times New Roman" w:hAnsi="Times New Roman" w:cs="Times New Roman"/>
          <w:sz w:val="24"/>
          <w:szCs w:val="24"/>
        </w:rPr>
        <w:footnoteRef/>
      </w:r>
      <w:r w:rsidRPr="001A4E51">
        <w:rPr>
          <w:rFonts w:ascii="Times New Roman" w:hAnsi="Times New Roman" w:cs="Times New Roman"/>
          <w:sz w:val="24"/>
          <w:szCs w:val="24"/>
        </w:rPr>
        <w:t xml:space="preserve"> “Off</w:t>
      </w:r>
      <w:r>
        <w:rPr>
          <w:rFonts w:ascii="Times New Roman" w:hAnsi="Times New Roman" w:cs="Times New Roman"/>
          <w:sz w:val="24"/>
          <w:szCs w:val="24"/>
        </w:rPr>
        <w:t>-</w:t>
      </w:r>
      <w:r w:rsidRPr="001A4E51">
        <w:rPr>
          <w:rFonts w:ascii="Times New Roman" w:hAnsi="Times New Roman" w:cs="Times New Roman"/>
          <w:sz w:val="24"/>
          <w:szCs w:val="24"/>
        </w:rPr>
        <w:t>Exchange Reporting Broker” is defined in Chapter I, Section 1 of the NFX Rulebook as an Authorized Customer who has received authorization from the Exchange as provided in Chapter V, Section 4(m) which in turn provides that an Off-Exchange Reporting Broker may access the Trading System directly for the purpose of submitting transactions for reporting and clearing if the Off-Exchange Reporting Broker has received authorization from the Exchange and from a Clearing Futures Participant in a form prescribed by the Exchange.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C50CD7"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C50CD7">
      <w:rPr>
        <w:rFonts w:ascii="Times New Roman" w:hAnsi="Times New Roman" w:cs="Times New Roman"/>
        <w:sz w:val="20"/>
        <w:szCs w:val="20"/>
      </w:rPr>
      <w:t>46</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E0568">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Pr="00955F8C" w:rsidRDefault="00955F8C" w:rsidP="00955F8C">
    <w:pPr>
      <w:pStyle w:val="Header"/>
    </w:pPr>
    <w:r w:rsidRPr="002E383E">
      <w:rPr>
        <w:lang w:eastAsia="en-US"/>
      </w:rPr>
      <w:drawing>
        <wp:anchor distT="0" distB="0" distL="114300" distR="114300" simplePos="0" relativeHeight="251659264" behindDoc="0" locked="1" layoutInCell="1" allowOverlap="1" wp14:anchorId="73BC0306" wp14:editId="0ECCEA47">
          <wp:simplePos x="0" y="0"/>
          <wp:positionH relativeFrom="column">
            <wp:posOffset>4265295</wp:posOffset>
          </wp:positionH>
          <wp:positionV relativeFrom="page">
            <wp:posOffset>355600</wp:posOffset>
          </wp:positionV>
          <wp:extent cx="1673225" cy="481330"/>
          <wp:effectExtent l="0" t="0" r="317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813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0FF7"/>
    <w:rsid w:val="000A3874"/>
    <w:rsid w:val="000B0F2E"/>
    <w:rsid w:val="000D02B9"/>
    <w:rsid w:val="000D4A76"/>
    <w:rsid w:val="001265C8"/>
    <w:rsid w:val="00135BE1"/>
    <w:rsid w:val="00153179"/>
    <w:rsid w:val="00166D58"/>
    <w:rsid w:val="001746B9"/>
    <w:rsid w:val="0018088D"/>
    <w:rsid w:val="00197F73"/>
    <w:rsid w:val="001A2A6A"/>
    <w:rsid w:val="001C4306"/>
    <w:rsid w:val="001D1708"/>
    <w:rsid w:val="001E53F3"/>
    <w:rsid w:val="00242C21"/>
    <w:rsid w:val="002610EE"/>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86A23"/>
    <w:rsid w:val="00394142"/>
    <w:rsid w:val="003A1E6B"/>
    <w:rsid w:val="003D071F"/>
    <w:rsid w:val="003D2483"/>
    <w:rsid w:val="003D7D45"/>
    <w:rsid w:val="003F1332"/>
    <w:rsid w:val="00400D58"/>
    <w:rsid w:val="004166F5"/>
    <w:rsid w:val="00420946"/>
    <w:rsid w:val="00425E24"/>
    <w:rsid w:val="004416D1"/>
    <w:rsid w:val="00444B42"/>
    <w:rsid w:val="004468C6"/>
    <w:rsid w:val="00451810"/>
    <w:rsid w:val="004623F3"/>
    <w:rsid w:val="00471651"/>
    <w:rsid w:val="004B0B80"/>
    <w:rsid w:val="004B4800"/>
    <w:rsid w:val="004C1038"/>
    <w:rsid w:val="004C595C"/>
    <w:rsid w:val="004E0359"/>
    <w:rsid w:val="004F4A5F"/>
    <w:rsid w:val="004F6A14"/>
    <w:rsid w:val="0050746F"/>
    <w:rsid w:val="00517EAC"/>
    <w:rsid w:val="005444C0"/>
    <w:rsid w:val="0055465F"/>
    <w:rsid w:val="0055547F"/>
    <w:rsid w:val="0056301F"/>
    <w:rsid w:val="005671D2"/>
    <w:rsid w:val="005737C0"/>
    <w:rsid w:val="00575375"/>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5383D"/>
    <w:rsid w:val="00662BF1"/>
    <w:rsid w:val="00663AC4"/>
    <w:rsid w:val="00672BD3"/>
    <w:rsid w:val="00674E96"/>
    <w:rsid w:val="00682E52"/>
    <w:rsid w:val="00687FED"/>
    <w:rsid w:val="00690113"/>
    <w:rsid w:val="006A23F0"/>
    <w:rsid w:val="006B55A4"/>
    <w:rsid w:val="006C1819"/>
    <w:rsid w:val="006C2BD3"/>
    <w:rsid w:val="006C7C6D"/>
    <w:rsid w:val="006D0516"/>
    <w:rsid w:val="006D5C69"/>
    <w:rsid w:val="006D7316"/>
    <w:rsid w:val="006E620B"/>
    <w:rsid w:val="006F78A0"/>
    <w:rsid w:val="00704A07"/>
    <w:rsid w:val="00706405"/>
    <w:rsid w:val="0071674F"/>
    <w:rsid w:val="00723F8E"/>
    <w:rsid w:val="00746658"/>
    <w:rsid w:val="007525F5"/>
    <w:rsid w:val="00752A6A"/>
    <w:rsid w:val="007667BD"/>
    <w:rsid w:val="00783552"/>
    <w:rsid w:val="0079548F"/>
    <w:rsid w:val="007B39B4"/>
    <w:rsid w:val="007D2F21"/>
    <w:rsid w:val="007D48A6"/>
    <w:rsid w:val="007D654F"/>
    <w:rsid w:val="007E2958"/>
    <w:rsid w:val="007F6B89"/>
    <w:rsid w:val="00803051"/>
    <w:rsid w:val="008225AC"/>
    <w:rsid w:val="00823846"/>
    <w:rsid w:val="0083294B"/>
    <w:rsid w:val="00845388"/>
    <w:rsid w:val="008504E3"/>
    <w:rsid w:val="008601E9"/>
    <w:rsid w:val="00862FB8"/>
    <w:rsid w:val="0087322B"/>
    <w:rsid w:val="008A5035"/>
    <w:rsid w:val="008A6F33"/>
    <w:rsid w:val="008D0EA0"/>
    <w:rsid w:val="008D2006"/>
    <w:rsid w:val="008D575B"/>
    <w:rsid w:val="008E0568"/>
    <w:rsid w:val="008E113C"/>
    <w:rsid w:val="008E5622"/>
    <w:rsid w:val="008F2A00"/>
    <w:rsid w:val="008F34CB"/>
    <w:rsid w:val="008F39CF"/>
    <w:rsid w:val="00901585"/>
    <w:rsid w:val="009325A9"/>
    <w:rsid w:val="00940AE9"/>
    <w:rsid w:val="00946B2C"/>
    <w:rsid w:val="00955F8C"/>
    <w:rsid w:val="009A2490"/>
    <w:rsid w:val="009A5679"/>
    <w:rsid w:val="009D691D"/>
    <w:rsid w:val="009F7A70"/>
    <w:rsid w:val="00A01B4B"/>
    <w:rsid w:val="00A03815"/>
    <w:rsid w:val="00A06C10"/>
    <w:rsid w:val="00A137D7"/>
    <w:rsid w:val="00A35B1F"/>
    <w:rsid w:val="00A43066"/>
    <w:rsid w:val="00A568CC"/>
    <w:rsid w:val="00A62A66"/>
    <w:rsid w:val="00A74418"/>
    <w:rsid w:val="00A85786"/>
    <w:rsid w:val="00A87D38"/>
    <w:rsid w:val="00A961CE"/>
    <w:rsid w:val="00AB4A64"/>
    <w:rsid w:val="00AB5353"/>
    <w:rsid w:val="00AB6119"/>
    <w:rsid w:val="00AB649F"/>
    <w:rsid w:val="00AC119B"/>
    <w:rsid w:val="00AC6FDD"/>
    <w:rsid w:val="00AD07B6"/>
    <w:rsid w:val="00AD646A"/>
    <w:rsid w:val="00AF47D9"/>
    <w:rsid w:val="00B01B83"/>
    <w:rsid w:val="00B03D03"/>
    <w:rsid w:val="00B040FC"/>
    <w:rsid w:val="00B14D27"/>
    <w:rsid w:val="00B15314"/>
    <w:rsid w:val="00B16521"/>
    <w:rsid w:val="00B34650"/>
    <w:rsid w:val="00B45B23"/>
    <w:rsid w:val="00B46E8E"/>
    <w:rsid w:val="00B5273F"/>
    <w:rsid w:val="00B569C1"/>
    <w:rsid w:val="00B61518"/>
    <w:rsid w:val="00B65CC7"/>
    <w:rsid w:val="00B67098"/>
    <w:rsid w:val="00B679D2"/>
    <w:rsid w:val="00B817A8"/>
    <w:rsid w:val="00B82EFE"/>
    <w:rsid w:val="00B8408C"/>
    <w:rsid w:val="00BA01EC"/>
    <w:rsid w:val="00BB1623"/>
    <w:rsid w:val="00BC7B09"/>
    <w:rsid w:val="00BD5978"/>
    <w:rsid w:val="00BD66AD"/>
    <w:rsid w:val="00BF0157"/>
    <w:rsid w:val="00BF2D2F"/>
    <w:rsid w:val="00C03127"/>
    <w:rsid w:val="00C0680F"/>
    <w:rsid w:val="00C06CFA"/>
    <w:rsid w:val="00C2091F"/>
    <w:rsid w:val="00C22DCB"/>
    <w:rsid w:val="00C32D24"/>
    <w:rsid w:val="00C43D2B"/>
    <w:rsid w:val="00C50CD7"/>
    <w:rsid w:val="00C628A0"/>
    <w:rsid w:val="00C654A6"/>
    <w:rsid w:val="00CA65E5"/>
    <w:rsid w:val="00CB6A80"/>
    <w:rsid w:val="00CD6D2F"/>
    <w:rsid w:val="00CE4500"/>
    <w:rsid w:val="00CF7C6B"/>
    <w:rsid w:val="00D05049"/>
    <w:rsid w:val="00D05477"/>
    <w:rsid w:val="00D138C3"/>
    <w:rsid w:val="00D31404"/>
    <w:rsid w:val="00D44C87"/>
    <w:rsid w:val="00D527EA"/>
    <w:rsid w:val="00D63C25"/>
    <w:rsid w:val="00D700BB"/>
    <w:rsid w:val="00D70163"/>
    <w:rsid w:val="00D825F3"/>
    <w:rsid w:val="00D86D6F"/>
    <w:rsid w:val="00DA6428"/>
    <w:rsid w:val="00DB1B21"/>
    <w:rsid w:val="00DC305C"/>
    <w:rsid w:val="00DD389D"/>
    <w:rsid w:val="00E00A30"/>
    <w:rsid w:val="00E00C58"/>
    <w:rsid w:val="00E0574E"/>
    <w:rsid w:val="00E05D32"/>
    <w:rsid w:val="00E07DDC"/>
    <w:rsid w:val="00E149BA"/>
    <w:rsid w:val="00E31039"/>
    <w:rsid w:val="00E360CB"/>
    <w:rsid w:val="00E36D1C"/>
    <w:rsid w:val="00E418B5"/>
    <w:rsid w:val="00E453F6"/>
    <w:rsid w:val="00E462DD"/>
    <w:rsid w:val="00E50F10"/>
    <w:rsid w:val="00E62D3A"/>
    <w:rsid w:val="00E67374"/>
    <w:rsid w:val="00E74ECF"/>
    <w:rsid w:val="00E81CD4"/>
    <w:rsid w:val="00E87C9F"/>
    <w:rsid w:val="00EA57C7"/>
    <w:rsid w:val="00EA7DF6"/>
    <w:rsid w:val="00EC12B3"/>
    <w:rsid w:val="00EC1F98"/>
    <w:rsid w:val="00EC63DB"/>
    <w:rsid w:val="00F06CCD"/>
    <w:rsid w:val="00F12343"/>
    <w:rsid w:val="00F16B3B"/>
    <w:rsid w:val="00F16EA3"/>
    <w:rsid w:val="00F17C44"/>
    <w:rsid w:val="00F255EE"/>
    <w:rsid w:val="00F25FF4"/>
    <w:rsid w:val="00F535EB"/>
    <w:rsid w:val="00F55BF6"/>
    <w:rsid w:val="00F609A9"/>
    <w:rsid w:val="00F978A6"/>
    <w:rsid w:val="00FD25EA"/>
    <w:rsid w:val="00FE61BC"/>
    <w:rsid w:val="00FF4AEE"/>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paragraph" w:customStyle="1" w:styleId="Default">
    <w:name w:val="Default"/>
    <w:rsid w:val="00D700BB"/>
    <w:pPr>
      <w:autoSpaceDE w:val="0"/>
      <w:autoSpaceDN w:val="0"/>
      <w:adjustRightInd w:val="0"/>
    </w:pPr>
    <w:rPr>
      <w:color w:val="000000"/>
      <w:sz w:val="24"/>
      <w:szCs w:val="24"/>
    </w:rPr>
  </w:style>
  <w:style w:type="paragraph" w:customStyle="1" w:styleId="LetterheadAddress">
    <w:name w:val="Letterhead Address"/>
    <w:basedOn w:val="Normal"/>
    <w:qFormat/>
    <w:rsid w:val="00955F8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styleId="FollowedHyperlink">
    <w:name w:val="FollowedHyperlink"/>
    <w:basedOn w:val="DefaultParagraphFont"/>
    <w:rsid w:val="006901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paragraph" w:customStyle="1" w:styleId="Default">
    <w:name w:val="Default"/>
    <w:rsid w:val="00D700BB"/>
    <w:pPr>
      <w:autoSpaceDE w:val="0"/>
      <w:autoSpaceDN w:val="0"/>
      <w:adjustRightInd w:val="0"/>
    </w:pPr>
    <w:rPr>
      <w:color w:val="000000"/>
      <w:sz w:val="24"/>
      <w:szCs w:val="24"/>
    </w:rPr>
  </w:style>
  <w:style w:type="paragraph" w:customStyle="1" w:styleId="LetterheadAddress">
    <w:name w:val="Letterhead Address"/>
    <w:basedOn w:val="Normal"/>
    <w:qFormat/>
    <w:rsid w:val="00955F8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styleId="FollowedHyperlink">
    <w:name w:val="FollowedHyperlink"/>
    <w:basedOn w:val="DefaultParagraphFont"/>
    <w:rsid w:val="00690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fut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e2cdd98a-8431-46d5-a466-e91c28f05b5b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2016-04-12T20:38:25+00:00</Document_x0020_Date>
    <Document_x0020_No xmlns="4b47aac5-4c46-444f-8595-ce09b406fc61">23719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4D0C4-CBC5-450F-BFC2-DC874CD1B837}"/>
</file>

<file path=customXml/itemProps2.xml><?xml version="1.0" encoding="utf-8"?>
<ds:datastoreItem xmlns:ds="http://schemas.openxmlformats.org/officeDocument/2006/customXml" ds:itemID="{6550A04E-EEBE-4302-8ED7-261E103D9BBC}"/>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B63B2577-7D5F-4FE1-A5AB-79564FBACC6C}"/>
</file>

<file path=customXml/itemProps5.xml><?xml version="1.0" encoding="utf-8"?>
<ds:datastoreItem xmlns:ds="http://schemas.openxmlformats.org/officeDocument/2006/customXml" ds:itemID="{B184A8EE-3483-42B9-B39C-FFC6B1B9097D}"/>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2</Pages>
  <Words>502</Words>
  <Characters>2864</Characters>
  <Application>Microsoft Office Word</Application>
  <DocSecurity>6</DocSecurity>
  <Lines>23</Lines>
  <Paragraphs>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2016-04-12T20:29:00Z</dcterms:created>
  <dcterms:modified xsi:type="dcterms:W3CDTF">2016-04-12T20:29:00Z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2415900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