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C0" w:rsidRPr="00151B94" w:rsidRDefault="004008C0" w:rsidP="004008C0">
      <w:pPr>
        <w:spacing w:before="120" w:after="0"/>
        <w:ind w:left="6550" w:hanging="6550"/>
        <w:rPr>
          <w:sz w:val="18"/>
          <w:szCs w:val="18"/>
        </w:rPr>
      </w:pPr>
      <w:r w:rsidRPr="00151B94">
        <w:rPr>
          <w:noProof/>
          <w:sz w:val="18"/>
          <w:szCs w:val="18"/>
        </w:rPr>
        <w:drawing>
          <wp:anchor distT="0" distB="0" distL="114300" distR="114300" simplePos="0" relativeHeight="251661312" behindDoc="0" locked="1" layoutInCell="1" allowOverlap="1" wp14:anchorId="120D19FA" wp14:editId="1BAA59E6">
            <wp:simplePos x="0" y="0"/>
            <wp:positionH relativeFrom="column">
              <wp:posOffset>3566160</wp:posOffset>
            </wp:positionH>
            <wp:positionV relativeFrom="page">
              <wp:posOffset>364490</wp:posOffset>
            </wp:positionV>
            <wp:extent cx="1673225" cy="474345"/>
            <wp:effectExtent l="0" t="0" r="317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2005-2010:Desktop:NDAQ_Letterhead_2014:ndaq_col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450E80">
        <w:rPr>
          <w:rFonts w:ascii="Times New Roman" w:eastAsia="Calibri" w:hAnsi="Times New Roman" w:cs="Times New Roman"/>
          <w:noProof/>
          <w:sz w:val="24"/>
          <w:szCs w:val="24"/>
        </w:rPr>
        <w:t>April 12, 2019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/>
          <w:sz w:val="24"/>
          <w:szCs w:val="24"/>
        </w:rPr>
        <w:tab/>
      </w:r>
      <w:r w:rsidRPr="000964D7">
        <w:rPr>
          <w:sz w:val="18"/>
          <w:szCs w:val="18"/>
        </w:rPr>
        <w:t>N</w:t>
      </w:r>
      <w:r w:rsidRPr="00151B94">
        <w:rPr>
          <w:sz w:val="18"/>
          <w:szCs w:val="18"/>
        </w:rPr>
        <w:t>asdaq Futures, Inc.</w:t>
      </w:r>
    </w:p>
    <w:p w:rsidR="004008C0" w:rsidRPr="00E1206A" w:rsidRDefault="004008C0" w:rsidP="004008C0">
      <w:pPr>
        <w:pStyle w:val="LetterheadAddress"/>
        <w:ind w:left="6550" w:hanging="655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151B94">
        <w:rPr>
          <w:rFonts w:asciiTheme="minorHAnsi" w:hAnsiTheme="minorHAnsi"/>
        </w:rPr>
        <w:t xml:space="preserve">FMC Tower, Level 8, 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Christopher J. Kirkpatrick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41AD">
        <w:rPr>
          <w:rFonts w:eastAsiaTheme="minorEastAsia" w:cs="Times New Roman"/>
          <w:sz w:val="18"/>
          <w:szCs w:val="18"/>
          <w:lang w:eastAsia="ja-JP"/>
        </w:rPr>
        <w:t>2929 Walnut Street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Office of the Secretariat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41AD">
        <w:rPr>
          <w:rFonts w:eastAsiaTheme="minorEastAsia" w:cs="Times New Roman"/>
          <w:sz w:val="18"/>
          <w:szCs w:val="18"/>
          <w:lang w:eastAsia="ja-JP"/>
        </w:rPr>
        <w:t>Philadelphia, PA 19104 / USA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Three Lafayette Center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151B94">
        <w:rPr>
          <w:rFonts w:cs="Times New Roman"/>
          <w:sz w:val="18"/>
          <w:szCs w:val="18"/>
        </w:rPr>
        <w:t>business.nasdaq.com/futures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1155 21</w:t>
      </w:r>
      <w:r w:rsidRPr="00E1206A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E1206A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:rsidR="004008C0" w:rsidRPr="00E1206A" w:rsidRDefault="004008C0" w:rsidP="004008C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41823" w:rsidRDefault="004008C0" w:rsidP="003775E4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1206A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Rule Self-Certification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:</w:t>
      </w:r>
      <w:r w:rsidRPr="002D55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D558A">
        <w:rPr>
          <w:rFonts w:ascii="Times New Roman" w:eastAsia="Calibri" w:hAnsi="Times New Roman" w:cs="Times New Roman"/>
          <w:b/>
          <w:sz w:val="24"/>
          <w:szCs w:val="24"/>
        </w:rPr>
        <w:t xml:space="preserve">Rule Certification </w:t>
      </w:r>
      <w:r w:rsidR="002C4B2D">
        <w:rPr>
          <w:rFonts w:ascii="Times New Roman" w:eastAsia="Calibri" w:hAnsi="Times New Roman" w:cs="Times New Roman"/>
          <w:b/>
          <w:sz w:val="24"/>
          <w:szCs w:val="24"/>
        </w:rPr>
        <w:t>to</w:t>
      </w:r>
    </w:p>
    <w:p w:rsidR="004008C0" w:rsidRPr="002D558A" w:rsidRDefault="00003340" w:rsidP="00977C73">
      <w:pPr>
        <w:pStyle w:val="NoSpacing"/>
        <w:ind w:left="28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Launch a New </w:t>
      </w:r>
      <w:r w:rsidR="00CB080F">
        <w:rPr>
          <w:rFonts w:ascii="Times New Roman" w:eastAsia="Calibri" w:hAnsi="Times New Roman" w:cs="Times New Roman"/>
          <w:b/>
          <w:sz w:val="24"/>
          <w:szCs w:val="24"/>
        </w:rPr>
        <w:t xml:space="preserve">Energy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Designated Market Maker Program</w:t>
      </w:r>
    </w:p>
    <w:p w:rsidR="004008C0" w:rsidRPr="00E1206A" w:rsidRDefault="004008C0" w:rsidP="004008C0">
      <w:pPr>
        <w:pStyle w:val="NoSpacing"/>
        <w:ind w:left="2160" w:firstLine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1206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Reference File: </w:t>
      </w:r>
      <w:r w:rsidRPr="007B139D">
        <w:rPr>
          <w:rFonts w:ascii="Times New Roman" w:eastAsia="Calibri" w:hAnsi="Times New Roman" w:cs="Times New Roman"/>
          <w:b/>
          <w:sz w:val="24"/>
          <w:szCs w:val="24"/>
          <w:u w:val="single"/>
        </w:rPr>
        <w:t>SR-NFX-201</w:t>
      </w:r>
      <w:r w:rsidR="00451B6C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7B139D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041823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003340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</w:p>
    <w:p w:rsidR="0008423C" w:rsidRPr="00E1206A" w:rsidRDefault="0008423C" w:rsidP="0008423C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23C" w:rsidRPr="00E1206A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:rsidR="0008423C" w:rsidRPr="00E1206A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973C5D" w:rsidRPr="00043462" w:rsidRDefault="00973C5D" w:rsidP="00973C5D">
      <w:pPr>
        <w:pStyle w:val="Default"/>
        <w:ind w:firstLine="1310"/>
      </w:pPr>
      <w:r w:rsidRPr="00043462">
        <w:t xml:space="preserve">Pursuant to Section 5c(c)(1) of the Commodity Exchange Act, as amended (“Act”), and Section 40.6 of the Commission’s regulations thereunder, NASDAQ Futures, Inc. (“NFX” or “Exchange”) submits this self-certification </w:t>
      </w:r>
      <w:r w:rsidR="00003340">
        <w:t>to launch a new</w:t>
      </w:r>
      <w:r w:rsidRPr="00043462">
        <w:t xml:space="preserve"> Designated Market Maker </w:t>
      </w:r>
      <w:r>
        <w:t>P</w:t>
      </w:r>
      <w:r w:rsidRPr="00043462">
        <w:t xml:space="preserve">rogram (the “DMM Program”) for </w:t>
      </w:r>
      <w:r w:rsidR="000B470C">
        <w:t xml:space="preserve">energy </w:t>
      </w:r>
      <w:r w:rsidRPr="00043462">
        <w:t>contracts that the Exchange has listed pursuant to Appendix A of the Exchange Rulebook (the “Contracts”).</w:t>
      </w:r>
      <w:r w:rsidRPr="00043462">
        <w:rPr>
          <w:rStyle w:val="FootnoteReference"/>
        </w:rPr>
        <w:footnoteReference w:id="1"/>
      </w:r>
      <w:r w:rsidRPr="00043462">
        <w:t xml:space="preserve">  </w:t>
      </w:r>
      <w:r>
        <w:t xml:space="preserve">Effective </w:t>
      </w:r>
      <w:r w:rsidR="000B470C">
        <w:t>from May 1</w:t>
      </w:r>
      <w:r>
        <w:t>, 201</w:t>
      </w:r>
      <w:r w:rsidR="000B470C">
        <w:t>9</w:t>
      </w:r>
      <w:r>
        <w:t>, t</w:t>
      </w:r>
      <w:r w:rsidRPr="00043462">
        <w:t xml:space="preserve">he </w:t>
      </w:r>
      <w:r w:rsidR="00003340">
        <w:t>DMM P</w:t>
      </w:r>
      <w:r w:rsidRPr="00043462">
        <w:t>rogram</w:t>
      </w:r>
      <w:r>
        <w:t xml:space="preserve"> will operate for a period of </w:t>
      </w:r>
      <w:r w:rsidR="000B470C">
        <w:t>six (6) months</w:t>
      </w:r>
      <w:r>
        <w:t xml:space="preserve">.  </w:t>
      </w:r>
      <w:r w:rsidR="00003340">
        <w:t>The DMM Program will replace the former DMM program</w:t>
      </w:r>
      <w:r w:rsidR="000B470C">
        <w:t xml:space="preserve"> which expires on April 30, 2019</w:t>
      </w:r>
      <w:r w:rsidR="00003340">
        <w:t xml:space="preserve">.  </w:t>
      </w:r>
      <w:r>
        <w:t xml:space="preserve">A description of the program is attached as Exhibit A.  A description of the cost of the program is attached as </w:t>
      </w:r>
      <w:r w:rsidR="000B470C">
        <w:t>C</w:t>
      </w:r>
      <w:r>
        <w:t>onfidential Exhibit B</w:t>
      </w:r>
      <w:r w:rsidR="00003340">
        <w:t>.</w:t>
      </w:r>
    </w:p>
    <w:p w:rsidR="00973C5D" w:rsidRPr="00043462" w:rsidRDefault="00973C5D" w:rsidP="00973C5D">
      <w:pPr>
        <w:pStyle w:val="Default"/>
      </w:pPr>
    </w:p>
    <w:p w:rsidR="00973C5D" w:rsidRPr="00043462" w:rsidRDefault="00973C5D" w:rsidP="00973C5D">
      <w:pPr>
        <w:pStyle w:val="Default"/>
        <w:ind w:firstLine="1310"/>
      </w:pPr>
      <w:r>
        <w:t xml:space="preserve">The DMM Program is being </w:t>
      </w:r>
      <w:r w:rsidR="00003340">
        <w:t>revised and relaunched</w:t>
      </w:r>
      <w:r>
        <w:t xml:space="preserve"> to </w:t>
      </w:r>
      <w:r w:rsidR="000B470C">
        <w:t>initially focus on NFX Brent Crude Financial Futures (BFQ), although other Contracts may be added at a later date</w:t>
      </w:r>
      <w:r>
        <w:t xml:space="preserve">.  </w:t>
      </w:r>
      <w:r w:rsidRPr="00043462">
        <w:t xml:space="preserve">The Exchange believes </w:t>
      </w:r>
      <w:r w:rsidR="00003340">
        <w:t>that</w:t>
      </w:r>
      <w:r>
        <w:t xml:space="preserve"> </w:t>
      </w:r>
      <w:r w:rsidRPr="00043462">
        <w:t xml:space="preserve">the </w:t>
      </w:r>
      <w:r w:rsidR="00003340">
        <w:t xml:space="preserve">new </w:t>
      </w:r>
      <w:r w:rsidRPr="00043462">
        <w:t>DMM Program</w:t>
      </w:r>
      <w:r>
        <w:t xml:space="preserve"> compl</w:t>
      </w:r>
      <w:r w:rsidR="00003340">
        <w:t>ies</w:t>
      </w:r>
      <w:r w:rsidRPr="00043462">
        <w:t xml:space="preserve"> with Core Principle 4 (Monitoring of Trading), Core Principle 9 (Execution of Transactions) and Core Principle 12 (Protection of Market Participants). </w:t>
      </w:r>
      <w:r w:rsidR="00003340">
        <w:t xml:space="preserve"> </w:t>
      </w:r>
      <w:r w:rsidRPr="00043462">
        <w:t xml:space="preserve">The DMM Program will not impact order execution priority or otherwise give participants any execution preference or advantage. </w:t>
      </w:r>
      <w:r w:rsidR="00003340">
        <w:t xml:space="preserve"> </w:t>
      </w:r>
      <w:r w:rsidRPr="00043462">
        <w:t xml:space="preserve">The DMM Program will not impact the Exchange’s ability to perform its trade practice and market surveillance obligations under the Act and Exchange staff will monitor trading in the </w:t>
      </w:r>
      <w:r w:rsidR="00003340">
        <w:t xml:space="preserve">DMM </w:t>
      </w:r>
      <w:r w:rsidRPr="00043462">
        <w:t xml:space="preserve">Program’s products to prevent manipulative trading and market abuse. </w:t>
      </w:r>
      <w:r w:rsidR="00003340">
        <w:t xml:space="preserve"> </w:t>
      </w:r>
      <w:r w:rsidRPr="00043462">
        <w:t xml:space="preserve">Additionally, the Exchange has systems to track </w:t>
      </w:r>
      <w:r>
        <w:t>p</w:t>
      </w:r>
      <w:r w:rsidRPr="00043462">
        <w:t>rogram participants’ volume to ensure proper distribution of earned incentives.</w:t>
      </w:r>
      <w:r w:rsidR="00003340">
        <w:t xml:space="preserve"> </w:t>
      </w:r>
      <w:r w:rsidRPr="00043462">
        <w:t xml:space="preserve"> Finally, NFX rules include prohibitions against fraudulent, non-competitive, unfair or abusive practices.  </w:t>
      </w:r>
    </w:p>
    <w:p w:rsidR="00973C5D" w:rsidRPr="00043462" w:rsidRDefault="00973C5D" w:rsidP="00973C5D">
      <w:pPr>
        <w:pStyle w:val="Default"/>
        <w:rPr>
          <w:color w:val="auto"/>
        </w:rPr>
      </w:pPr>
    </w:p>
    <w:p w:rsidR="00973C5D" w:rsidRPr="00043462" w:rsidRDefault="00973C5D" w:rsidP="00973C5D">
      <w:pPr>
        <w:pStyle w:val="NoSpacing"/>
        <w:ind w:firstLine="1310"/>
        <w:rPr>
          <w:rFonts w:ascii="Times New Roman" w:eastAsia="Times New Roman" w:hAnsi="Times New Roman" w:cs="Times New Roman"/>
          <w:sz w:val="24"/>
          <w:szCs w:val="24"/>
        </w:rPr>
      </w:pPr>
      <w:r w:rsidRPr="00043462">
        <w:rPr>
          <w:rFonts w:ascii="Times New Roman" w:hAnsi="Times New Roman" w:cs="Times New Roman"/>
          <w:sz w:val="24"/>
          <w:szCs w:val="24"/>
        </w:rPr>
        <w:t xml:space="preserve">The Exchange has reviewed the designated contract market core principles as set forth in the Act in connection with the amendments presented herein. </w:t>
      </w:r>
      <w:r w:rsidR="00003340">
        <w:rPr>
          <w:rFonts w:ascii="Times New Roman" w:hAnsi="Times New Roman" w:cs="Times New Roman"/>
          <w:sz w:val="24"/>
          <w:szCs w:val="24"/>
        </w:rPr>
        <w:t xml:space="preserve"> </w:t>
      </w:r>
      <w:r w:rsidRPr="00043462">
        <w:rPr>
          <w:rFonts w:ascii="Times New Roman" w:hAnsi="Times New Roman" w:cs="Times New Roman"/>
          <w:sz w:val="24"/>
          <w:szCs w:val="24"/>
        </w:rPr>
        <w:t xml:space="preserve">Consistent with Core Principle 7 - Availability of General Information, the Exchange will post general information, including the NFX Rulebook as amended herein, on its website: </w:t>
      </w:r>
      <w:hyperlink r:id="rId12" w:history="1">
        <w:r w:rsidRPr="00043462">
          <w:rPr>
            <w:rStyle w:val="Hyperlink"/>
            <w:rFonts w:ascii="Times New Roman" w:hAnsi="Times New Roman" w:cs="Times New Roman"/>
            <w:sz w:val="24"/>
            <w:szCs w:val="24"/>
          </w:rPr>
          <w:t>business.nasdaq.com/futures</w:t>
        </w:r>
      </w:hyperlink>
      <w:r w:rsidRPr="000434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C5D" w:rsidRPr="00043462" w:rsidRDefault="00973C5D" w:rsidP="00973C5D">
      <w:pPr>
        <w:pStyle w:val="Default"/>
        <w:rPr>
          <w:color w:val="auto"/>
        </w:rPr>
      </w:pPr>
    </w:p>
    <w:p w:rsidR="00231013" w:rsidRDefault="0023101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b/>
          <w:bCs/>
          <w:u w:val="single"/>
        </w:rPr>
        <w:br w:type="page"/>
      </w:r>
    </w:p>
    <w:p w:rsidR="00973C5D" w:rsidRPr="00043462" w:rsidRDefault="00973C5D" w:rsidP="00973C5D">
      <w:pPr>
        <w:pStyle w:val="Default"/>
        <w:ind w:left="2620" w:firstLine="1310"/>
        <w:rPr>
          <w:b/>
          <w:bCs/>
          <w:color w:val="auto"/>
          <w:u w:val="single"/>
        </w:rPr>
      </w:pPr>
      <w:r w:rsidRPr="00043462">
        <w:rPr>
          <w:b/>
          <w:bCs/>
          <w:color w:val="auto"/>
          <w:u w:val="single"/>
        </w:rPr>
        <w:lastRenderedPageBreak/>
        <w:t xml:space="preserve">Certifications </w:t>
      </w:r>
    </w:p>
    <w:p w:rsidR="00973C5D" w:rsidRPr="00043462" w:rsidRDefault="00973C5D" w:rsidP="00973C5D">
      <w:pPr>
        <w:pStyle w:val="Default"/>
        <w:ind w:left="2620"/>
        <w:rPr>
          <w:color w:val="auto"/>
        </w:rPr>
      </w:pPr>
    </w:p>
    <w:p w:rsidR="00973C5D" w:rsidRPr="00043462" w:rsidRDefault="00973C5D" w:rsidP="00973C5D">
      <w:pPr>
        <w:pStyle w:val="Default"/>
        <w:ind w:firstLine="1310"/>
      </w:pPr>
      <w:r w:rsidRPr="00043462">
        <w:t xml:space="preserve">There were no opposing views among NFX’s Board of Directors, members or market participants. </w:t>
      </w:r>
      <w:r w:rsidR="00003340">
        <w:t xml:space="preserve"> </w:t>
      </w:r>
      <w:r w:rsidRPr="00043462">
        <w:t xml:space="preserve">The Exchange hereby certifies that the rule amendments set forth herein comply with the Act and the Commission’s regulations thereunder. </w:t>
      </w:r>
      <w:r w:rsidR="00003340">
        <w:t xml:space="preserve"> </w:t>
      </w:r>
      <w:r w:rsidRPr="00043462">
        <w:t xml:space="preserve">The Exchange also certifies that notice of pending certification and a copy of this submission have been concurrently posted on the Exchange’s website: </w:t>
      </w:r>
      <w:hyperlink r:id="rId13" w:history="1">
        <w:r w:rsidRPr="00043462">
          <w:rPr>
            <w:rStyle w:val="Hyperlink"/>
          </w:rPr>
          <w:t>business.nasdaq.com/futures</w:t>
        </w:r>
      </w:hyperlink>
      <w:r w:rsidRPr="00043462">
        <w:t xml:space="preserve">.  </w:t>
      </w:r>
    </w:p>
    <w:p w:rsidR="00973C5D" w:rsidRPr="00043462" w:rsidRDefault="00973C5D" w:rsidP="00973C5D">
      <w:pPr>
        <w:pStyle w:val="Default"/>
      </w:pPr>
    </w:p>
    <w:p w:rsidR="00973C5D" w:rsidRPr="00043462" w:rsidRDefault="00973C5D" w:rsidP="00973C5D">
      <w:pPr>
        <w:pStyle w:val="PlainText"/>
        <w:ind w:firstLine="1310"/>
        <w:rPr>
          <w:rFonts w:ascii="Times New Roman" w:hAnsi="Times New Roman"/>
          <w:spacing w:val="-6"/>
          <w:sz w:val="24"/>
          <w:szCs w:val="24"/>
        </w:rPr>
      </w:pPr>
      <w:r w:rsidRPr="00043462">
        <w:rPr>
          <w:rFonts w:ascii="Times New Roman" w:hAnsi="Times New Roman"/>
          <w:sz w:val="24"/>
          <w:szCs w:val="24"/>
        </w:rPr>
        <w:t xml:space="preserve">If you require any additional information regarding this submission, please contact </w:t>
      </w:r>
      <w:r w:rsidR="00003340">
        <w:rPr>
          <w:rFonts w:ascii="Times New Roman" w:hAnsi="Times New Roman"/>
          <w:sz w:val="24"/>
          <w:szCs w:val="24"/>
        </w:rPr>
        <w:t>Stephen Matthews</w:t>
      </w:r>
      <w:r w:rsidRPr="00043462">
        <w:rPr>
          <w:rFonts w:ascii="Times New Roman" w:hAnsi="Times New Roman"/>
          <w:sz w:val="24"/>
          <w:szCs w:val="24"/>
        </w:rPr>
        <w:t xml:space="preserve"> at (301) 978-84</w:t>
      </w:r>
      <w:r w:rsidR="00003340">
        <w:rPr>
          <w:rFonts w:ascii="Times New Roman" w:hAnsi="Times New Roman"/>
          <w:sz w:val="24"/>
          <w:szCs w:val="24"/>
        </w:rPr>
        <w:t>58</w:t>
      </w:r>
      <w:r w:rsidRPr="00043462">
        <w:rPr>
          <w:rFonts w:ascii="Times New Roman" w:hAnsi="Times New Roman"/>
          <w:sz w:val="24"/>
          <w:szCs w:val="24"/>
        </w:rPr>
        <w:t xml:space="preserve"> or </w:t>
      </w:r>
      <w:r w:rsidR="00003340">
        <w:rPr>
          <w:rFonts w:ascii="Times New Roman" w:hAnsi="Times New Roman"/>
          <w:sz w:val="24"/>
          <w:szCs w:val="24"/>
        </w:rPr>
        <w:t>steve.matthews</w:t>
      </w:r>
      <w:r w:rsidRPr="00043462">
        <w:rPr>
          <w:rFonts w:ascii="Times New Roman" w:hAnsi="Times New Roman"/>
          <w:sz w:val="24"/>
          <w:szCs w:val="24"/>
        </w:rPr>
        <w:t xml:space="preserve">@nasdaq.com. </w:t>
      </w:r>
      <w:r w:rsidR="00003340">
        <w:rPr>
          <w:rFonts w:ascii="Times New Roman" w:hAnsi="Times New Roman"/>
          <w:sz w:val="24"/>
          <w:szCs w:val="24"/>
        </w:rPr>
        <w:t xml:space="preserve"> </w:t>
      </w:r>
      <w:r w:rsidRPr="00043462">
        <w:rPr>
          <w:rFonts w:ascii="Times New Roman" w:hAnsi="Times New Roman"/>
          <w:sz w:val="24"/>
          <w:szCs w:val="24"/>
        </w:rPr>
        <w:t>Please refer to SR-NFX-201</w:t>
      </w:r>
      <w:r w:rsidR="000B470C">
        <w:rPr>
          <w:rFonts w:ascii="Times New Roman" w:hAnsi="Times New Roman"/>
          <w:sz w:val="24"/>
          <w:szCs w:val="24"/>
        </w:rPr>
        <w:t>9</w:t>
      </w:r>
      <w:r w:rsidRPr="00043462">
        <w:rPr>
          <w:rFonts w:ascii="Times New Roman" w:hAnsi="Times New Roman"/>
          <w:sz w:val="24"/>
          <w:szCs w:val="24"/>
        </w:rPr>
        <w:t>-</w:t>
      </w:r>
      <w:r w:rsidR="00003340">
        <w:rPr>
          <w:rFonts w:ascii="Times New Roman" w:hAnsi="Times New Roman"/>
          <w:sz w:val="24"/>
          <w:szCs w:val="24"/>
        </w:rPr>
        <w:t>15</w:t>
      </w:r>
      <w:r w:rsidRPr="00043462">
        <w:rPr>
          <w:rFonts w:ascii="Times New Roman" w:hAnsi="Times New Roman"/>
          <w:sz w:val="24"/>
          <w:szCs w:val="24"/>
        </w:rPr>
        <w:t xml:space="preserve"> in any related correspondence. </w:t>
      </w:r>
    </w:p>
    <w:p w:rsidR="00973C5D" w:rsidRPr="00043462" w:rsidRDefault="00973C5D" w:rsidP="00973C5D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973C5D" w:rsidRPr="00043462" w:rsidRDefault="00973C5D" w:rsidP="00973C5D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</w:p>
    <w:p w:rsidR="00450E80" w:rsidRPr="000011A2" w:rsidRDefault="00450E80" w:rsidP="00450E80">
      <w:pPr>
        <w:pStyle w:val="NoSpacing"/>
        <w:keepNext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0011A2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450E80" w:rsidRDefault="00450E80" w:rsidP="00450E80">
      <w:pPr>
        <w:pStyle w:val="NoSpacing"/>
        <w:keepNext/>
        <w:ind w:left="288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341E">
        <w:rPr>
          <w:rFonts w:eastAsia="Times New Roman"/>
          <w:noProof/>
        </w:rPr>
        <w:drawing>
          <wp:inline distT="0" distB="0" distL="0" distR="0" wp14:anchorId="4450983B" wp14:editId="62ECF7A8">
            <wp:extent cx="1550788" cy="657225"/>
            <wp:effectExtent l="0" t="0" r="0" b="0"/>
            <wp:docPr id="2" name="Picture 2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A78BF0-F405-40C9-8F94-49DE09D2EBB8" descr="image1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91" cy="69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E80" w:rsidRPr="0011341E" w:rsidRDefault="00450E80" w:rsidP="00450E80">
      <w:pPr>
        <w:pStyle w:val="NoSpacing"/>
        <w:keepNext/>
        <w:ind w:left="288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341E">
        <w:rPr>
          <w:rFonts w:ascii="Times New Roman" w:eastAsia="Calibri" w:hAnsi="Times New Roman" w:cs="Times New Roman"/>
          <w:sz w:val="24"/>
          <w:szCs w:val="24"/>
        </w:rPr>
        <w:t xml:space="preserve">Kevin Kennedy </w:t>
      </w:r>
    </w:p>
    <w:p w:rsidR="00973C5D" w:rsidRPr="00043462" w:rsidRDefault="00450E80" w:rsidP="00450E80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11341E">
        <w:rPr>
          <w:rFonts w:ascii="Times New Roman" w:eastAsia="Calibri" w:hAnsi="Times New Roman" w:cs="Times New Roman"/>
          <w:sz w:val="24"/>
          <w:szCs w:val="24"/>
        </w:rPr>
        <w:t>Chief Executive Officer</w:t>
      </w:r>
    </w:p>
    <w:p w:rsidR="00973C5D" w:rsidRPr="00043462" w:rsidRDefault="00973C5D" w:rsidP="00973C5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973C5D" w:rsidRPr="00043462" w:rsidRDefault="00973C5D" w:rsidP="00973C5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973C5D" w:rsidRPr="00043462" w:rsidRDefault="00973C5D" w:rsidP="0097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462">
        <w:rPr>
          <w:rFonts w:ascii="Times New Roman" w:hAnsi="Times New Roman" w:cs="Times New Roman"/>
          <w:sz w:val="24"/>
          <w:szCs w:val="24"/>
        </w:rPr>
        <w:t xml:space="preserve">Exhibit A </w:t>
      </w:r>
    </w:p>
    <w:p w:rsidR="00973C5D" w:rsidRDefault="00973C5D" w:rsidP="0097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DMM Program</w:t>
      </w:r>
      <w:r w:rsidR="00231013">
        <w:rPr>
          <w:rFonts w:ascii="Times New Roman" w:hAnsi="Times New Roman" w:cs="Times New Roman"/>
          <w:sz w:val="24"/>
          <w:szCs w:val="24"/>
        </w:rPr>
        <w:t xml:space="preserve"> Tender</w:t>
      </w:r>
    </w:p>
    <w:p w:rsidR="00973C5D" w:rsidRDefault="00973C5D" w:rsidP="0097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C5D" w:rsidRDefault="00003340" w:rsidP="0097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Confidential </w:t>
      </w:r>
      <w:r w:rsidR="00973C5D">
        <w:rPr>
          <w:rFonts w:ascii="Times New Roman" w:hAnsi="Times New Roman" w:cs="Times New Roman"/>
          <w:sz w:val="24"/>
          <w:szCs w:val="24"/>
        </w:rPr>
        <w:t>Exhibit B</w:t>
      </w:r>
    </w:p>
    <w:p w:rsidR="00973C5D" w:rsidRDefault="00973C5D" w:rsidP="0097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and c</w:t>
      </w:r>
      <w:r w:rsidRPr="00043462">
        <w:rPr>
          <w:rFonts w:ascii="Times New Roman" w:hAnsi="Times New Roman" w:cs="Times New Roman"/>
          <w:sz w:val="24"/>
          <w:szCs w:val="24"/>
        </w:rPr>
        <w:t xml:space="preserve">ost estimate for </w:t>
      </w:r>
      <w:r w:rsidR="00003340">
        <w:rPr>
          <w:rFonts w:ascii="Times New Roman" w:hAnsi="Times New Roman" w:cs="Times New Roman"/>
          <w:sz w:val="24"/>
          <w:szCs w:val="24"/>
        </w:rPr>
        <w:t xml:space="preserve">the </w:t>
      </w:r>
      <w:r w:rsidRPr="00043462">
        <w:rPr>
          <w:rFonts w:ascii="Times New Roman" w:hAnsi="Times New Roman" w:cs="Times New Roman"/>
          <w:sz w:val="24"/>
          <w:szCs w:val="24"/>
        </w:rPr>
        <w:t>DMM Program (under separate cover)</w:t>
      </w:r>
    </w:p>
    <w:p w:rsidR="00973C5D" w:rsidRDefault="00973C5D" w:rsidP="0097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3C5D" w:rsidSect="00E12802">
      <w:head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E68" w:rsidRDefault="00C51E68" w:rsidP="0008423C">
      <w:pPr>
        <w:spacing w:after="0" w:line="240" w:lineRule="auto"/>
      </w:pPr>
      <w:r>
        <w:separator/>
      </w:r>
    </w:p>
  </w:endnote>
  <w:endnote w:type="continuationSeparator" w:id="0">
    <w:p w:rsidR="00C51E68" w:rsidRDefault="00C51E68" w:rsidP="0008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E68" w:rsidRDefault="00C51E68" w:rsidP="0008423C">
      <w:pPr>
        <w:spacing w:after="0" w:line="240" w:lineRule="auto"/>
      </w:pPr>
      <w:r>
        <w:separator/>
      </w:r>
    </w:p>
  </w:footnote>
  <w:footnote w:type="continuationSeparator" w:id="0">
    <w:p w:rsidR="00C51E68" w:rsidRDefault="00C51E68" w:rsidP="0008423C">
      <w:pPr>
        <w:spacing w:after="0" w:line="240" w:lineRule="auto"/>
      </w:pPr>
      <w:r>
        <w:continuationSeparator/>
      </w:r>
    </w:p>
  </w:footnote>
  <w:footnote w:id="1">
    <w:p w:rsidR="00973C5D" w:rsidRDefault="00973C5D" w:rsidP="00973C5D">
      <w:pPr>
        <w:pStyle w:val="Default"/>
        <w:rPr>
          <w:sz w:val="23"/>
          <w:szCs w:val="23"/>
        </w:rPr>
      </w:pPr>
      <w:r>
        <w:rPr>
          <w:rStyle w:val="FootnoteReference"/>
        </w:rPr>
        <w:footnoteRef/>
      </w:r>
      <w:r>
        <w:t xml:space="preserve"> </w:t>
      </w:r>
      <w:r w:rsidRPr="00951B7A">
        <w:rPr>
          <w:sz w:val="20"/>
          <w:szCs w:val="20"/>
        </w:rPr>
        <w:t xml:space="preserve">See </w:t>
      </w:r>
      <w:hyperlink r:id="rId1" w:history="1">
        <w:r w:rsidRPr="00B81ED8">
          <w:rPr>
            <w:rStyle w:val="Hyperlink"/>
            <w:sz w:val="20"/>
            <w:szCs w:val="20"/>
          </w:rPr>
          <w:t>NFX Rulebook Appendix A – Listed Contracts</w:t>
        </w:r>
      </w:hyperlink>
      <w:r>
        <w:rPr>
          <w:sz w:val="20"/>
          <w:szCs w:val="20"/>
        </w:rPr>
        <w:t xml:space="preserve"> </w:t>
      </w:r>
    </w:p>
    <w:p w:rsidR="00973C5D" w:rsidRDefault="00973C5D" w:rsidP="00973C5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02" w:rsidRPr="00B67098" w:rsidRDefault="00E12802" w:rsidP="00E12802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B53FAF" w:rsidRDefault="00B53FAF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"MMMM d,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450E80">
      <w:rPr>
        <w:rFonts w:ascii="Times New Roman" w:hAnsi="Times New Roman" w:cs="Times New Roman"/>
        <w:noProof/>
        <w:sz w:val="20"/>
        <w:szCs w:val="20"/>
      </w:rPr>
      <w:t>April 12, 2019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82421C" w:rsidRDefault="00E12802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SR-NFX-201</w:t>
    </w:r>
    <w:r w:rsidR="000B470C">
      <w:rPr>
        <w:rFonts w:ascii="Times New Roman" w:hAnsi="Times New Roman" w:cs="Times New Roman"/>
        <w:sz w:val="20"/>
        <w:szCs w:val="20"/>
      </w:rPr>
      <w:t>9</w:t>
    </w:r>
    <w:r w:rsidRPr="00C54BB6">
      <w:rPr>
        <w:rFonts w:ascii="Times New Roman" w:hAnsi="Times New Roman" w:cs="Times New Roman"/>
        <w:sz w:val="20"/>
        <w:szCs w:val="20"/>
      </w:rPr>
      <w:t>-</w:t>
    </w:r>
    <w:r w:rsidR="00041823">
      <w:rPr>
        <w:rFonts w:ascii="Times New Roman" w:hAnsi="Times New Roman" w:cs="Times New Roman"/>
        <w:sz w:val="20"/>
        <w:szCs w:val="20"/>
      </w:rPr>
      <w:t>1</w:t>
    </w:r>
    <w:r w:rsidR="00003340">
      <w:rPr>
        <w:rFonts w:ascii="Times New Roman" w:hAnsi="Times New Roman" w:cs="Times New Roman"/>
        <w:sz w:val="20"/>
        <w:szCs w:val="20"/>
      </w:rPr>
      <w:t>5</w:t>
    </w:r>
  </w:p>
  <w:p w:rsidR="00E12802" w:rsidRPr="00B67098" w:rsidRDefault="00E12802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0B470C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08423C" w:rsidRDefault="0008423C" w:rsidP="00FB3245">
    <w:pPr>
      <w:spacing w:before="120" w:after="0"/>
      <w:ind w:left="65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02" w:rsidRDefault="00E12802" w:rsidP="00E12802">
    <w:pPr>
      <w:pStyle w:val="Header"/>
      <w:ind w:firstLine="6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D0048"/>
    <w:multiLevelType w:val="hybridMultilevel"/>
    <w:tmpl w:val="20A2717A"/>
    <w:lvl w:ilvl="0" w:tplc="7CEE56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18"/>
    <w:rsid w:val="00003340"/>
    <w:rsid w:val="00010CB6"/>
    <w:rsid w:val="00041823"/>
    <w:rsid w:val="000438BD"/>
    <w:rsid w:val="0008423C"/>
    <w:rsid w:val="000B470C"/>
    <w:rsid w:val="000B6A78"/>
    <w:rsid w:val="000E26AE"/>
    <w:rsid w:val="000E415C"/>
    <w:rsid w:val="001131C8"/>
    <w:rsid w:val="0012529D"/>
    <w:rsid w:val="00154FD5"/>
    <w:rsid w:val="00204EC5"/>
    <w:rsid w:val="002303EE"/>
    <w:rsid w:val="00231013"/>
    <w:rsid w:val="0024121C"/>
    <w:rsid w:val="00253701"/>
    <w:rsid w:val="002C0A34"/>
    <w:rsid w:val="002C3EAF"/>
    <w:rsid w:val="002C4B2D"/>
    <w:rsid w:val="00317C2C"/>
    <w:rsid w:val="00360B0D"/>
    <w:rsid w:val="003775E4"/>
    <w:rsid w:val="003D0C6E"/>
    <w:rsid w:val="003D40B8"/>
    <w:rsid w:val="004008C0"/>
    <w:rsid w:val="00450E80"/>
    <w:rsid w:val="00451B6C"/>
    <w:rsid w:val="004834C5"/>
    <w:rsid w:val="004965FA"/>
    <w:rsid w:val="004A53F9"/>
    <w:rsid w:val="004B0524"/>
    <w:rsid w:val="004B2FBF"/>
    <w:rsid w:val="004D7E5D"/>
    <w:rsid w:val="004F5571"/>
    <w:rsid w:val="00535DCC"/>
    <w:rsid w:val="00543CA2"/>
    <w:rsid w:val="00594AFF"/>
    <w:rsid w:val="005A08AE"/>
    <w:rsid w:val="005E3020"/>
    <w:rsid w:val="005F3337"/>
    <w:rsid w:val="00682A97"/>
    <w:rsid w:val="006B3A2F"/>
    <w:rsid w:val="006E7A2A"/>
    <w:rsid w:val="007076E9"/>
    <w:rsid w:val="00793CA3"/>
    <w:rsid w:val="007958C5"/>
    <w:rsid w:val="0079668F"/>
    <w:rsid w:val="007C7601"/>
    <w:rsid w:val="00821537"/>
    <w:rsid w:val="0082421C"/>
    <w:rsid w:val="008321A8"/>
    <w:rsid w:val="0083533B"/>
    <w:rsid w:val="00846BAF"/>
    <w:rsid w:val="00882CAA"/>
    <w:rsid w:val="00893E15"/>
    <w:rsid w:val="008B041F"/>
    <w:rsid w:val="008C3F5C"/>
    <w:rsid w:val="0096726E"/>
    <w:rsid w:val="00973C5D"/>
    <w:rsid w:val="00977C73"/>
    <w:rsid w:val="009C4CF7"/>
    <w:rsid w:val="009D0582"/>
    <w:rsid w:val="00A5669E"/>
    <w:rsid w:val="00AA4BCF"/>
    <w:rsid w:val="00AD7CB9"/>
    <w:rsid w:val="00AE3859"/>
    <w:rsid w:val="00B054DD"/>
    <w:rsid w:val="00B53FAF"/>
    <w:rsid w:val="00B6532A"/>
    <w:rsid w:val="00B86464"/>
    <w:rsid w:val="00BF3AF0"/>
    <w:rsid w:val="00C21CE4"/>
    <w:rsid w:val="00C4068B"/>
    <w:rsid w:val="00C51E68"/>
    <w:rsid w:val="00CA52C3"/>
    <w:rsid w:val="00CA6E45"/>
    <w:rsid w:val="00CB080F"/>
    <w:rsid w:val="00CB53DA"/>
    <w:rsid w:val="00D0050D"/>
    <w:rsid w:val="00D00E6D"/>
    <w:rsid w:val="00D02178"/>
    <w:rsid w:val="00D327C6"/>
    <w:rsid w:val="00D601FA"/>
    <w:rsid w:val="00D60246"/>
    <w:rsid w:val="00D6561E"/>
    <w:rsid w:val="00D65FDE"/>
    <w:rsid w:val="00D70718"/>
    <w:rsid w:val="00D82177"/>
    <w:rsid w:val="00D84895"/>
    <w:rsid w:val="00E1206A"/>
    <w:rsid w:val="00E12802"/>
    <w:rsid w:val="00E34482"/>
    <w:rsid w:val="00E74C83"/>
    <w:rsid w:val="00EC432B"/>
    <w:rsid w:val="00F02F13"/>
    <w:rsid w:val="00F20122"/>
    <w:rsid w:val="00F452FD"/>
    <w:rsid w:val="00F60485"/>
    <w:rsid w:val="00F82252"/>
    <w:rsid w:val="00F86B2E"/>
    <w:rsid w:val="00F93853"/>
    <w:rsid w:val="00F95CE2"/>
    <w:rsid w:val="00FB3245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B87398-7BF6-4E4C-8A9C-2A3B7E4D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7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0718"/>
    <w:rPr>
      <w:color w:val="808080"/>
      <w:spacing w:val="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71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8423C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rsid w:val="0008423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08423C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rsid w:val="00084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423C"/>
    <w:rPr>
      <w:sz w:val="20"/>
      <w:szCs w:val="20"/>
    </w:rPr>
  </w:style>
  <w:style w:type="character" w:styleId="FootnoteReference">
    <w:name w:val="footnote reference"/>
    <w:basedOn w:val="DefaultParagraphFont"/>
    <w:rsid w:val="0008423C"/>
    <w:rPr>
      <w:vertAlign w:val="superscript"/>
    </w:rPr>
  </w:style>
  <w:style w:type="paragraph" w:customStyle="1" w:styleId="Default">
    <w:name w:val="Default"/>
    <w:rsid w:val="000842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3C"/>
  </w:style>
  <w:style w:type="paragraph" w:styleId="Footer">
    <w:name w:val="footer"/>
    <w:basedOn w:val="Normal"/>
    <w:link w:val="Foot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3C"/>
  </w:style>
  <w:style w:type="paragraph" w:customStyle="1" w:styleId="LetterheadAddress">
    <w:name w:val="Letterhead Address"/>
    <w:basedOn w:val="Normal"/>
    <w:qFormat/>
    <w:rsid w:val="0008423C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usiness.nasdaq.com/nasdaq-futures/nfx-mark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usiness.nasdaq.com/nasdaq-futures/nfx-marke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cid:48A78BF0-F405-40C9-8F94-49DE09D2EBB8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asdaqphlx.cchwallstreet.com/NASDAQPHLXTools/PlatformViewer.asp?selectednode=chp_1_1_1_9&amp;manual=%2Fnasdaqomxphlx%2Fnfx%2Fphlx-brdtrade-rules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58f2296d-3fed-4410-9388-11b5f3076dfb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2019-04-12T19:13:20+00:00</Document_x0020_Date>
    <Document_x0020_No xmlns="4b47aac5-4c46-444f-8595-ce09b406fc61">47761</Document_x0020_N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742AE1E5-549E-435C-A1FE-DEDA0A4180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31601A-C688-4035-900B-AB2EC1E67314}"/>
</file>

<file path=customXml/itemProps3.xml><?xml version="1.0" encoding="utf-8"?>
<ds:datastoreItem xmlns:ds="http://schemas.openxmlformats.org/officeDocument/2006/customXml" ds:itemID="{1ECBB18B-C3D8-488D-8064-5B7F71B95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5B4712-EC47-48F4-80E1-64E33C02195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6068349-0DD5-48E3-882F-FD9BB0BA80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subject/>
  <dc:creator>Aravind Menon</dc:creator>
  <cp:keywords/>
  <dc:description/>
  <cp:lastModifiedBy>Steve Matthews</cp:lastModifiedBy>
  <cp:revision>4</cp:revision>
  <cp:lastPrinted>2017-11-14T19:26:00Z</cp:lastPrinted>
  <dcterms:created xsi:type="dcterms:W3CDTF">2019-04-12T17:57:00Z</dcterms:created>
  <dcterms:modified xsi:type="dcterms:W3CDTF">2019-04-12T18:28:00Z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\\Cftc.gov\dfsbts\PRD\BizTalk Locations\Portal\Temp\00c0bf50-5489-41e8-ae40-ab065079841d\SR-NFX-2019-15 Rule Certification.docx</vt:lpwstr>
  </property>
  <property fmtid="{D5CDD505-2E9C-101B-9397-08002B2CF9AE}" pid="4" name="Order">
    <vt:r8>152100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