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C42A1F"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April </w:t>
      </w:r>
      <w:r w:rsidR="00210AE7">
        <w:rPr>
          <w:rFonts w:ascii="Times New Roman" w:eastAsia="Calibri" w:hAnsi="Times New Roman" w:cs="Times New Roman"/>
          <w:sz w:val="24"/>
          <w:szCs w:val="24"/>
        </w:rPr>
        <w:t>2</w:t>
      </w:r>
      <w:r w:rsidR="0040735E">
        <w:rPr>
          <w:rFonts w:ascii="Times New Roman" w:eastAsia="Calibri" w:hAnsi="Times New Roman" w:cs="Times New Roman"/>
          <w:sz w:val="24"/>
          <w:szCs w:val="24"/>
        </w:rPr>
        <w:t>8</w:t>
      </w:r>
      <w:r w:rsidR="005101CA">
        <w:rPr>
          <w:rFonts w:ascii="Times New Roman" w:eastAsia="Calibri" w:hAnsi="Times New Roman" w:cs="Times New Roman"/>
          <w:sz w:val="24"/>
          <w:szCs w:val="24"/>
        </w:rPr>
        <w:t>, 201</w:t>
      </w:r>
      <w:r w:rsidR="0040735E">
        <w:rPr>
          <w:rFonts w:ascii="Times New Roman" w:eastAsia="Calibri" w:hAnsi="Times New Roman" w:cs="Times New Roman"/>
          <w:sz w:val="24"/>
          <w:szCs w:val="24"/>
        </w:rPr>
        <w:t>7</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for a</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4E0D16" w:rsidRPr="00FE0EA8">
        <w:rPr>
          <w:rFonts w:ascii="Times New Roman" w:eastAsia="Calibri" w:hAnsi="Times New Roman" w:cs="Times New Roman"/>
          <w:b/>
          <w:sz w:val="24"/>
          <w:szCs w:val="24"/>
        </w:rPr>
        <w:t>Market Maker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40735E">
        <w:rPr>
          <w:rFonts w:ascii="Times New Roman" w:eastAsia="Calibri" w:hAnsi="Times New Roman" w:cs="Times New Roman"/>
          <w:b/>
          <w:sz w:val="24"/>
          <w:szCs w:val="24"/>
          <w:u w:val="single"/>
        </w:rPr>
        <w:t>7</w:t>
      </w:r>
      <w:r w:rsidRPr="00352533">
        <w:rPr>
          <w:rFonts w:ascii="Times New Roman" w:eastAsia="Calibri" w:hAnsi="Times New Roman" w:cs="Times New Roman"/>
          <w:b/>
          <w:sz w:val="24"/>
          <w:szCs w:val="24"/>
          <w:u w:val="single"/>
        </w:rPr>
        <w:t>-</w:t>
      </w:r>
      <w:r w:rsidR="004A673F">
        <w:rPr>
          <w:rFonts w:ascii="Times New Roman" w:eastAsia="Calibri" w:hAnsi="Times New Roman" w:cs="Times New Roman"/>
          <w:b/>
          <w:sz w:val="24"/>
          <w:szCs w:val="24"/>
          <w:u w:val="single"/>
        </w:rPr>
        <w:t>16</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4E0D16" w:rsidRDefault="00B75523" w:rsidP="004E0D1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mits this self-certification to </w:t>
      </w:r>
      <w:r w:rsidR="00210AE7">
        <w:rPr>
          <w:rFonts w:ascii="Times New Roman" w:eastAsia="Calibri" w:hAnsi="Times New Roman" w:cs="Times New Roman"/>
          <w:sz w:val="24"/>
          <w:szCs w:val="24"/>
        </w:rPr>
        <w:t>recertify the Trading Incentive Program (“Program”) for certain energy contracts listed on the Exchange</w:t>
      </w:r>
      <w:r w:rsidR="004E0D16">
        <w:rPr>
          <w:rFonts w:ascii="Times New Roman" w:eastAsia="Calibri" w:hAnsi="Times New Roman" w:cs="Times New Roman"/>
          <w:sz w:val="24"/>
          <w:szCs w:val="24"/>
        </w:rPr>
        <w:t>.</w:t>
      </w:r>
      <w:r w:rsidR="004E0D16">
        <w:rPr>
          <w:rStyle w:val="FootnoteReference"/>
          <w:rFonts w:ascii="Times New Roman" w:eastAsia="Calibri" w:hAnsi="Times New Roman" w:cs="Times New Roman"/>
          <w:sz w:val="24"/>
          <w:szCs w:val="24"/>
        </w:rPr>
        <w:footnoteReference w:id="1"/>
      </w:r>
      <w:r w:rsidR="004E0D16" w:rsidRPr="00021A62">
        <w:rPr>
          <w:rFonts w:ascii="Times New Roman" w:eastAsia="Calibri" w:hAnsi="Times New Roman" w:cs="Times New Roman"/>
          <w:sz w:val="24"/>
          <w:szCs w:val="24"/>
        </w:rPr>
        <w:t xml:space="preserve">  </w:t>
      </w:r>
      <w:r w:rsidR="00744134" w:rsidRPr="007B1144">
        <w:rPr>
          <w:rFonts w:ascii="Times New Roman" w:eastAsia="Calibri" w:hAnsi="Times New Roman" w:cs="Times New Roman"/>
          <w:sz w:val="24"/>
          <w:szCs w:val="24"/>
        </w:rPr>
        <w:t>Th</w:t>
      </w:r>
      <w:r w:rsidR="00744134">
        <w:rPr>
          <w:rFonts w:ascii="Times New Roman" w:eastAsia="Calibri" w:hAnsi="Times New Roman" w:cs="Times New Roman"/>
          <w:sz w:val="24"/>
          <w:szCs w:val="24"/>
        </w:rPr>
        <w:t>is self-certification does not propose any changes or</w:t>
      </w:r>
      <w:r w:rsidR="00744134" w:rsidRPr="007B1144">
        <w:rPr>
          <w:rFonts w:ascii="Times New Roman" w:eastAsia="Calibri" w:hAnsi="Times New Roman" w:cs="Times New Roman"/>
          <w:sz w:val="24"/>
          <w:szCs w:val="24"/>
        </w:rPr>
        <w:t xml:space="preserve"> amendments </w:t>
      </w:r>
      <w:r w:rsidR="00744134" w:rsidRPr="007B1144">
        <w:rPr>
          <w:rFonts w:ascii="Times New Roman" w:eastAsia="Calibri" w:hAnsi="Times New Roman" w:cs="Times New Roman"/>
          <w:sz w:val="24"/>
          <w:szCs w:val="24"/>
        </w:rPr>
        <w:lastRenderedPageBreak/>
        <w:t>to the current Program</w:t>
      </w:r>
      <w:r w:rsidR="00744134">
        <w:rPr>
          <w:rFonts w:ascii="Times New Roman" w:eastAsia="Calibri" w:hAnsi="Times New Roman" w:cs="Times New Roman"/>
          <w:sz w:val="24"/>
          <w:szCs w:val="24"/>
        </w:rPr>
        <w:t xml:space="preserve">; consequently the Confidential Appendix </w:t>
      </w:r>
      <w:r w:rsidR="00D86679">
        <w:rPr>
          <w:rFonts w:ascii="Times New Roman" w:eastAsia="Calibri" w:hAnsi="Times New Roman" w:cs="Times New Roman"/>
          <w:sz w:val="24"/>
          <w:szCs w:val="24"/>
        </w:rPr>
        <w:t>I</w:t>
      </w:r>
      <w:r w:rsidR="00744134">
        <w:rPr>
          <w:rFonts w:ascii="Times New Roman" w:eastAsia="Calibri" w:hAnsi="Times New Roman" w:cs="Times New Roman"/>
          <w:sz w:val="24"/>
          <w:szCs w:val="24"/>
        </w:rPr>
        <w:t xml:space="preserve"> previously submitted is still accurate and complete.</w:t>
      </w:r>
      <w:r w:rsidR="00744134">
        <w:rPr>
          <w:rStyle w:val="FootnoteReference"/>
          <w:rFonts w:ascii="Times New Roman" w:eastAsia="Calibri" w:hAnsi="Times New Roman" w:cs="Times New Roman"/>
          <w:sz w:val="24"/>
          <w:szCs w:val="24"/>
        </w:rPr>
        <w:footnoteReference w:id="2"/>
      </w:r>
      <w:r w:rsidR="00744134">
        <w:rPr>
          <w:rFonts w:ascii="Times New Roman" w:eastAsia="Calibri" w:hAnsi="Times New Roman" w:cs="Times New Roman"/>
          <w:sz w:val="24"/>
          <w:szCs w:val="24"/>
        </w:rPr>
        <w:t xml:space="preserve">  </w:t>
      </w:r>
      <w:r w:rsidR="00210AE7">
        <w:rPr>
          <w:rFonts w:ascii="Times New Roman" w:eastAsia="Calibri" w:hAnsi="Times New Roman" w:cs="Times New Roman"/>
          <w:sz w:val="24"/>
          <w:szCs w:val="24"/>
        </w:rPr>
        <w:t>The Exchange agrees to recertify this Program within one year of this certification</w:t>
      </w:r>
      <w:r w:rsidR="004E0D16" w:rsidRPr="00D61EDD">
        <w:rPr>
          <w:rFonts w:ascii="Times New Roman" w:eastAsia="Calibri" w:hAnsi="Times New Roman" w:cs="Times New Roman"/>
          <w:sz w:val="24"/>
          <w:szCs w:val="24"/>
        </w:rPr>
        <w:t>.</w:t>
      </w:r>
      <w:r w:rsidR="004E0D16">
        <w:rPr>
          <w:rFonts w:ascii="Times New Roman" w:eastAsia="Calibri" w:hAnsi="Times New Roman" w:cs="Times New Roman"/>
          <w:sz w:val="24"/>
          <w:szCs w:val="24"/>
        </w:rPr>
        <w:t xml:space="preserve">  </w:t>
      </w:r>
    </w:p>
    <w:p w:rsidR="00210AE7" w:rsidRDefault="00210AE7" w:rsidP="00210AE7">
      <w:pPr>
        <w:pStyle w:val="NoSpacing"/>
        <w:ind w:firstLine="1310"/>
        <w:rPr>
          <w:rFonts w:ascii="Times New Roman" w:eastAsia="Calibri"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0779A4">
        <w:rPr>
          <w:rFonts w:ascii="Times New Roman" w:eastAsia="Times New Roman" w:hAnsi="Times New Roman" w:cs="Times New Roman"/>
          <w:sz w:val="24"/>
          <w:szCs w:val="24"/>
        </w:rPr>
        <w:t>he Exchange implement</w:t>
      </w:r>
      <w:r>
        <w:rPr>
          <w:rFonts w:ascii="Times New Roman" w:eastAsia="Times New Roman" w:hAnsi="Times New Roman" w:cs="Times New Roman"/>
          <w:sz w:val="24"/>
          <w:szCs w:val="24"/>
        </w:rPr>
        <w:t>ed</w:t>
      </w:r>
      <w:r w:rsidRPr="000779A4">
        <w:rPr>
          <w:rFonts w:ascii="Times New Roman" w:eastAsia="Times New Roman" w:hAnsi="Times New Roman" w:cs="Times New Roman"/>
          <w:sz w:val="24"/>
          <w:szCs w:val="24"/>
        </w:rPr>
        <w:t xml:space="preserve"> a Program to incent Futures Participants, as well as Authorized Customers, to enhance liquidity in </w:t>
      </w:r>
      <w:r>
        <w:rPr>
          <w:rFonts w:ascii="Times New Roman" w:eastAsia="Times New Roman" w:hAnsi="Times New Roman" w:cs="Times New Roman"/>
          <w:sz w:val="24"/>
          <w:szCs w:val="24"/>
        </w:rPr>
        <w:t>certain energy contracts</w:t>
      </w:r>
      <w:r w:rsidRPr="000779A4">
        <w:rPr>
          <w:rFonts w:ascii="Times New Roman" w:eastAsia="Times New Roman" w:hAnsi="Times New Roman" w:cs="Times New Roman"/>
          <w:sz w:val="24"/>
          <w:szCs w:val="24"/>
        </w:rPr>
        <w:t xml:space="preserve"> listed on the Exchange.  </w:t>
      </w:r>
      <w:r>
        <w:rPr>
          <w:rFonts w:ascii="Times New Roman" w:eastAsia="Times New Roman" w:hAnsi="Times New Roman" w:cs="Times New Roman"/>
          <w:sz w:val="24"/>
          <w:szCs w:val="24"/>
        </w:rPr>
        <w:t>The Exchange believes that t</w:t>
      </w:r>
      <w:r w:rsidRPr="000779A4">
        <w:rPr>
          <w:rFonts w:ascii="Times New Roman" w:eastAsia="Times New Roman" w:hAnsi="Times New Roman" w:cs="Times New Roman"/>
          <w:sz w:val="24"/>
          <w:szCs w:val="24"/>
        </w:rPr>
        <w:t>he resulting increase in liquidity generated by the Program benefits all participants in the market.  The Exchange believes that the Program</w:t>
      </w:r>
      <w:r>
        <w:rPr>
          <w:rFonts w:ascii="Times New Roman" w:eastAsia="Times New Roman" w:hAnsi="Times New Roman" w:cs="Times New Roman"/>
          <w:sz w:val="24"/>
          <w:szCs w:val="24"/>
        </w:rPr>
        <w:t xml:space="preserve">, and the amendments thereto, </w:t>
      </w:r>
      <w:r w:rsidR="00744134">
        <w:rPr>
          <w:rFonts w:ascii="Times New Roman" w:eastAsia="Times New Roman" w:hAnsi="Times New Roman" w:cs="Times New Roman"/>
          <w:sz w:val="24"/>
          <w:szCs w:val="24"/>
        </w:rPr>
        <w:t>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18 (Recordkeeping)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that participate in the Program are subject to NFX Rules.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Program’s products to prevent manipulative trading and market abuse.  Additionally, the Exchange has implemented systems to track Program participants’ obligations under the Program to ensure compliance with earned incentives.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w:t>
      </w:r>
      <w:r w:rsidRPr="000779A4">
        <w:rPr>
          <w:rFonts w:ascii="Times New Roman" w:eastAsia="Times New Roman" w:hAnsi="Times New Roman" w:cs="Times New Roman"/>
          <w:sz w:val="24"/>
          <w:szCs w:val="24"/>
        </w:rPr>
        <w:lastRenderedPageBreak/>
        <w:t xml:space="preserve">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Exchange’s Rules at Chapter III, Section 19, entitled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autoSpaceDE w:val="0"/>
        <w:autoSpaceDN w:val="0"/>
        <w:adjustRightInd w:val="0"/>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provide that all matched trades generated by the Trading System, after the application of pre-trade risk parameters, will be automatically submitted to the Clearing Corporation as described in Chapter V, Section 2.  Chapter II, Section 1 of the Exchange’s Rules requires that all Futures Participants must be members of the Clearing Corporation or maintain a clearing account with a Clearing Futures Participant.  Futures commission merchants must maintain an account directly with the Clearing Corporation.  Clearing Futures Participants are required to guarantee all trades transacted on NFX on behalf of itself, its Customers and Non-Clearing Futures Participants.  Clearing Futures Participants must guarantee and assume financial responsibility for all Exchange Contracts of each Futures Participant guaranteed by it, and will be liable for all trades made by that Futures Participant.  The Exchange requires a similar guarantee for Authorized Customers submitting trades into the Trading System via Direct Access pursuant to Chapter V, Section 4.  The Exchange’s Rules governing minimum financial requirements and protection of Customer funds are set forth in Chapter III.  Pursuant to Chapter IV, Section 7, the Exchange requires that Authorized Risk Officers of the Clearing Futures Participant initially set and adjust pre-trade risk parameters for Futures Participants, Authorized Traders and Authorized Customers.  </w:t>
      </w:r>
    </w:p>
    <w:p w:rsidR="00210AE7" w:rsidRPr="000779A4" w:rsidRDefault="00210AE7" w:rsidP="00210AE7">
      <w:pPr>
        <w:autoSpaceDE w:val="0"/>
        <w:autoSpaceDN w:val="0"/>
        <w:adjustRightInd w:val="0"/>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lastRenderedPageBreak/>
        <w:t xml:space="preserve">The Program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record retention policies which comply with the Act.  Futures Participants, Authorized Traders and Authorized Customers are required to maintain audit trail information as specified in Exchange Rules at Chapter III, Section 1, Chapter V, Section 1(f)(v) and Chapter V, Section 4(j).</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Pr>
          <w:rFonts w:ascii="Times New Roman" w:eastAsia="Times New Roman" w:hAnsi="Times New Roman" w:cs="Times New Roman"/>
          <w:sz w:val="24"/>
          <w:szCs w:val="24"/>
        </w:rPr>
        <w:t>energy</w:t>
      </w:r>
      <w:r w:rsidRPr="000779A4">
        <w:rPr>
          <w:rFonts w:ascii="Times New Roman" w:eastAsia="Times New Roman" w:hAnsi="Times New Roman" w:cs="Times New Roman"/>
          <w:sz w:val="24"/>
          <w:szCs w:val="24"/>
        </w:rPr>
        <w:t xml:space="preserve"> contracts, thus enhancing competition.  Provisions for termination of the incentives are triggered upon achievement of a target, indicating a level of acceptance of the contracts by the market.  The Exchange has no plans to extend the program beyond what is needed to achieve sustainable volumes. Additionally, the Exchange will continue to operate an electronic trading facility that provides Futures Participants with the ability to execute Orders within the Exchange’s Order Book and Combination Order Book from the interaction of multiple bids and offers within a predetermined automated trade matching and execution algorithm.  Orders submitted into the Trading System will continue to be matched in either Price-Time priority or Size Pro-Rata priority order as specified by the Exchange in Chapter IV, Section 5.  The Exchange specifies the types of Orders that will be accepted by the Trading System in Chapter IV, Section 4.  Finally, the Exchange separately describes its Rules for executing transactions outside of the Order Book, such as Block Trades and exchange for related positions, in Chapter IV, Sections 1</w:t>
      </w:r>
      <w:r>
        <w:rPr>
          <w:rFonts w:ascii="Times New Roman" w:eastAsia="Times New Roman" w:hAnsi="Times New Roman" w:cs="Times New Roman"/>
          <w:sz w:val="24"/>
          <w:szCs w:val="24"/>
        </w:rPr>
        <w:t>1</w:t>
      </w:r>
      <w:r w:rsidRPr="000779A4">
        <w:rPr>
          <w:rFonts w:ascii="Times New Roman" w:eastAsia="Times New Roman" w:hAnsi="Times New Roman" w:cs="Times New Roman"/>
          <w:sz w:val="24"/>
          <w:szCs w:val="24"/>
        </w:rPr>
        <w:t xml:space="preserve"> and 1</w:t>
      </w:r>
      <w:r>
        <w:rPr>
          <w:rFonts w:ascii="Times New Roman" w:eastAsia="Times New Roman" w:hAnsi="Times New Roman" w:cs="Times New Roman"/>
          <w:sz w:val="24"/>
          <w:szCs w:val="24"/>
        </w:rPr>
        <w:t>2</w:t>
      </w:r>
      <w:r w:rsidRPr="000779A4">
        <w:rPr>
          <w:rFonts w:ascii="Times New Roman" w:eastAsia="Times New Roman" w:hAnsi="Times New Roman" w:cs="Times New Roman"/>
          <w:sz w:val="24"/>
          <w:szCs w:val="24"/>
        </w:rPr>
        <w:t xml:space="preserve"> respectively.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after="0" w:line="240" w:lineRule="auto"/>
        <w:ind w:firstLine="1310"/>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With respect to compliance with Core Principle 18, the Exchange’s recordkeeping program satisfies the relevant criteria set forth in §1.31 of the Commission Regulations.  The Exchange’s Regulatory Services Provider, NFA, generates records relating to the provision of services pursuant to an RSA.  Such records are maintained in accordance with the Act and Commission Regulations.</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Program does not result in an unreasonable restraint of trade, or the imposition of any material anticompetitive burden. If sufficient liquidity is achieved, the Program should enhance trade and competition by providing an alternative to the incumbent exchanges.  </w:t>
      </w:r>
    </w:p>
    <w:p w:rsidR="00210AE7" w:rsidRPr="00210AE7" w:rsidRDefault="00210AE7" w:rsidP="00D86679">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make</w:t>
      </w:r>
      <w:r>
        <w:rPr>
          <w:rFonts w:ascii="Times New Roman" w:eastAsia="Times New Roman" w:hAnsi="Times New Roman" w:cs="Times New Roman"/>
          <w:sz w:val="24"/>
          <w:szCs w:val="24"/>
        </w:rPr>
        <w:t>s</w:t>
      </w:r>
      <w:r w:rsidRPr="000779A4">
        <w:rPr>
          <w:rFonts w:ascii="Times New Roman" w:eastAsia="Times New Roman" w:hAnsi="Times New Roman" w:cs="Times New Roman"/>
          <w:sz w:val="24"/>
          <w:szCs w:val="24"/>
        </w:rPr>
        <w:t xml:space="preserve"> public daily information on settlement prices, volume, open interest, and opening and closing ranges for actively traded contracts.  Trading information is published on the Exchange’s website on the next business day prior to the opening</w:t>
      </w:r>
      <w:r w:rsidRPr="00210AE7">
        <w:rPr>
          <w:rFonts w:ascii="Times New Roman" w:eastAsia="Times New Roman" w:hAnsi="Times New Roman" w:cs="Times New Roman"/>
          <w:sz w:val="24"/>
          <w:szCs w:val="24"/>
        </w:rPr>
        <w:t>.</w:t>
      </w:r>
    </w:p>
    <w:p w:rsidR="002B56C0" w:rsidRPr="0013104F" w:rsidRDefault="002B56C0" w:rsidP="002B56C0">
      <w:pPr>
        <w:pStyle w:val="Default"/>
        <w:ind w:firstLine="1310"/>
        <w:rPr>
          <w:color w:val="auto"/>
          <w:szCs w:val="23"/>
        </w:rPr>
      </w:pPr>
    </w:p>
    <w:p w:rsidR="002B56C0" w:rsidRPr="0013104F" w:rsidRDefault="002B56C0" w:rsidP="002B56C0">
      <w:pPr>
        <w:pStyle w:val="Default"/>
        <w:ind w:firstLine="1310"/>
        <w:rPr>
          <w:color w:val="auto"/>
          <w:szCs w:val="23"/>
        </w:rPr>
      </w:pPr>
    </w:p>
    <w:p w:rsidR="002B56C0" w:rsidRPr="0013104F" w:rsidRDefault="002B56C0" w:rsidP="004F42A5">
      <w:pPr>
        <w:pStyle w:val="Default"/>
        <w:ind w:left="2620" w:firstLine="1310"/>
        <w:rPr>
          <w:b/>
          <w:bCs/>
          <w:color w:val="auto"/>
          <w:szCs w:val="23"/>
          <w:u w:val="single"/>
        </w:rPr>
      </w:pP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w:t>
      </w:r>
      <w:r w:rsidR="00210AE7">
        <w:rPr>
          <w:rFonts w:ascii="Times New Roman" w:hAnsi="Times New Roman"/>
          <w:sz w:val="24"/>
          <w:szCs w:val="23"/>
        </w:rPr>
        <w:t>Program</w:t>
      </w:r>
      <w:r w:rsidRPr="0013104F">
        <w:rPr>
          <w:rFonts w:ascii="Times New Roman" w:hAnsi="Times New Roman"/>
          <w:sz w:val="24"/>
          <w:szCs w:val="23"/>
        </w:rPr>
        <w:t xml:space="preserve"> set forth herein comply with 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2B56C0" w:rsidRPr="0013104F" w:rsidRDefault="002B56C0" w:rsidP="00314DE6">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lastRenderedPageBreak/>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sidR="008443E9">
        <w:rPr>
          <w:rFonts w:ascii="Times New Roman" w:hAnsi="Times New Roman" w:cs="Times New Roman"/>
          <w:spacing w:val="-6"/>
          <w:sz w:val="24"/>
          <w:szCs w:val="24"/>
        </w:rPr>
        <w:t>Aravind Menon</w:t>
      </w:r>
      <w:r w:rsidR="008443E9">
        <w:rPr>
          <w:rFonts w:ascii="Times New Roman" w:eastAsia="Times New Roman" w:hAnsi="Times New Roman" w:cs="Times New Roman"/>
          <w:sz w:val="24"/>
          <w:szCs w:val="24"/>
        </w:rPr>
        <w:t xml:space="preserve"> </w:t>
      </w:r>
      <w:r w:rsidR="000B5E2C" w:rsidRPr="00B14D27">
        <w:rPr>
          <w:rFonts w:ascii="Times New Roman" w:eastAsia="Times New Roman" w:hAnsi="Times New Roman" w:cs="Times New Roman"/>
          <w:sz w:val="24"/>
          <w:szCs w:val="24"/>
        </w:rPr>
        <w:t>at (301) 978-84</w:t>
      </w:r>
      <w:r w:rsidR="008443E9">
        <w:rPr>
          <w:rFonts w:ascii="Times New Roman" w:eastAsia="Times New Roman" w:hAnsi="Times New Roman" w:cs="Times New Roman"/>
          <w:sz w:val="24"/>
          <w:szCs w:val="24"/>
        </w:rPr>
        <w:t>16</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008443E9">
        <w:rPr>
          <w:rFonts w:ascii="Times New Roman" w:hAnsi="Times New Roman" w:cs="Times New Roman"/>
          <w:spacing w:val="-6"/>
          <w:sz w:val="24"/>
          <w:szCs w:val="24"/>
        </w:rPr>
        <w:t>aravind.menon</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sidR="008443E9">
        <w:rPr>
          <w:rFonts w:ascii="Times New Roman" w:hAnsi="Times New Roman" w:cs="Times New Roman"/>
          <w:sz w:val="24"/>
          <w:szCs w:val="24"/>
        </w:rPr>
        <w:t>SR-NFX-2017</w:t>
      </w:r>
      <w:r w:rsidRPr="002B3578">
        <w:rPr>
          <w:rFonts w:ascii="Times New Roman" w:hAnsi="Times New Roman" w:cs="Times New Roman"/>
          <w:sz w:val="24"/>
          <w:szCs w:val="24"/>
        </w:rPr>
        <w:t>-</w:t>
      </w:r>
      <w:r w:rsidR="008443E9">
        <w:rPr>
          <w:rFonts w:ascii="Times New Roman" w:hAnsi="Times New Roman" w:cs="Times New Roman"/>
          <w:sz w:val="24"/>
          <w:szCs w:val="24"/>
        </w:rPr>
        <w:t>16</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7A066FCD" wp14:editId="63FC015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Daniel R. Carrigan</w:t>
      </w:r>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F4E47"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3F" w:rsidRDefault="0075023F">
      <w:r>
        <w:separator/>
      </w:r>
    </w:p>
  </w:endnote>
  <w:endnote w:type="continuationSeparator" w:id="0">
    <w:p w:rsidR="0075023F" w:rsidRDefault="007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8BC40776-7390-466D-AB6F-FD4587696927}"/>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6CF0DE3-4E35-4E0A-B023-91A4B22609EF}"/>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3F" w:rsidRDefault="0075023F">
      <w:r>
        <w:separator/>
      </w:r>
    </w:p>
  </w:footnote>
  <w:footnote w:type="continuationSeparator" w:id="0">
    <w:p w:rsidR="0075023F" w:rsidRDefault="0075023F">
      <w:r>
        <w:continuationSeparator/>
      </w:r>
    </w:p>
  </w:footnote>
  <w:footnote w:id="1">
    <w:p w:rsidR="004E0D16" w:rsidRPr="009C04FC" w:rsidRDefault="004E0D16" w:rsidP="004E0D16">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r w:rsidR="00210AE7" w:rsidRPr="00FC6DF1">
        <w:rPr>
          <w:rFonts w:ascii="Times New Roman" w:hAnsi="Times New Roman" w:cs="Times New Roman"/>
          <w:sz w:val="24"/>
          <w:szCs w:val="24"/>
          <w:u w:val="single"/>
        </w:rPr>
        <w:t>S</w:t>
      </w:r>
      <w:r w:rsidR="00210AE7">
        <w:rPr>
          <w:rFonts w:ascii="Times New Roman" w:hAnsi="Times New Roman" w:cs="Times New Roman"/>
          <w:sz w:val="24"/>
          <w:szCs w:val="24"/>
          <w:u w:val="single"/>
        </w:rPr>
        <w:t>ee</w:t>
      </w:r>
      <w:r w:rsidR="00210AE7" w:rsidRPr="00FC6DF1">
        <w:rPr>
          <w:rFonts w:ascii="Times New Roman" w:hAnsi="Times New Roman" w:cs="Times New Roman"/>
          <w:sz w:val="24"/>
          <w:szCs w:val="24"/>
        </w:rPr>
        <w:t xml:space="preserve"> SR-NFX-2015-</w:t>
      </w:r>
      <w:r w:rsidR="00210AE7">
        <w:rPr>
          <w:rFonts w:ascii="Times New Roman" w:hAnsi="Times New Roman" w:cs="Times New Roman"/>
          <w:sz w:val="24"/>
          <w:szCs w:val="24"/>
        </w:rPr>
        <w:t>30, filed May 15, 2015, as amended by SR-NFX-2016</w:t>
      </w:r>
      <w:r w:rsidR="00744134">
        <w:rPr>
          <w:rFonts w:ascii="Times New Roman" w:hAnsi="Times New Roman" w:cs="Times New Roman"/>
          <w:sz w:val="24"/>
          <w:szCs w:val="24"/>
        </w:rPr>
        <w:t>-05, filed January 14, 2016</w:t>
      </w:r>
      <w:r w:rsidR="00843CD2">
        <w:rPr>
          <w:rFonts w:ascii="Times New Roman" w:hAnsi="Times New Roman" w:cs="Times New Roman"/>
          <w:sz w:val="24"/>
          <w:szCs w:val="24"/>
        </w:rPr>
        <w:t>, further amended by SR-NFX-2016-52 filed April 29, 2016</w:t>
      </w:r>
      <w:r w:rsidR="00744134">
        <w:rPr>
          <w:rFonts w:ascii="Times New Roman" w:hAnsi="Times New Roman" w:cs="Times New Roman"/>
          <w:sz w:val="24"/>
          <w:szCs w:val="24"/>
        </w:rPr>
        <w:t>.</w:t>
      </w:r>
      <w:r w:rsidR="00843CD2">
        <w:rPr>
          <w:rFonts w:ascii="Times New Roman" w:hAnsi="Times New Roman" w:cs="Times New Roman"/>
          <w:sz w:val="24"/>
          <w:szCs w:val="24"/>
        </w:rPr>
        <w:t xml:space="preserve">  </w:t>
      </w:r>
    </w:p>
  </w:footnote>
  <w:footnote w:id="2">
    <w:p w:rsidR="00744134" w:rsidRDefault="00744134">
      <w:pPr>
        <w:pStyle w:val="FootnoteText"/>
      </w:pPr>
      <w:r>
        <w:rPr>
          <w:rStyle w:val="FootnoteReference"/>
        </w:rPr>
        <w:footnoteRef/>
      </w:r>
      <w:r>
        <w:t xml:space="preserve"> </w:t>
      </w:r>
      <w:r w:rsidRPr="00FC6DF1">
        <w:rPr>
          <w:rFonts w:ascii="Times New Roman" w:hAnsi="Times New Roman" w:cs="Times New Roman"/>
          <w:sz w:val="24"/>
          <w:szCs w:val="24"/>
          <w:u w:val="single"/>
        </w:rPr>
        <w:t>S</w:t>
      </w:r>
      <w:r>
        <w:rPr>
          <w:rFonts w:ascii="Times New Roman" w:hAnsi="Times New Roman" w:cs="Times New Roman"/>
          <w:sz w:val="24"/>
          <w:szCs w:val="24"/>
          <w:u w:val="single"/>
        </w:rPr>
        <w:t>ee</w:t>
      </w:r>
      <w:r w:rsidRPr="00FC6DF1">
        <w:rPr>
          <w:rFonts w:ascii="Times New Roman" w:hAnsi="Times New Roman" w:cs="Times New Roman"/>
          <w:sz w:val="24"/>
          <w:szCs w:val="24"/>
        </w:rPr>
        <w:t xml:space="preserve"> </w:t>
      </w:r>
      <w:r>
        <w:rPr>
          <w:rFonts w:ascii="Times New Roman" w:hAnsi="Times New Roman" w:cs="Times New Roman"/>
          <w:sz w:val="24"/>
          <w:szCs w:val="24"/>
        </w:rPr>
        <w:t>SR-NFX-2016-05, filed January 14,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9388D"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28, 2017</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D9388D">
      <w:rPr>
        <w:rFonts w:ascii="Times New Roman" w:hAnsi="Times New Roman" w:cs="Times New Roman"/>
        <w:sz w:val="20"/>
        <w:szCs w:val="20"/>
      </w:rPr>
      <w:t>7</w:t>
    </w:r>
    <w:r w:rsidR="00371610">
      <w:rPr>
        <w:rFonts w:ascii="Times New Roman" w:hAnsi="Times New Roman" w:cs="Times New Roman"/>
        <w:sz w:val="20"/>
        <w:szCs w:val="20"/>
      </w:rPr>
      <w:t>-</w:t>
    </w:r>
    <w:r w:rsidR="00D9388D">
      <w:rPr>
        <w:rFonts w:ascii="Times New Roman" w:hAnsi="Times New Roman" w:cs="Times New Roman"/>
        <w:sz w:val="20"/>
        <w:szCs w:val="20"/>
      </w:rPr>
      <w:t>16</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42CAB">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Pr="002E383E">
      <w:rPr>
        <w:noProof/>
      </w:rPr>
      <w:drawing>
        <wp:anchor distT="0" distB="0" distL="114300" distR="114300" simplePos="0" relativeHeight="251662336" behindDoc="0" locked="1" layoutInCell="1" allowOverlap="1" wp14:anchorId="396AFEB2" wp14:editId="58B9CCE0">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1E20"/>
    <w:rsid w:val="00095F3F"/>
    <w:rsid w:val="000A0FF7"/>
    <w:rsid w:val="000A3874"/>
    <w:rsid w:val="000B0B22"/>
    <w:rsid w:val="000B0F2E"/>
    <w:rsid w:val="000B5E2C"/>
    <w:rsid w:val="000C579C"/>
    <w:rsid w:val="000D02B9"/>
    <w:rsid w:val="000D1939"/>
    <w:rsid w:val="000D4A76"/>
    <w:rsid w:val="000D6BF4"/>
    <w:rsid w:val="000E23FC"/>
    <w:rsid w:val="000F3BC3"/>
    <w:rsid w:val="001265C8"/>
    <w:rsid w:val="00135BE1"/>
    <w:rsid w:val="00153179"/>
    <w:rsid w:val="001746B9"/>
    <w:rsid w:val="0018088D"/>
    <w:rsid w:val="00197F73"/>
    <w:rsid w:val="001B6ADA"/>
    <w:rsid w:val="001C4306"/>
    <w:rsid w:val="001D4C1F"/>
    <w:rsid w:val="001E53F3"/>
    <w:rsid w:val="00210AE7"/>
    <w:rsid w:val="002230A7"/>
    <w:rsid w:val="00232FFF"/>
    <w:rsid w:val="00242C21"/>
    <w:rsid w:val="00243744"/>
    <w:rsid w:val="00252BCC"/>
    <w:rsid w:val="00261A57"/>
    <w:rsid w:val="0026668C"/>
    <w:rsid w:val="00273392"/>
    <w:rsid w:val="002A147E"/>
    <w:rsid w:val="002A70DC"/>
    <w:rsid w:val="002B0DB3"/>
    <w:rsid w:val="002B3578"/>
    <w:rsid w:val="002B56C0"/>
    <w:rsid w:val="002D1A0E"/>
    <w:rsid w:val="002E0658"/>
    <w:rsid w:val="00300E44"/>
    <w:rsid w:val="003017B3"/>
    <w:rsid w:val="00304F17"/>
    <w:rsid w:val="00310833"/>
    <w:rsid w:val="00314DE6"/>
    <w:rsid w:val="0032079E"/>
    <w:rsid w:val="0033684D"/>
    <w:rsid w:val="00337B63"/>
    <w:rsid w:val="00352533"/>
    <w:rsid w:val="003579D4"/>
    <w:rsid w:val="00363601"/>
    <w:rsid w:val="003658B4"/>
    <w:rsid w:val="00371610"/>
    <w:rsid w:val="00372973"/>
    <w:rsid w:val="003742C7"/>
    <w:rsid w:val="00385EB8"/>
    <w:rsid w:val="00394142"/>
    <w:rsid w:val="003A1E6B"/>
    <w:rsid w:val="003D071F"/>
    <w:rsid w:val="003D65F8"/>
    <w:rsid w:val="003D7D45"/>
    <w:rsid w:val="003E42E3"/>
    <w:rsid w:val="003F1332"/>
    <w:rsid w:val="003F5035"/>
    <w:rsid w:val="00400D58"/>
    <w:rsid w:val="0040735E"/>
    <w:rsid w:val="0041155D"/>
    <w:rsid w:val="004166F5"/>
    <w:rsid w:val="00420946"/>
    <w:rsid w:val="00425E24"/>
    <w:rsid w:val="004351A1"/>
    <w:rsid w:val="004416D1"/>
    <w:rsid w:val="004446AE"/>
    <w:rsid w:val="00444B42"/>
    <w:rsid w:val="004468C6"/>
    <w:rsid w:val="00451810"/>
    <w:rsid w:val="004520D0"/>
    <w:rsid w:val="004623F3"/>
    <w:rsid w:val="00471651"/>
    <w:rsid w:val="004A673F"/>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5375"/>
    <w:rsid w:val="005948D5"/>
    <w:rsid w:val="0059608D"/>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55A4"/>
    <w:rsid w:val="006C2BD3"/>
    <w:rsid w:val="006C7C6D"/>
    <w:rsid w:val="006D0516"/>
    <w:rsid w:val="006D7316"/>
    <w:rsid w:val="006E620B"/>
    <w:rsid w:val="006F78A0"/>
    <w:rsid w:val="00704A07"/>
    <w:rsid w:val="00723F8E"/>
    <w:rsid w:val="00744134"/>
    <w:rsid w:val="00746658"/>
    <w:rsid w:val="00746EFF"/>
    <w:rsid w:val="0075023F"/>
    <w:rsid w:val="007525F5"/>
    <w:rsid w:val="00752A6A"/>
    <w:rsid w:val="007667BD"/>
    <w:rsid w:val="007824A2"/>
    <w:rsid w:val="00792782"/>
    <w:rsid w:val="0079548F"/>
    <w:rsid w:val="00796FBD"/>
    <w:rsid w:val="007B39B4"/>
    <w:rsid w:val="007D48A6"/>
    <w:rsid w:val="007F6B89"/>
    <w:rsid w:val="00803051"/>
    <w:rsid w:val="008225AC"/>
    <w:rsid w:val="00822AF5"/>
    <w:rsid w:val="00823846"/>
    <w:rsid w:val="0083294B"/>
    <w:rsid w:val="00832D54"/>
    <w:rsid w:val="00834CB0"/>
    <w:rsid w:val="00840E13"/>
    <w:rsid w:val="00843CD2"/>
    <w:rsid w:val="008443E9"/>
    <w:rsid w:val="00845388"/>
    <w:rsid w:val="00847210"/>
    <w:rsid w:val="008504E3"/>
    <w:rsid w:val="008601E9"/>
    <w:rsid w:val="00862FB8"/>
    <w:rsid w:val="008A5035"/>
    <w:rsid w:val="008A6F33"/>
    <w:rsid w:val="008D0EA0"/>
    <w:rsid w:val="008D2006"/>
    <w:rsid w:val="008D3674"/>
    <w:rsid w:val="008D3A95"/>
    <w:rsid w:val="008D575B"/>
    <w:rsid w:val="008E113C"/>
    <w:rsid w:val="008E5622"/>
    <w:rsid w:val="008F2A00"/>
    <w:rsid w:val="008F34CB"/>
    <w:rsid w:val="008F39CF"/>
    <w:rsid w:val="008F696F"/>
    <w:rsid w:val="00901585"/>
    <w:rsid w:val="009159EA"/>
    <w:rsid w:val="009325A9"/>
    <w:rsid w:val="00940AE9"/>
    <w:rsid w:val="00944D95"/>
    <w:rsid w:val="00962C60"/>
    <w:rsid w:val="0096505D"/>
    <w:rsid w:val="00977F03"/>
    <w:rsid w:val="00993F41"/>
    <w:rsid w:val="009A2490"/>
    <w:rsid w:val="009D691D"/>
    <w:rsid w:val="009D7164"/>
    <w:rsid w:val="009F7A70"/>
    <w:rsid w:val="00A01B4B"/>
    <w:rsid w:val="00A03815"/>
    <w:rsid w:val="00A06C10"/>
    <w:rsid w:val="00A137D7"/>
    <w:rsid w:val="00A35B1F"/>
    <w:rsid w:val="00A3713A"/>
    <w:rsid w:val="00A42CAB"/>
    <w:rsid w:val="00A43066"/>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2D2F"/>
    <w:rsid w:val="00BF3818"/>
    <w:rsid w:val="00C03127"/>
    <w:rsid w:val="00C0680F"/>
    <w:rsid w:val="00C2091F"/>
    <w:rsid w:val="00C22DCB"/>
    <w:rsid w:val="00C32D24"/>
    <w:rsid w:val="00C42A1F"/>
    <w:rsid w:val="00C43D2B"/>
    <w:rsid w:val="00C628A0"/>
    <w:rsid w:val="00C654A6"/>
    <w:rsid w:val="00CA65E5"/>
    <w:rsid w:val="00CB1969"/>
    <w:rsid w:val="00CB6A80"/>
    <w:rsid w:val="00CD6D2F"/>
    <w:rsid w:val="00CE3693"/>
    <w:rsid w:val="00CE4500"/>
    <w:rsid w:val="00CF7C6B"/>
    <w:rsid w:val="00D05049"/>
    <w:rsid w:val="00D1196E"/>
    <w:rsid w:val="00D138C3"/>
    <w:rsid w:val="00D31404"/>
    <w:rsid w:val="00D33F34"/>
    <w:rsid w:val="00D44C87"/>
    <w:rsid w:val="00D527EA"/>
    <w:rsid w:val="00D61EDD"/>
    <w:rsid w:val="00D63C07"/>
    <w:rsid w:val="00D63C25"/>
    <w:rsid w:val="00D70163"/>
    <w:rsid w:val="00D86679"/>
    <w:rsid w:val="00D86D6F"/>
    <w:rsid w:val="00D9388D"/>
    <w:rsid w:val="00D97F5B"/>
    <w:rsid w:val="00DA6428"/>
    <w:rsid w:val="00DB1B21"/>
    <w:rsid w:val="00DC305C"/>
    <w:rsid w:val="00DD389D"/>
    <w:rsid w:val="00E00A30"/>
    <w:rsid w:val="00E0574E"/>
    <w:rsid w:val="00E05D32"/>
    <w:rsid w:val="00E07DDC"/>
    <w:rsid w:val="00E149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2343"/>
    <w:rsid w:val="00F16B3B"/>
    <w:rsid w:val="00F16EA3"/>
    <w:rsid w:val="00F17C44"/>
    <w:rsid w:val="00F255EE"/>
    <w:rsid w:val="00F25FF4"/>
    <w:rsid w:val="00F2689F"/>
    <w:rsid w:val="00F46C4F"/>
    <w:rsid w:val="00F535EB"/>
    <w:rsid w:val="00F609A9"/>
    <w:rsid w:val="00F9047B"/>
    <w:rsid w:val="00F978A6"/>
    <w:rsid w:val="00FB5305"/>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0b669a44-8dd7-4e36-b9d5-f0e03cbcce13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2017-04-28T16:08:58+00:00</Document_x0020_Date>
    <Document_x0020_No xmlns="4b47aac5-4c46-444f-8595-ce09b406fc61">30481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85BFA-A45C-4EC5-AFE0-FDF1C76FD7FA}"/>
</file>

<file path=customXml/itemProps2.xml><?xml version="1.0" encoding="utf-8"?>
<ds:datastoreItem xmlns:ds="http://schemas.openxmlformats.org/officeDocument/2006/customXml" ds:itemID="{8E8A6D53-0990-48FD-9D57-1B55BD0BB208}"/>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90EE047-BDA8-43DA-AC20-7A2F647FA370}"/>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4</Pages>
  <Words>1328</Words>
  <Characters>7572</Characters>
  <Application>Microsoft Office Word</Application>
  <DocSecurity>6</DocSecurity>
  <Lines>63</Lines>
  <Paragraphs>17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2016-04-01T15:42:00Z</cp:lastPrinted>
  <dcterms:created xsi:type="dcterms:W3CDTF">2017-04-28T15:18:00Z</dcterms:created>
  <dcterms:modified xsi:type="dcterms:W3CDTF">2017-04-28T15:18:00Z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3733700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