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2D1F2A">
        <w:rPr>
          <w:rFonts w:ascii="Times New Roman" w:eastAsia="Calibri" w:hAnsi="Times New Roman" w:cs="Times New Roman"/>
          <w:noProof/>
          <w:sz w:val="24"/>
          <w:szCs w:val="24"/>
        </w:rPr>
        <w:t>May 17,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4008C0" w:rsidRPr="00E1206A" w:rsidRDefault="004008C0" w:rsidP="004008C0">
      <w:pPr>
        <w:pStyle w:val="NoSpacing"/>
        <w:rPr>
          <w:rFonts w:ascii="Times New Roman" w:eastAsia="Times New Roman" w:hAnsi="Times New Roman" w:cs="Times New Roman"/>
          <w:sz w:val="24"/>
          <w:szCs w:val="24"/>
        </w:rPr>
      </w:pPr>
    </w:p>
    <w:p w:rsidR="00041823" w:rsidRDefault="004008C0" w:rsidP="003775E4">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w:t>
      </w:r>
      <w:r w:rsidR="002C4B2D">
        <w:rPr>
          <w:rFonts w:ascii="Times New Roman" w:eastAsia="Calibri" w:hAnsi="Times New Roman" w:cs="Times New Roman"/>
          <w:b/>
          <w:sz w:val="24"/>
          <w:szCs w:val="24"/>
        </w:rPr>
        <w:t>to</w:t>
      </w:r>
    </w:p>
    <w:p w:rsidR="00813160" w:rsidRDefault="00E968C8" w:rsidP="004008C0">
      <w:pPr>
        <w:pStyle w:val="NoSpacing"/>
        <w:ind w:left="216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Amend the</w:t>
      </w:r>
      <w:r w:rsidR="00813160">
        <w:rPr>
          <w:rFonts w:ascii="Times New Roman" w:eastAsia="Times New Roman" w:hAnsi="Times New Roman" w:cs="Times New Roman"/>
          <w:b/>
          <w:bCs/>
          <w:sz w:val="24"/>
          <w:szCs w:val="24"/>
        </w:rPr>
        <w:t xml:space="preserve"> </w:t>
      </w:r>
      <w:r w:rsidR="00813160" w:rsidRPr="005B01DF">
        <w:rPr>
          <w:rFonts w:ascii="Times New Roman" w:eastAsia="Times New Roman" w:hAnsi="Times New Roman" w:cs="Times New Roman"/>
          <w:b/>
          <w:bCs/>
          <w:sz w:val="24"/>
          <w:szCs w:val="24"/>
        </w:rPr>
        <w:t>Quote Liquidity Provisioning Program</w:t>
      </w:r>
    </w:p>
    <w:p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Pr="007B139D">
        <w:rPr>
          <w:rFonts w:ascii="Times New Roman" w:eastAsia="Calibri" w:hAnsi="Times New Roman" w:cs="Times New Roman"/>
          <w:b/>
          <w:sz w:val="24"/>
          <w:szCs w:val="24"/>
          <w:u w:val="single"/>
        </w:rPr>
        <w:t>SR-NFX-201</w:t>
      </w:r>
      <w:r w:rsidR="00F0643A">
        <w:rPr>
          <w:rFonts w:ascii="Times New Roman" w:eastAsia="Calibri" w:hAnsi="Times New Roman" w:cs="Times New Roman"/>
          <w:b/>
          <w:sz w:val="24"/>
          <w:szCs w:val="24"/>
          <w:u w:val="single"/>
        </w:rPr>
        <w:t>9</w:t>
      </w:r>
      <w:r w:rsidRPr="007B139D">
        <w:rPr>
          <w:rFonts w:ascii="Times New Roman" w:eastAsia="Calibri" w:hAnsi="Times New Roman" w:cs="Times New Roman"/>
          <w:b/>
          <w:sz w:val="24"/>
          <w:szCs w:val="24"/>
          <w:u w:val="single"/>
        </w:rPr>
        <w:t>-</w:t>
      </w:r>
      <w:r w:rsidR="008B259C">
        <w:rPr>
          <w:rFonts w:ascii="Times New Roman" w:eastAsia="Calibri" w:hAnsi="Times New Roman" w:cs="Times New Roman"/>
          <w:b/>
          <w:sz w:val="24"/>
          <w:szCs w:val="24"/>
          <w:u w:val="single"/>
        </w:rPr>
        <w:t>23</w:t>
      </w:r>
    </w:p>
    <w:p w:rsidR="0008423C" w:rsidRPr="00E1206A" w:rsidRDefault="0008423C" w:rsidP="0008423C">
      <w:pPr>
        <w:pStyle w:val="NoSpacing"/>
        <w:ind w:left="720" w:hanging="720"/>
        <w:rPr>
          <w:rFonts w:ascii="Times New Roman" w:hAnsi="Times New Roman" w:cs="Times New Roman"/>
          <w:b/>
          <w:sz w:val="24"/>
          <w:szCs w:val="24"/>
          <w:u w:val="single"/>
        </w:rPr>
      </w:pPr>
    </w:p>
    <w:p w:rsidR="00813160" w:rsidRPr="009F2AFB" w:rsidRDefault="00813160" w:rsidP="00813160">
      <w:pPr>
        <w:pStyle w:val="NoSpacing"/>
        <w:rPr>
          <w:rFonts w:ascii="Times New Roman" w:eastAsia="Calibri" w:hAnsi="Times New Roman" w:cs="Times New Roman"/>
          <w:sz w:val="24"/>
          <w:szCs w:val="24"/>
        </w:rPr>
      </w:pPr>
      <w:r w:rsidRPr="009F2AFB">
        <w:rPr>
          <w:rFonts w:ascii="Times New Roman" w:eastAsia="Calibri" w:hAnsi="Times New Roman" w:cs="Times New Roman"/>
          <w:sz w:val="24"/>
          <w:szCs w:val="24"/>
        </w:rPr>
        <w:t>Dear Mr. Kirkpatrick:</w:t>
      </w:r>
    </w:p>
    <w:p w:rsidR="00813160" w:rsidRPr="009F2AFB" w:rsidRDefault="00813160" w:rsidP="00813160">
      <w:pPr>
        <w:pStyle w:val="NoSpacing"/>
        <w:rPr>
          <w:rFonts w:ascii="Times New Roman" w:eastAsia="Calibri" w:hAnsi="Times New Roman" w:cs="Times New Roman"/>
          <w:sz w:val="24"/>
          <w:szCs w:val="24"/>
        </w:rPr>
      </w:pPr>
    </w:p>
    <w:p w:rsidR="000F7F4B" w:rsidRDefault="000F7F4B" w:rsidP="000F7F4B">
      <w:pPr>
        <w:pStyle w:val="NoSpacing"/>
        <w:ind w:firstLine="1310"/>
        <w:rPr>
          <w:rFonts w:ascii="Times New Roman" w:eastAsia="Calibri" w:hAnsi="Times New Roman" w:cs="Times New Roman"/>
          <w:sz w:val="24"/>
          <w:szCs w:val="24"/>
        </w:rPr>
      </w:pPr>
      <w:r w:rsidRPr="009F2AFB">
        <w:rPr>
          <w:rFonts w:ascii="Times New Roman" w:eastAsia="Calibri" w:hAnsi="Times New Roman" w:cs="Times New Roman"/>
          <w:sz w:val="24"/>
          <w:szCs w:val="24"/>
        </w:rPr>
        <w:t>Pursuant to Section 5c(c)(1) of the Commodity Exchange Act, as amended (“</w:t>
      </w:r>
      <w:r w:rsidRPr="009F2AFB">
        <w:rPr>
          <w:rFonts w:ascii="Times New Roman" w:eastAsia="Calibri" w:hAnsi="Times New Roman" w:cs="Times New Roman"/>
          <w:sz w:val="24"/>
          <w:szCs w:val="24"/>
          <w:u w:val="single"/>
        </w:rPr>
        <w:t>Act</w:t>
      </w:r>
      <w:r w:rsidRPr="009F2AFB">
        <w:rPr>
          <w:rFonts w:ascii="Times New Roman" w:eastAsia="Calibri" w:hAnsi="Times New Roman" w:cs="Times New Roman"/>
          <w:sz w:val="24"/>
          <w:szCs w:val="24"/>
        </w:rPr>
        <w:t xml:space="preserve">”), and Section </w:t>
      </w:r>
      <w:r w:rsidRPr="009F2AFB">
        <w:rPr>
          <w:rFonts w:ascii="Times New Roman" w:hAnsi="Times New Roman" w:cs="Times New Roman"/>
          <w:sz w:val="24"/>
          <w:szCs w:val="24"/>
        </w:rPr>
        <w:t xml:space="preserve">40.6 </w:t>
      </w:r>
      <w:r w:rsidRPr="009F2AFB">
        <w:rPr>
          <w:rFonts w:ascii="Times New Roman" w:eastAsia="Calibri" w:hAnsi="Times New Roman" w:cs="Times New Roman"/>
          <w:sz w:val="24"/>
          <w:szCs w:val="24"/>
        </w:rPr>
        <w:t>of the Commission’s regulations thereunder, NASDAQ Futures, Inc. (“</w:t>
      </w:r>
      <w:r w:rsidRPr="009F2AFB">
        <w:rPr>
          <w:rFonts w:ascii="Times New Roman" w:eastAsia="Calibri" w:hAnsi="Times New Roman" w:cs="Times New Roman"/>
          <w:sz w:val="24"/>
          <w:szCs w:val="24"/>
          <w:u w:val="single"/>
        </w:rPr>
        <w:t>NFX</w:t>
      </w:r>
      <w:r w:rsidRPr="009F2AFB">
        <w:rPr>
          <w:rFonts w:ascii="Times New Roman" w:eastAsia="Calibri" w:hAnsi="Times New Roman" w:cs="Times New Roman"/>
          <w:sz w:val="24"/>
          <w:szCs w:val="24"/>
        </w:rPr>
        <w:t>” or “</w:t>
      </w:r>
      <w:r w:rsidRPr="009F2AFB">
        <w:rPr>
          <w:rFonts w:ascii="Times New Roman" w:eastAsia="Calibri" w:hAnsi="Times New Roman" w:cs="Times New Roman"/>
          <w:sz w:val="24"/>
          <w:szCs w:val="24"/>
          <w:u w:val="single"/>
        </w:rPr>
        <w:t>Exchange</w:t>
      </w:r>
      <w:r w:rsidRPr="009F2AFB">
        <w:rPr>
          <w:rFonts w:ascii="Times New Roman" w:eastAsia="Calibri" w:hAnsi="Times New Roman" w:cs="Times New Roman"/>
          <w:sz w:val="24"/>
          <w:szCs w:val="24"/>
        </w:rPr>
        <w:t xml:space="preserve">”) </w:t>
      </w:r>
      <w:r w:rsidRPr="009F2AFB">
        <w:rPr>
          <w:rFonts w:ascii="Times New Roman" w:eastAsia="Times New Roman" w:hAnsi="Times New Roman" w:cs="Times New Roman"/>
          <w:sz w:val="24"/>
          <w:szCs w:val="24"/>
        </w:rPr>
        <w:t xml:space="preserve">submits this self-certification to </w:t>
      </w:r>
      <w:r w:rsidR="00A761AB">
        <w:rPr>
          <w:rFonts w:ascii="Times New Roman" w:eastAsia="Times New Roman" w:hAnsi="Times New Roman" w:cs="Times New Roman"/>
          <w:sz w:val="24"/>
          <w:szCs w:val="24"/>
        </w:rPr>
        <w:t xml:space="preserve">extend the </w:t>
      </w:r>
      <w:r w:rsidRPr="009F2AFB">
        <w:rPr>
          <w:rFonts w:ascii="Times New Roman" w:eastAsia="Calibri" w:hAnsi="Times New Roman" w:cs="Times New Roman"/>
          <w:sz w:val="24"/>
          <w:szCs w:val="24"/>
        </w:rPr>
        <w:t>quote liquidity provisioning program (the “</w:t>
      </w:r>
      <w:r w:rsidRPr="009F2AFB">
        <w:rPr>
          <w:rFonts w:ascii="Times New Roman" w:eastAsia="Calibri" w:hAnsi="Times New Roman" w:cs="Times New Roman"/>
          <w:sz w:val="24"/>
          <w:szCs w:val="24"/>
          <w:u w:val="single"/>
        </w:rPr>
        <w:t>QLP Program</w:t>
      </w:r>
      <w:r w:rsidRPr="009F2AFB">
        <w:rPr>
          <w:rFonts w:ascii="Times New Roman" w:eastAsia="Calibri" w:hAnsi="Times New Roman" w:cs="Times New Roman"/>
          <w:sz w:val="24"/>
          <w:szCs w:val="24"/>
        </w:rPr>
        <w:t xml:space="preserve">”) </w:t>
      </w:r>
      <w:r w:rsidR="008B5F7D">
        <w:rPr>
          <w:rFonts w:ascii="Times New Roman" w:eastAsia="Calibri" w:hAnsi="Times New Roman" w:cs="Times New Roman"/>
          <w:sz w:val="24"/>
          <w:szCs w:val="24"/>
        </w:rPr>
        <w:t>until November 30, 2019</w:t>
      </w:r>
      <w:bookmarkStart w:id="0" w:name="_GoBack"/>
      <w:bookmarkEnd w:id="0"/>
      <w:r w:rsidRPr="009F2AFB">
        <w:rPr>
          <w:rFonts w:ascii="Times New Roman" w:eastAsia="Calibri" w:hAnsi="Times New Roman" w:cs="Times New Roman"/>
          <w:sz w:val="24"/>
          <w:szCs w:val="24"/>
        </w:rPr>
        <w:t>.</w:t>
      </w:r>
      <w:r w:rsidRPr="009F2AFB">
        <w:rPr>
          <w:rStyle w:val="FootnoteReference"/>
          <w:rFonts w:ascii="Times New Roman" w:eastAsia="Calibri" w:hAnsi="Times New Roman" w:cs="Times New Roman"/>
          <w:sz w:val="24"/>
          <w:szCs w:val="24"/>
        </w:rPr>
        <w:footnoteReference w:id="1"/>
      </w:r>
      <w:r w:rsidRPr="009F2AFB">
        <w:rPr>
          <w:rFonts w:ascii="Times New Roman" w:eastAsia="Calibri" w:hAnsi="Times New Roman" w:cs="Times New Roman"/>
          <w:sz w:val="24"/>
          <w:szCs w:val="24"/>
        </w:rPr>
        <w:t xml:space="preserve">  </w:t>
      </w:r>
      <w:r w:rsidR="00AB1246">
        <w:rPr>
          <w:rFonts w:ascii="Times New Roman" w:eastAsia="Calibri" w:hAnsi="Times New Roman" w:cs="Times New Roman"/>
          <w:sz w:val="24"/>
          <w:szCs w:val="24"/>
        </w:rPr>
        <w:t xml:space="preserve">The </w:t>
      </w:r>
      <w:r w:rsidR="006F45AF">
        <w:rPr>
          <w:rFonts w:ascii="Times New Roman" w:eastAsia="Calibri" w:hAnsi="Times New Roman" w:cs="Times New Roman"/>
          <w:sz w:val="24"/>
          <w:szCs w:val="24"/>
        </w:rPr>
        <w:t xml:space="preserve">certification </w:t>
      </w:r>
      <w:r w:rsidR="00AB1246">
        <w:rPr>
          <w:rFonts w:ascii="Times New Roman" w:eastAsia="Calibri" w:hAnsi="Times New Roman" w:cs="Times New Roman"/>
          <w:sz w:val="24"/>
          <w:szCs w:val="24"/>
        </w:rPr>
        <w:t xml:space="preserve">also </w:t>
      </w:r>
      <w:r w:rsidR="006F45AF">
        <w:rPr>
          <w:rFonts w:ascii="Times New Roman" w:eastAsia="Calibri" w:hAnsi="Times New Roman" w:cs="Times New Roman"/>
          <w:sz w:val="24"/>
          <w:szCs w:val="24"/>
        </w:rPr>
        <w:t xml:space="preserve">updates </w:t>
      </w:r>
      <w:r w:rsidR="00AB1246">
        <w:rPr>
          <w:rFonts w:ascii="Times New Roman" w:eastAsia="Calibri" w:hAnsi="Times New Roman" w:cs="Times New Roman"/>
          <w:sz w:val="24"/>
          <w:szCs w:val="24"/>
        </w:rPr>
        <w:t xml:space="preserve">the change in fees from $0.03 to $0.05 for the Off-Peak 25 MWH contracts that </w:t>
      </w:r>
      <w:r w:rsidR="008C49A3">
        <w:rPr>
          <w:rFonts w:ascii="Times New Roman" w:eastAsia="Calibri" w:hAnsi="Times New Roman" w:cs="Times New Roman"/>
          <w:sz w:val="24"/>
          <w:szCs w:val="24"/>
        </w:rPr>
        <w:t xml:space="preserve">previously </w:t>
      </w:r>
      <w:r w:rsidR="00AB1246">
        <w:rPr>
          <w:rFonts w:ascii="Times New Roman" w:eastAsia="Calibri" w:hAnsi="Times New Roman" w:cs="Times New Roman"/>
          <w:sz w:val="24"/>
          <w:szCs w:val="24"/>
        </w:rPr>
        <w:t xml:space="preserve">went into effect on May 1, 2019.  </w:t>
      </w:r>
      <w:r w:rsidR="008C49A3">
        <w:rPr>
          <w:rFonts w:ascii="Times New Roman" w:eastAsia="Calibri" w:hAnsi="Times New Roman" w:cs="Times New Roman"/>
          <w:sz w:val="24"/>
          <w:szCs w:val="24"/>
        </w:rPr>
        <w:t>Th</w:t>
      </w:r>
      <w:r w:rsidR="006F45AF">
        <w:rPr>
          <w:rFonts w:ascii="Times New Roman" w:eastAsia="Calibri" w:hAnsi="Times New Roman" w:cs="Times New Roman"/>
          <w:sz w:val="24"/>
          <w:szCs w:val="24"/>
        </w:rPr>
        <w:t>is</w:t>
      </w:r>
      <w:r w:rsidR="008C49A3">
        <w:rPr>
          <w:rFonts w:ascii="Times New Roman" w:eastAsia="Calibri" w:hAnsi="Times New Roman" w:cs="Times New Roman"/>
          <w:sz w:val="24"/>
          <w:szCs w:val="24"/>
        </w:rPr>
        <w:t xml:space="preserve"> amendment is made </w:t>
      </w:r>
      <w:r w:rsidR="006F45AF">
        <w:rPr>
          <w:rFonts w:ascii="Times New Roman" w:eastAsia="Calibri" w:hAnsi="Times New Roman" w:cs="Times New Roman"/>
          <w:sz w:val="24"/>
          <w:szCs w:val="24"/>
        </w:rPr>
        <w:t xml:space="preserve">simply </w:t>
      </w:r>
      <w:r w:rsidR="008C49A3">
        <w:rPr>
          <w:rFonts w:ascii="Times New Roman" w:eastAsia="Calibri" w:hAnsi="Times New Roman" w:cs="Times New Roman"/>
          <w:sz w:val="24"/>
          <w:szCs w:val="24"/>
        </w:rPr>
        <w:t xml:space="preserve">for purposes of clarity.  </w:t>
      </w:r>
      <w:r w:rsidR="006F45AF">
        <w:rPr>
          <w:rFonts w:ascii="Times New Roman" w:eastAsia="Calibri" w:hAnsi="Times New Roman" w:cs="Times New Roman"/>
          <w:sz w:val="24"/>
          <w:szCs w:val="24"/>
        </w:rPr>
        <w:t>The amendment attached hereto will beca</w:t>
      </w:r>
      <w:r w:rsidR="006F45AF" w:rsidRPr="00B66CB5">
        <w:rPr>
          <w:rFonts w:ascii="Times New Roman" w:eastAsia="Calibri" w:hAnsi="Times New Roman" w:cs="Times New Roman"/>
          <w:sz w:val="24"/>
          <w:szCs w:val="24"/>
        </w:rPr>
        <w:t xml:space="preserve">me effective on </w:t>
      </w:r>
      <w:r w:rsidR="006F45AF">
        <w:rPr>
          <w:rFonts w:ascii="Times New Roman" w:eastAsia="Calibri" w:hAnsi="Times New Roman" w:cs="Times New Roman"/>
          <w:sz w:val="24"/>
          <w:szCs w:val="24"/>
        </w:rPr>
        <w:t xml:space="preserve">June 1, </w:t>
      </w:r>
      <w:r w:rsidR="006F45AF" w:rsidRPr="00B66CB5">
        <w:rPr>
          <w:rFonts w:ascii="Times New Roman" w:eastAsia="Calibri" w:hAnsi="Times New Roman" w:cs="Times New Roman"/>
          <w:sz w:val="24"/>
          <w:szCs w:val="24"/>
        </w:rPr>
        <w:t>2019</w:t>
      </w:r>
      <w:r w:rsidR="006F45AF">
        <w:rPr>
          <w:rFonts w:ascii="Times New Roman" w:eastAsia="Calibri" w:hAnsi="Times New Roman" w:cs="Times New Roman"/>
          <w:sz w:val="24"/>
          <w:szCs w:val="24"/>
        </w:rPr>
        <w:t xml:space="preserve"> for trade date June 3, 2019</w:t>
      </w:r>
      <w:r w:rsidR="006F45AF" w:rsidRPr="00B66CB5">
        <w:rPr>
          <w:rFonts w:ascii="Times New Roman" w:eastAsia="Calibri" w:hAnsi="Times New Roman" w:cs="Times New Roman"/>
          <w:sz w:val="24"/>
          <w:szCs w:val="24"/>
        </w:rPr>
        <w:t>.</w:t>
      </w:r>
      <w:r w:rsidR="006F45AF">
        <w:rPr>
          <w:rFonts w:ascii="Times New Roman" w:eastAsia="Calibri" w:hAnsi="Times New Roman" w:cs="Times New Roman"/>
          <w:sz w:val="24"/>
          <w:szCs w:val="24"/>
        </w:rPr>
        <w:t xml:space="preserve">  </w:t>
      </w:r>
    </w:p>
    <w:p w:rsidR="000F7F4B" w:rsidRPr="009F2AFB" w:rsidRDefault="000F7F4B" w:rsidP="000F7F4B">
      <w:pPr>
        <w:pStyle w:val="NoSpacing"/>
        <w:ind w:firstLine="1310"/>
        <w:rPr>
          <w:rFonts w:ascii="Times New Roman" w:eastAsia="Calibri" w:hAnsi="Times New Roman" w:cs="Times New Roman"/>
          <w:sz w:val="24"/>
          <w:szCs w:val="24"/>
        </w:rPr>
      </w:pPr>
    </w:p>
    <w:p w:rsidR="000F7F4B" w:rsidRDefault="008C49A3" w:rsidP="000F7F4B">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As described in previous filing, p</w:t>
      </w:r>
      <w:r w:rsidR="000F7F4B" w:rsidRPr="009F2AFB">
        <w:rPr>
          <w:rFonts w:ascii="Times New Roman" w:eastAsia="Calibri" w:hAnsi="Times New Roman" w:cs="Times New Roman"/>
          <w:sz w:val="24"/>
          <w:szCs w:val="24"/>
        </w:rPr>
        <w:t xml:space="preserve">articipants in the QLP Program </w:t>
      </w:r>
      <w:r w:rsidR="000F7F4B">
        <w:rPr>
          <w:rFonts w:ascii="Times New Roman" w:eastAsia="Calibri" w:hAnsi="Times New Roman" w:cs="Times New Roman"/>
          <w:sz w:val="24"/>
          <w:szCs w:val="24"/>
        </w:rPr>
        <w:t>are</w:t>
      </w:r>
      <w:r w:rsidR="000F7F4B" w:rsidRPr="009F2AFB">
        <w:rPr>
          <w:rFonts w:ascii="Times New Roman" w:eastAsia="Calibri" w:hAnsi="Times New Roman" w:cs="Times New Roman"/>
          <w:sz w:val="24"/>
          <w:szCs w:val="24"/>
        </w:rPr>
        <w:t xml:space="preserve"> </w:t>
      </w:r>
      <w:r w:rsidR="000F7F4B">
        <w:rPr>
          <w:rFonts w:ascii="Times New Roman" w:eastAsia="Calibri" w:hAnsi="Times New Roman" w:cs="Times New Roman"/>
          <w:sz w:val="24"/>
          <w:szCs w:val="24"/>
        </w:rPr>
        <w:t xml:space="preserve">recognized </w:t>
      </w:r>
      <w:r w:rsidR="000F7F4B" w:rsidRPr="009F2AFB">
        <w:rPr>
          <w:rFonts w:ascii="Times New Roman" w:eastAsia="Calibri" w:hAnsi="Times New Roman" w:cs="Times New Roman"/>
          <w:sz w:val="24"/>
          <w:szCs w:val="24"/>
        </w:rPr>
        <w:t xml:space="preserve">using the process described in </w:t>
      </w:r>
      <w:r w:rsidR="004717D1" w:rsidRPr="009F2AFB">
        <w:rPr>
          <w:rFonts w:ascii="Times New Roman" w:eastAsia="Calibri" w:hAnsi="Times New Roman" w:cs="Times New Roman"/>
          <w:sz w:val="24"/>
          <w:szCs w:val="24"/>
        </w:rPr>
        <w:t xml:space="preserve">the Quote Liquidity Provisioning </w:t>
      </w:r>
      <w:r w:rsidR="004717D1">
        <w:rPr>
          <w:rFonts w:ascii="Times New Roman" w:eastAsia="Calibri" w:hAnsi="Times New Roman" w:cs="Times New Roman"/>
          <w:sz w:val="24"/>
          <w:szCs w:val="24"/>
        </w:rPr>
        <w:t>Program Notice</w:t>
      </w:r>
      <w:r w:rsidR="004717D1" w:rsidRPr="009F2AFB">
        <w:rPr>
          <w:rFonts w:ascii="Times New Roman" w:eastAsia="Calibri" w:hAnsi="Times New Roman" w:cs="Times New Roman"/>
          <w:sz w:val="24"/>
          <w:szCs w:val="24"/>
        </w:rPr>
        <w:t xml:space="preserve"> (the “</w:t>
      </w:r>
      <w:r w:rsidR="004717D1" w:rsidRPr="00301136">
        <w:rPr>
          <w:rFonts w:ascii="Times New Roman" w:eastAsia="Calibri" w:hAnsi="Times New Roman" w:cs="Times New Roman"/>
          <w:sz w:val="24"/>
          <w:szCs w:val="24"/>
          <w:u w:val="single"/>
        </w:rPr>
        <w:t>Notice</w:t>
      </w:r>
      <w:r w:rsidR="004717D1" w:rsidRPr="009F2AFB">
        <w:rPr>
          <w:rFonts w:ascii="Times New Roman" w:eastAsia="Calibri" w:hAnsi="Times New Roman" w:cs="Times New Roman"/>
          <w:sz w:val="24"/>
          <w:szCs w:val="24"/>
        </w:rPr>
        <w:t xml:space="preserve">”) attached hereto as </w:t>
      </w:r>
      <w:r w:rsidR="004717D1" w:rsidRPr="009F2AFB">
        <w:rPr>
          <w:rFonts w:ascii="Times New Roman" w:eastAsia="Calibri" w:hAnsi="Times New Roman" w:cs="Times New Roman"/>
          <w:sz w:val="24"/>
          <w:szCs w:val="24"/>
          <w:u w:val="single"/>
        </w:rPr>
        <w:t>Exhibit A</w:t>
      </w:r>
      <w:r w:rsidR="004717D1" w:rsidRPr="009F2AFB">
        <w:rPr>
          <w:rFonts w:ascii="Times New Roman" w:eastAsia="Calibri" w:hAnsi="Times New Roman" w:cs="Times New Roman"/>
          <w:sz w:val="24"/>
          <w:szCs w:val="24"/>
        </w:rPr>
        <w:t>.</w:t>
      </w:r>
      <w:r w:rsidR="000F7F4B">
        <w:rPr>
          <w:rFonts w:ascii="Times New Roman" w:eastAsia="Calibri" w:hAnsi="Times New Roman" w:cs="Times New Roman"/>
          <w:sz w:val="24"/>
          <w:szCs w:val="24"/>
        </w:rPr>
        <w:t xml:space="preserve">  NFX </w:t>
      </w:r>
      <w:r w:rsidR="00F03A71">
        <w:rPr>
          <w:rFonts w:ascii="Times New Roman" w:eastAsia="Calibri" w:hAnsi="Times New Roman" w:cs="Times New Roman"/>
          <w:sz w:val="24"/>
          <w:szCs w:val="24"/>
        </w:rPr>
        <w:t xml:space="preserve">typically </w:t>
      </w:r>
      <w:r w:rsidR="000F7F4B">
        <w:rPr>
          <w:rFonts w:ascii="Times New Roman" w:eastAsia="Calibri" w:hAnsi="Times New Roman" w:cs="Times New Roman"/>
          <w:sz w:val="24"/>
          <w:szCs w:val="24"/>
        </w:rPr>
        <w:t>ha</w:t>
      </w:r>
      <w:r w:rsidR="00A92D38">
        <w:rPr>
          <w:rFonts w:ascii="Times New Roman" w:eastAsia="Calibri" w:hAnsi="Times New Roman" w:cs="Times New Roman"/>
          <w:sz w:val="24"/>
          <w:szCs w:val="24"/>
        </w:rPr>
        <w:t>s</w:t>
      </w:r>
      <w:r w:rsidR="000F7F4B">
        <w:rPr>
          <w:rFonts w:ascii="Times New Roman" w:eastAsia="Calibri" w:hAnsi="Times New Roman" w:cs="Times New Roman"/>
          <w:sz w:val="24"/>
          <w:szCs w:val="24"/>
        </w:rPr>
        <w:t xml:space="preserve"> </w:t>
      </w:r>
      <w:r w:rsidR="00F03A71">
        <w:rPr>
          <w:rFonts w:ascii="Times New Roman" w:eastAsia="Calibri" w:hAnsi="Times New Roman" w:cs="Times New Roman"/>
          <w:sz w:val="24"/>
          <w:szCs w:val="24"/>
        </w:rPr>
        <w:t>20-25</w:t>
      </w:r>
      <w:r w:rsidR="000F7F4B">
        <w:rPr>
          <w:rFonts w:ascii="Times New Roman" w:eastAsia="Calibri" w:hAnsi="Times New Roman" w:cs="Times New Roman"/>
          <w:sz w:val="24"/>
          <w:szCs w:val="24"/>
        </w:rPr>
        <w:t xml:space="preserve"> Recognized Quote Liquidity Providers (“</w:t>
      </w:r>
      <w:r w:rsidR="000F7F4B" w:rsidRPr="008610F7">
        <w:rPr>
          <w:rFonts w:ascii="Times New Roman" w:eastAsia="Calibri" w:hAnsi="Times New Roman" w:cs="Times New Roman"/>
          <w:sz w:val="24"/>
          <w:szCs w:val="24"/>
          <w:u w:val="single"/>
        </w:rPr>
        <w:t>RQLPs</w:t>
      </w:r>
      <w:r w:rsidR="000F7F4B">
        <w:rPr>
          <w:rFonts w:ascii="Times New Roman" w:eastAsia="Calibri" w:hAnsi="Times New Roman" w:cs="Times New Roman"/>
          <w:sz w:val="24"/>
          <w:szCs w:val="24"/>
        </w:rPr>
        <w:t xml:space="preserve">”) participating at any particular time, but the program is open to all </w:t>
      </w:r>
      <w:r w:rsidR="000F7F4B" w:rsidRPr="008610F7">
        <w:rPr>
          <w:rFonts w:ascii="Times New Roman" w:eastAsia="Calibri" w:hAnsi="Times New Roman" w:cs="Times New Roman"/>
          <w:sz w:val="24"/>
          <w:szCs w:val="24"/>
        </w:rPr>
        <w:t>NFX Futures Participants</w:t>
      </w:r>
      <w:r w:rsidR="000F7F4B">
        <w:rPr>
          <w:rFonts w:ascii="Times New Roman" w:eastAsia="Calibri" w:hAnsi="Times New Roman" w:cs="Times New Roman"/>
          <w:sz w:val="24"/>
          <w:szCs w:val="24"/>
        </w:rPr>
        <w:t xml:space="preserve"> or</w:t>
      </w:r>
      <w:r w:rsidR="000F7F4B" w:rsidRPr="008610F7">
        <w:rPr>
          <w:rFonts w:ascii="Times New Roman" w:eastAsia="Calibri" w:hAnsi="Times New Roman" w:cs="Times New Roman"/>
          <w:sz w:val="24"/>
          <w:szCs w:val="24"/>
        </w:rPr>
        <w:t xml:space="preserve"> NFX Futures Participant’s Authorized Customer</w:t>
      </w:r>
      <w:r w:rsidR="000F7F4B">
        <w:rPr>
          <w:rFonts w:ascii="Times New Roman" w:eastAsia="Calibri" w:hAnsi="Times New Roman" w:cs="Times New Roman"/>
          <w:sz w:val="24"/>
          <w:szCs w:val="24"/>
        </w:rPr>
        <w:t>s, and there is no cap on the numbers participating.</w:t>
      </w:r>
    </w:p>
    <w:p w:rsidR="000F7F4B" w:rsidRDefault="000F7F4B" w:rsidP="000F7F4B">
      <w:pPr>
        <w:pStyle w:val="NoSpacing"/>
        <w:ind w:firstLine="1310"/>
        <w:rPr>
          <w:rFonts w:ascii="Times New Roman" w:eastAsia="Calibri" w:hAnsi="Times New Roman" w:cs="Times New Roman"/>
          <w:sz w:val="24"/>
          <w:szCs w:val="24"/>
        </w:rPr>
      </w:pPr>
    </w:p>
    <w:p w:rsidR="000F7F4B" w:rsidRDefault="000F7F4B" w:rsidP="000F7F4B">
      <w:pPr>
        <w:pStyle w:val="NoSpacing"/>
        <w:ind w:firstLine="1310"/>
        <w:rPr>
          <w:rFonts w:ascii="Times New Roman" w:eastAsia="Calibri" w:hAnsi="Times New Roman" w:cs="Times New Roman"/>
          <w:sz w:val="24"/>
          <w:szCs w:val="24"/>
        </w:rPr>
      </w:pPr>
      <w:r w:rsidRPr="00B6204C">
        <w:rPr>
          <w:rFonts w:ascii="Times New Roman" w:eastAsia="Calibri" w:hAnsi="Times New Roman" w:cs="Times New Roman"/>
          <w:sz w:val="24"/>
          <w:szCs w:val="24"/>
        </w:rPr>
        <w:t>The QLP Program is intended to be a complement to the Exchange’s DMM Program</w:t>
      </w:r>
      <w:r w:rsidR="00B66CB5">
        <w:rPr>
          <w:rFonts w:ascii="Times New Roman" w:eastAsia="Calibri" w:hAnsi="Times New Roman" w:cs="Times New Roman"/>
          <w:sz w:val="24"/>
          <w:szCs w:val="24"/>
        </w:rPr>
        <w:t>s</w:t>
      </w:r>
      <w:r w:rsidRPr="00B6204C">
        <w:rPr>
          <w:rFonts w:ascii="Times New Roman" w:eastAsia="Calibri" w:hAnsi="Times New Roman" w:cs="Times New Roman"/>
          <w:sz w:val="24"/>
          <w:szCs w:val="24"/>
        </w:rPr>
        <w:t xml:space="preserve">, but differs in its sourcing of liquidity provisioning.  </w:t>
      </w:r>
      <w:r>
        <w:rPr>
          <w:rFonts w:ascii="Times New Roman" w:eastAsia="Calibri" w:hAnsi="Times New Roman" w:cs="Times New Roman"/>
          <w:sz w:val="24"/>
          <w:szCs w:val="24"/>
        </w:rPr>
        <w:t>T</w:t>
      </w:r>
      <w:r w:rsidRPr="00B6204C">
        <w:rPr>
          <w:rFonts w:ascii="Times New Roman" w:eastAsia="Calibri" w:hAnsi="Times New Roman" w:cs="Times New Roman"/>
          <w:sz w:val="24"/>
          <w:szCs w:val="24"/>
        </w:rPr>
        <w:t xml:space="preserve">he purpose of the QLP Program is to support liquidity in the Contracts by recruiting </w:t>
      </w:r>
      <w:r>
        <w:rPr>
          <w:rFonts w:ascii="Times New Roman" w:eastAsia="Calibri" w:hAnsi="Times New Roman" w:cs="Times New Roman"/>
          <w:sz w:val="24"/>
          <w:szCs w:val="24"/>
        </w:rPr>
        <w:t>R</w:t>
      </w:r>
      <w:r w:rsidRPr="00B6204C">
        <w:rPr>
          <w:rFonts w:ascii="Times New Roman" w:eastAsia="Calibri" w:hAnsi="Times New Roman" w:cs="Times New Roman"/>
          <w:sz w:val="24"/>
          <w:szCs w:val="24"/>
        </w:rPr>
        <w:t>QLPs to respond to Request for Quotes (“</w:t>
      </w:r>
      <w:r w:rsidRPr="00B6204C">
        <w:rPr>
          <w:rFonts w:ascii="Times New Roman" w:eastAsia="Calibri" w:hAnsi="Times New Roman" w:cs="Times New Roman"/>
          <w:sz w:val="24"/>
          <w:szCs w:val="24"/>
          <w:u w:val="single"/>
        </w:rPr>
        <w:t>RFQ</w:t>
      </w:r>
      <w:r w:rsidRPr="00B6204C">
        <w:rPr>
          <w:rFonts w:ascii="Times New Roman" w:eastAsia="Calibri" w:hAnsi="Times New Roman" w:cs="Times New Roman"/>
          <w:sz w:val="24"/>
          <w:szCs w:val="24"/>
        </w:rPr>
        <w:t>”) either in the Exchange’s Order Book or via off-Exchange brokered markets.  A RFQ means an indication of intent to buy or sel</w:t>
      </w:r>
      <w:r w:rsidR="008C49A3">
        <w:rPr>
          <w:rFonts w:ascii="Times New Roman" w:eastAsia="Calibri" w:hAnsi="Times New Roman" w:cs="Times New Roman"/>
          <w:sz w:val="24"/>
          <w:szCs w:val="24"/>
        </w:rPr>
        <w:t>l a specified quantity of a</w:t>
      </w:r>
      <w:r w:rsidRPr="00B6204C">
        <w:rPr>
          <w:rFonts w:ascii="Times New Roman" w:eastAsia="Calibri" w:hAnsi="Times New Roman" w:cs="Times New Roman"/>
          <w:sz w:val="24"/>
          <w:szCs w:val="24"/>
        </w:rPr>
        <w:t xml:space="preserve"> Contract.  A RFQ in the Order Book must specify whether it is a buy or sell and the quantity interest in the Contract.  A RFQ is not an Order.  A RFQ in the off-Exchange market (Block Trade) does not have the requirement to specify whether it is a buy or sell and the quantity interest in the Contract.  </w:t>
      </w:r>
      <w:r>
        <w:rPr>
          <w:rFonts w:ascii="Times New Roman" w:eastAsia="Calibri" w:hAnsi="Times New Roman" w:cs="Times New Roman"/>
          <w:sz w:val="24"/>
          <w:szCs w:val="24"/>
        </w:rPr>
        <w:t>R</w:t>
      </w:r>
      <w:r w:rsidRPr="00B6204C">
        <w:rPr>
          <w:rFonts w:ascii="Times New Roman" w:eastAsia="Calibri" w:hAnsi="Times New Roman" w:cs="Times New Roman"/>
          <w:sz w:val="24"/>
          <w:szCs w:val="24"/>
        </w:rPr>
        <w:t>QLPs may respond at will to RFQs.</w:t>
      </w:r>
      <w:r>
        <w:rPr>
          <w:rFonts w:ascii="Times New Roman" w:eastAsia="Calibri" w:hAnsi="Times New Roman" w:cs="Times New Roman"/>
          <w:sz w:val="24"/>
          <w:szCs w:val="24"/>
        </w:rPr>
        <w:t xml:space="preserve">  </w:t>
      </w:r>
    </w:p>
    <w:p w:rsidR="000F7F4B" w:rsidRDefault="000F7F4B" w:rsidP="000F7F4B">
      <w:pPr>
        <w:pStyle w:val="NoSpacing"/>
        <w:ind w:firstLine="1310"/>
        <w:rPr>
          <w:rFonts w:ascii="Times New Roman" w:eastAsia="Calibri" w:hAnsi="Times New Roman" w:cs="Times New Roman"/>
          <w:sz w:val="24"/>
          <w:szCs w:val="24"/>
        </w:rPr>
      </w:pPr>
    </w:p>
    <w:p w:rsidR="000F7F4B" w:rsidRPr="006974BA" w:rsidRDefault="000F7F4B" w:rsidP="000F7F4B">
      <w:pPr>
        <w:spacing w:line="240" w:lineRule="auto"/>
        <w:ind w:firstLine="1310"/>
        <w:rPr>
          <w:rFonts w:ascii="Times New Roman" w:hAnsi="Times New Roman" w:cs="Times New Roman"/>
          <w:sz w:val="24"/>
          <w:szCs w:val="24"/>
        </w:rPr>
      </w:pPr>
      <w:r>
        <w:rPr>
          <w:rFonts w:ascii="Times New Roman" w:eastAsia="Calibri" w:hAnsi="Times New Roman" w:cs="Times New Roman"/>
          <w:sz w:val="24"/>
          <w:szCs w:val="24"/>
        </w:rPr>
        <w:t xml:space="preserve">The Exchange believes that the Program complies with Core Principle 4 (Monitoring of Trading), Core Principle 9 (Execution of Transactions) and Core Principle 12 (Protection of Market Participants).  The QLP Program will not impact order execution priority </w:t>
      </w:r>
      <w:r>
        <w:rPr>
          <w:rFonts w:ascii="Times New Roman" w:eastAsia="Calibri" w:hAnsi="Times New Roman" w:cs="Times New Roman"/>
          <w:sz w:val="24"/>
          <w:szCs w:val="24"/>
        </w:rPr>
        <w:lastRenderedPageBreak/>
        <w:t>or otherwise give participants any execution preference or advantage.  The QLP Program will not impact</w:t>
      </w:r>
      <w:r>
        <w:rPr>
          <w:rFonts w:eastAsia="Calibri"/>
        </w:rPr>
        <w:t xml:space="preserve"> </w:t>
      </w:r>
      <w:r>
        <w:rPr>
          <w:rFonts w:ascii="Times New Roman" w:eastAsia="Calibri" w:hAnsi="Times New Roman" w:cs="Times New Roman"/>
          <w:sz w:val="24"/>
          <w:szCs w:val="24"/>
        </w:rPr>
        <w:t>the Exchange’s ability to perform its trade practice and market surveillance obligations under the Act and Exchange staff will monitor trading in the Program’s products to prevent manipulative trading and market abuse.  Additionally, the Exchange has systems to monitor RQLPs performance.  Finally, NFX rules include prohibitions against fraudulent, non-competitive</w:t>
      </w:r>
      <w:r w:rsidRPr="000B5E2C">
        <w:rPr>
          <w:rFonts w:ascii="Times New Roman" w:eastAsia="Calibri" w:hAnsi="Times New Roman" w:cs="Times New Roman"/>
          <w:sz w:val="24"/>
          <w:szCs w:val="24"/>
        </w:rPr>
        <w:t>, unfair or abusive practices</w:t>
      </w:r>
      <w:r>
        <w:rPr>
          <w:rFonts w:ascii="Times New Roman" w:eastAsia="Calibri" w:hAnsi="Times New Roman" w:cs="Times New Roman"/>
          <w:sz w:val="24"/>
          <w:szCs w:val="24"/>
        </w:rPr>
        <w:t>.</w:t>
      </w:r>
    </w:p>
    <w:p w:rsidR="000F7F4B" w:rsidRPr="0013104F" w:rsidRDefault="000F7F4B" w:rsidP="000F7F4B">
      <w:pPr>
        <w:pStyle w:val="Default"/>
        <w:ind w:firstLine="1310"/>
        <w:rPr>
          <w:color w:val="auto"/>
          <w:szCs w:val="23"/>
        </w:rPr>
      </w:pPr>
      <w:r w:rsidRPr="0013104F">
        <w:rPr>
          <w:color w:val="auto"/>
          <w:szCs w:val="23"/>
        </w:rPr>
        <w:t xml:space="preserve">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Pr>
            <w:rStyle w:val="Hyperlink"/>
          </w:rPr>
          <w:t>business.nasdaq.com/futures</w:t>
        </w:r>
      </w:hyperlink>
      <w:r w:rsidRPr="0013104F">
        <w:rPr>
          <w:color w:val="auto"/>
          <w:szCs w:val="23"/>
        </w:rPr>
        <w:t>.</w:t>
      </w:r>
    </w:p>
    <w:p w:rsidR="000F7F4B" w:rsidRDefault="000F7F4B" w:rsidP="000F7F4B">
      <w:pPr>
        <w:pStyle w:val="Default"/>
        <w:ind w:firstLine="1310"/>
        <w:rPr>
          <w:color w:val="auto"/>
          <w:szCs w:val="23"/>
        </w:rPr>
      </w:pPr>
    </w:p>
    <w:p w:rsidR="000F7F4B" w:rsidRPr="005B01DF" w:rsidRDefault="000F7F4B" w:rsidP="000F7F4B">
      <w:pPr>
        <w:pStyle w:val="Default"/>
        <w:ind w:left="2620"/>
        <w:rPr>
          <w:b/>
          <w:bCs/>
          <w:color w:val="auto"/>
          <w:szCs w:val="23"/>
          <w:u w:val="single"/>
        </w:rPr>
      </w:pPr>
      <w:r>
        <w:rPr>
          <w:b/>
          <w:bCs/>
          <w:color w:val="auto"/>
          <w:szCs w:val="23"/>
        </w:rPr>
        <w:t xml:space="preserve">           </w:t>
      </w:r>
      <w:r w:rsidRPr="005B01DF">
        <w:rPr>
          <w:b/>
          <w:bCs/>
          <w:color w:val="auto"/>
          <w:szCs w:val="23"/>
          <w:u w:val="single"/>
        </w:rPr>
        <w:t xml:space="preserve">Certifications </w:t>
      </w:r>
    </w:p>
    <w:p w:rsidR="000F7F4B" w:rsidRPr="005B01DF" w:rsidRDefault="000F7F4B" w:rsidP="000F7F4B">
      <w:pPr>
        <w:pStyle w:val="Default"/>
        <w:ind w:left="2620"/>
        <w:rPr>
          <w:color w:val="auto"/>
        </w:rPr>
      </w:pPr>
    </w:p>
    <w:p w:rsidR="000F7F4B" w:rsidRPr="005B01DF" w:rsidRDefault="000F7F4B" w:rsidP="000F7F4B">
      <w:pPr>
        <w:pStyle w:val="PlainText"/>
        <w:ind w:firstLine="1310"/>
        <w:rPr>
          <w:rFonts w:ascii="Times New Roman" w:eastAsia="Calibri" w:hAnsi="Times New Roman"/>
          <w:sz w:val="24"/>
          <w:szCs w:val="24"/>
        </w:rPr>
      </w:pPr>
      <w:r w:rsidRPr="005B01DF">
        <w:rPr>
          <w:rFonts w:ascii="Times New Roman" w:hAnsi="Times New Roman"/>
          <w:sz w:val="24"/>
          <w:szCs w:val="23"/>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5B01DF">
          <w:rPr>
            <w:rStyle w:val="Hyperlink"/>
            <w:rFonts w:ascii="Times New Roman" w:hAnsi="Times New Roman"/>
            <w:sz w:val="24"/>
          </w:rPr>
          <w:t>business.nasdaq.com/futures</w:t>
        </w:r>
      </w:hyperlink>
      <w:r w:rsidRPr="005B01DF">
        <w:rPr>
          <w:rFonts w:ascii="Times New Roman" w:hAnsi="Times New Roman"/>
          <w:sz w:val="24"/>
          <w:szCs w:val="23"/>
        </w:rPr>
        <w:t>.</w:t>
      </w:r>
    </w:p>
    <w:p w:rsidR="000F7F4B" w:rsidRPr="005B01DF" w:rsidRDefault="000F7F4B" w:rsidP="000F7F4B">
      <w:pPr>
        <w:pStyle w:val="PlainText"/>
        <w:ind w:firstLine="1310"/>
        <w:rPr>
          <w:rFonts w:ascii="Times New Roman" w:hAnsi="Times New Roman"/>
          <w:sz w:val="24"/>
          <w:szCs w:val="24"/>
        </w:rPr>
      </w:pPr>
    </w:p>
    <w:p w:rsidR="000F7F4B" w:rsidRPr="005B01DF" w:rsidRDefault="000F7F4B" w:rsidP="000F7F4B">
      <w:pPr>
        <w:keepNext/>
        <w:spacing w:after="0" w:line="240" w:lineRule="auto"/>
        <w:ind w:firstLine="1310"/>
        <w:rPr>
          <w:rFonts w:ascii="Times New Roman" w:hAnsi="Times New Roman" w:cs="Times New Roman"/>
          <w:spacing w:val="-6"/>
          <w:sz w:val="24"/>
          <w:szCs w:val="24"/>
        </w:rPr>
      </w:pPr>
      <w:r w:rsidRPr="005B01DF">
        <w:rPr>
          <w:rFonts w:ascii="Times New Roman" w:eastAsia="Calibri" w:hAnsi="Times New Roman" w:cs="Times New Roman"/>
          <w:sz w:val="24"/>
          <w:szCs w:val="24"/>
        </w:rPr>
        <w:t xml:space="preserve">If you require any additional information regarding this submission, please </w:t>
      </w:r>
      <w:r w:rsidRPr="005B01DF">
        <w:rPr>
          <w:rFonts w:ascii="Times New Roman" w:hAnsi="Times New Roman" w:cs="Times New Roman"/>
          <w:sz w:val="24"/>
          <w:szCs w:val="24"/>
        </w:rPr>
        <w:t>contact</w:t>
      </w:r>
      <w:r w:rsidRPr="005B01DF">
        <w:rPr>
          <w:rFonts w:ascii="Times New Roman" w:hAnsi="Times New Roman" w:cs="Times New Roman"/>
          <w:spacing w:val="-6"/>
          <w:sz w:val="24"/>
          <w:szCs w:val="24"/>
        </w:rPr>
        <w:t xml:space="preserve"> </w:t>
      </w:r>
    </w:p>
    <w:p w:rsidR="000F7F4B" w:rsidRPr="005B01DF" w:rsidRDefault="00415BB9" w:rsidP="000F7F4B">
      <w:pPr>
        <w:keepNext/>
        <w:spacing w:after="0" w:line="240" w:lineRule="auto"/>
        <w:rPr>
          <w:rFonts w:ascii="Times New Roman" w:hAnsi="Times New Roman" w:cs="Times New Roman"/>
          <w:spacing w:val="-6"/>
          <w:sz w:val="24"/>
          <w:szCs w:val="24"/>
        </w:rPr>
      </w:pPr>
      <w:proofErr w:type="spellStart"/>
      <w:r>
        <w:rPr>
          <w:rFonts w:ascii="Times New Roman" w:hAnsi="Times New Roman" w:cs="Times New Roman"/>
          <w:spacing w:val="-6"/>
          <w:sz w:val="24"/>
          <w:szCs w:val="24"/>
        </w:rPr>
        <w:t>Aravind</w:t>
      </w:r>
      <w:proofErr w:type="spellEnd"/>
      <w:r>
        <w:rPr>
          <w:rFonts w:ascii="Times New Roman" w:hAnsi="Times New Roman" w:cs="Times New Roman"/>
          <w:spacing w:val="-6"/>
          <w:sz w:val="24"/>
          <w:szCs w:val="24"/>
        </w:rPr>
        <w:t xml:space="preserve"> Menon</w:t>
      </w:r>
      <w:r w:rsidR="000F7F4B" w:rsidRPr="005B01DF">
        <w:rPr>
          <w:rFonts w:ascii="Times New Roman" w:hAnsi="Times New Roman" w:cs="Times New Roman"/>
          <w:spacing w:val="-6"/>
          <w:sz w:val="24"/>
          <w:szCs w:val="24"/>
        </w:rPr>
        <w:t xml:space="preserve"> at (301) 978-84</w:t>
      </w:r>
      <w:r>
        <w:rPr>
          <w:rFonts w:ascii="Times New Roman" w:hAnsi="Times New Roman" w:cs="Times New Roman"/>
          <w:spacing w:val="-6"/>
          <w:sz w:val="24"/>
          <w:szCs w:val="24"/>
        </w:rPr>
        <w:t>16</w:t>
      </w:r>
      <w:r w:rsidR="00CB63A9">
        <w:rPr>
          <w:rFonts w:ascii="Times New Roman" w:hAnsi="Times New Roman" w:cs="Times New Roman"/>
          <w:spacing w:val="-6"/>
          <w:sz w:val="24"/>
          <w:szCs w:val="24"/>
        </w:rPr>
        <w:t xml:space="preserve"> or aravind.menon</w:t>
      </w:r>
      <w:r w:rsidR="000F7F4B">
        <w:rPr>
          <w:rFonts w:ascii="Times New Roman" w:hAnsi="Times New Roman" w:cs="Times New Roman"/>
          <w:spacing w:val="-6"/>
          <w:sz w:val="24"/>
          <w:szCs w:val="24"/>
        </w:rPr>
        <w:t>@nasdaq.com</w:t>
      </w:r>
      <w:r w:rsidR="000F7F4B" w:rsidRPr="005B01DF">
        <w:rPr>
          <w:rFonts w:ascii="Times New Roman" w:hAnsi="Times New Roman" w:cs="Times New Roman"/>
          <w:spacing w:val="-6"/>
          <w:sz w:val="24"/>
          <w:szCs w:val="24"/>
        </w:rPr>
        <w:t xml:space="preserve">.  </w:t>
      </w:r>
      <w:r w:rsidR="000F7F4B" w:rsidRPr="005B01DF">
        <w:rPr>
          <w:rFonts w:ascii="Times New Roman" w:hAnsi="Times New Roman" w:cs="Times New Roman"/>
          <w:sz w:val="24"/>
          <w:szCs w:val="24"/>
        </w:rPr>
        <w:t>Please</w:t>
      </w:r>
      <w:r w:rsidR="000F7F4B" w:rsidRPr="005B01DF">
        <w:rPr>
          <w:rFonts w:ascii="Times New Roman" w:hAnsi="Times New Roman" w:cs="Times New Roman"/>
          <w:spacing w:val="-6"/>
          <w:sz w:val="24"/>
          <w:szCs w:val="24"/>
        </w:rPr>
        <w:t xml:space="preserve"> </w:t>
      </w:r>
      <w:r w:rsidR="000F7F4B" w:rsidRPr="009F2AFB">
        <w:rPr>
          <w:rFonts w:ascii="Times New Roman" w:hAnsi="Times New Roman" w:cs="Times New Roman"/>
          <w:sz w:val="24"/>
          <w:szCs w:val="24"/>
        </w:rPr>
        <w:t>refer to</w:t>
      </w:r>
      <w:r w:rsidR="000F7F4B" w:rsidRPr="009F2AFB">
        <w:rPr>
          <w:rFonts w:ascii="Times New Roman" w:hAnsi="Times New Roman" w:cs="Times New Roman"/>
          <w:spacing w:val="-6"/>
          <w:sz w:val="24"/>
          <w:szCs w:val="24"/>
        </w:rPr>
        <w:t xml:space="preserve"> </w:t>
      </w:r>
      <w:r w:rsidR="000F7F4B" w:rsidRPr="009F2AFB">
        <w:rPr>
          <w:rFonts w:ascii="Times New Roman" w:hAnsi="Times New Roman" w:cs="Times New Roman"/>
          <w:sz w:val="24"/>
          <w:szCs w:val="24"/>
        </w:rPr>
        <w:t>SR-NFX-201</w:t>
      </w:r>
      <w:r w:rsidR="00F03A71">
        <w:rPr>
          <w:rFonts w:ascii="Times New Roman" w:hAnsi="Times New Roman" w:cs="Times New Roman"/>
          <w:sz w:val="24"/>
          <w:szCs w:val="24"/>
        </w:rPr>
        <w:t>9</w:t>
      </w:r>
      <w:r w:rsidR="000F7F4B" w:rsidRPr="009F2AFB">
        <w:rPr>
          <w:rFonts w:ascii="Times New Roman" w:hAnsi="Times New Roman" w:cs="Times New Roman"/>
          <w:sz w:val="24"/>
          <w:szCs w:val="24"/>
        </w:rPr>
        <w:t>-</w:t>
      </w:r>
      <w:r w:rsidR="008B259C">
        <w:rPr>
          <w:rFonts w:ascii="Times New Roman" w:hAnsi="Times New Roman" w:cs="Times New Roman"/>
          <w:sz w:val="24"/>
          <w:szCs w:val="24"/>
        </w:rPr>
        <w:t>23</w:t>
      </w:r>
      <w:r w:rsidR="000F7F4B" w:rsidRPr="005B01DF">
        <w:rPr>
          <w:rFonts w:ascii="Times New Roman" w:hAnsi="Times New Roman" w:cs="Times New Roman"/>
          <w:spacing w:val="-9"/>
          <w:sz w:val="24"/>
          <w:szCs w:val="24"/>
        </w:rPr>
        <w:t xml:space="preserve"> </w:t>
      </w:r>
      <w:r w:rsidR="000F7F4B" w:rsidRPr="005B01DF">
        <w:rPr>
          <w:rFonts w:ascii="Times New Roman" w:eastAsia="Calibri" w:hAnsi="Times New Roman" w:cs="Times New Roman"/>
          <w:sz w:val="24"/>
          <w:szCs w:val="24"/>
        </w:rPr>
        <w:t>in any related correspondence.</w:t>
      </w:r>
    </w:p>
    <w:p w:rsidR="0008423C" w:rsidRPr="00E1206A" w:rsidRDefault="00340EF8" w:rsidP="00340EF8">
      <w:pPr>
        <w:keepNext/>
        <w:tabs>
          <w:tab w:val="left" w:pos="3767"/>
        </w:tabs>
        <w:spacing w:after="0" w:line="240" w:lineRule="auto"/>
        <w:ind w:firstLine="1310"/>
        <w:rPr>
          <w:rFonts w:ascii="Times New Roman" w:eastAsia="Calibri" w:hAnsi="Times New Roman" w:cs="Times New Roman"/>
          <w:sz w:val="24"/>
          <w:szCs w:val="24"/>
        </w:rPr>
      </w:pPr>
      <w:r>
        <w:rPr>
          <w:rFonts w:ascii="Times New Roman" w:hAnsi="Times New Roman" w:cs="Times New Roman"/>
          <w:spacing w:val="-6"/>
          <w:sz w:val="24"/>
          <w:szCs w:val="24"/>
        </w:rPr>
        <w:tab/>
      </w:r>
    </w:p>
    <w:p w:rsidR="00340EF8" w:rsidRPr="00D06205" w:rsidRDefault="00340EF8" w:rsidP="00340EF8">
      <w:pPr>
        <w:pStyle w:val="NoSpacing"/>
        <w:keepNext/>
        <w:ind w:left="2880" w:firstLine="720"/>
        <w:rPr>
          <w:rFonts w:ascii="Times New Roman" w:hAnsi="Times New Roman" w:cs="Times New Roman"/>
          <w:sz w:val="24"/>
          <w:szCs w:val="24"/>
        </w:rPr>
      </w:pPr>
      <w:r w:rsidRPr="00D06205">
        <w:rPr>
          <w:rFonts w:ascii="Times New Roman" w:eastAsia="Calibri" w:hAnsi="Times New Roman" w:cs="Times New Roman"/>
          <w:sz w:val="24"/>
          <w:szCs w:val="24"/>
        </w:rPr>
        <w:t>Regards,</w:t>
      </w:r>
    </w:p>
    <w:p w:rsidR="00340EF8" w:rsidRPr="00D06205" w:rsidRDefault="00340EF8" w:rsidP="00340EF8">
      <w:pPr>
        <w:pStyle w:val="NoSpacing"/>
        <w:keepNext/>
        <w:ind w:left="2880" w:firstLine="720"/>
        <w:contextualSpacing/>
        <w:rPr>
          <w:rFonts w:ascii="Times New Roman" w:eastAsia="Calibri" w:hAnsi="Times New Roman" w:cs="Times New Roman"/>
          <w:sz w:val="24"/>
          <w:szCs w:val="24"/>
        </w:rPr>
      </w:pPr>
    </w:p>
    <w:p w:rsidR="00340EF8" w:rsidRDefault="007C50AB" w:rsidP="00340EF8">
      <w:pPr>
        <w:pStyle w:val="NoSpacing"/>
        <w:keepNext/>
        <w:ind w:left="2880" w:firstLine="720"/>
        <w:rPr>
          <w:rFonts w:ascii="Times New Roman" w:eastAsia="Calibri" w:hAnsi="Times New Roman" w:cs="Times New Roman"/>
          <w:sz w:val="24"/>
          <w:szCs w:val="24"/>
        </w:rPr>
      </w:pPr>
      <w:r>
        <w:rPr>
          <w:noProof/>
        </w:rPr>
        <w:drawing>
          <wp:inline distT="0" distB="0" distL="0" distR="0" wp14:anchorId="400C0D2C" wp14:editId="296233BE">
            <wp:extent cx="2287690" cy="1038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92339" cy="1040335"/>
                    </a:xfrm>
                    <a:prstGeom prst="rect">
                      <a:avLst/>
                    </a:prstGeom>
                    <a:noFill/>
                    <a:ln>
                      <a:noFill/>
                    </a:ln>
                  </pic:spPr>
                </pic:pic>
              </a:graphicData>
            </a:graphic>
          </wp:inline>
        </w:drawing>
      </w:r>
    </w:p>
    <w:p w:rsidR="00340EF8" w:rsidRPr="00D06205" w:rsidRDefault="006B6B29" w:rsidP="00340EF8">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340EF8" w:rsidRPr="00D06205" w:rsidRDefault="00340EF8" w:rsidP="00340EF8">
      <w:pPr>
        <w:pStyle w:val="NoSpacing"/>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Chief Executive Officer</w:t>
      </w:r>
    </w:p>
    <w:p w:rsidR="00340EF8" w:rsidRPr="00D06205" w:rsidRDefault="00340EF8" w:rsidP="00340EF8">
      <w:pPr>
        <w:pStyle w:val="NoSpacing"/>
        <w:rPr>
          <w:rFonts w:ascii="Times New Roman" w:eastAsia="Calibri" w:hAnsi="Times New Roman" w:cs="Times New Roman"/>
          <w:sz w:val="24"/>
          <w:szCs w:val="24"/>
        </w:rPr>
      </w:pPr>
    </w:p>
    <w:p w:rsidR="00340EF8" w:rsidRPr="00D06205" w:rsidRDefault="00340EF8" w:rsidP="00340EF8">
      <w:pPr>
        <w:pStyle w:val="NoSpacing"/>
        <w:rPr>
          <w:rFonts w:ascii="Times New Roman" w:eastAsia="Calibri" w:hAnsi="Times New Roman" w:cs="Times New Roman"/>
          <w:sz w:val="24"/>
          <w:szCs w:val="24"/>
        </w:rPr>
      </w:pPr>
    </w:p>
    <w:p w:rsidR="00340EF8" w:rsidRPr="00D06205" w:rsidRDefault="00340EF8" w:rsidP="00340EF8">
      <w:pPr>
        <w:spacing w:after="0" w:line="240" w:lineRule="auto"/>
        <w:rPr>
          <w:rFonts w:ascii="Times New Roman" w:hAnsi="Times New Roman" w:cs="Times New Roman"/>
          <w:sz w:val="24"/>
          <w:szCs w:val="24"/>
        </w:rPr>
      </w:pPr>
      <w:r w:rsidRPr="00D06205">
        <w:rPr>
          <w:rFonts w:ascii="Times New Roman" w:hAnsi="Times New Roman" w:cs="Times New Roman"/>
          <w:sz w:val="24"/>
          <w:szCs w:val="24"/>
        </w:rPr>
        <w:t xml:space="preserve">Attachments: </w:t>
      </w:r>
    </w:p>
    <w:p w:rsidR="0008423C" w:rsidRDefault="00340EF8" w:rsidP="00340EF8">
      <w:pPr>
        <w:spacing w:after="0" w:line="240" w:lineRule="auto"/>
        <w:rPr>
          <w:rFonts w:ascii="Times New Roman" w:hAnsi="Times New Roman" w:cs="Times New Roman"/>
          <w:sz w:val="24"/>
          <w:szCs w:val="24"/>
        </w:rPr>
      </w:pPr>
      <w:r w:rsidRPr="004F4E47">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13104F">
        <w:rPr>
          <w:rFonts w:ascii="Times New Roman" w:hAnsi="Times New Roman" w:cs="Times New Roman"/>
          <w:sz w:val="24"/>
          <w:szCs w:val="24"/>
        </w:rPr>
        <w:t>:</w:t>
      </w:r>
      <w:r>
        <w:rPr>
          <w:rFonts w:ascii="Times New Roman" w:hAnsi="Times New Roman" w:cs="Times New Roman"/>
          <w:sz w:val="24"/>
          <w:szCs w:val="24"/>
        </w:rPr>
        <w:t xml:space="preserve"> </w:t>
      </w:r>
      <w:r w:rsidRPr="005B01DF">
        <w:rPr>
          <w:rFonts w:ascii="Times New Roman" w:hAnsi="Times New Roman" w:cs="Times New Roman"/>
          <w:sz w:val="24"/>
          <w:szCs w:val="24"/>
        </w:rPr>
        <w:t xml:space="preserve">Quote Liquidity Provisioning </w:t>
      </w:r>
      <w:r>
        <w:rPr>
          <w:rFonts w:ascii="Times New Roman" w:hAnsi="Times New Roman" w:cs="Times New Roman"/>
          <w:sz w:val="24"/>
          <w:szCs w:val="24"/>
        </w:rPr>
        <w:t>Program Notice</w:t>
      </w:r>
    </w:p>
    <w:p w:rsidR="008B7D7B" w:rsidRDefault="00556F7D" w:rsidP="008B7D7B">
      <w:pPr>
        <w:spacing w:after="160" w:line="259" w:lineRule="auto"/>
        <w:jc w:val="center"/>
        <w:rPr>
          <w:rFonts w:ascii="Times New Roman" w:eastAsia="Calibri" w:hAnsi="Times New Roman" w:cs="Times New Roman"/>
          <w:b/>
          <w:sz w:val="24"/>
          <w:szCs w:val="24"/>
          <w:u w:val="single"/>
        </w:rPr>
      </w:pPr>
      <w:r>
        <w:rPr>
          <w:rFonts w:ascii="Times New Roman" w:hAnsi="Times New Roman" w:cs="Times New Roman"/>
          <w:sz w:val="24"/>
          <w:szCs w:val="24"/>
        </w:rPr>
        <w:br w:type="page"/>
      </w:r>
      <w:r w:rsidRPr="00556F7D">
        <w:rPr>
          <w:rFonts w:ascii="Times New Roman" w:eastAsia="Calibri" w:hAnsi="Times New Roman" w:cs="Times New Roman"/>
          <w:b/>
          <w:sz w:val="24"/>
          <w:szCs w:val="24"/>
          <w:u w:val="single"/>
        </w:rPr>
        <w:lastRenderedPageBreak/>
        <w:t>Exhibit A</w:t>
      </w:r>
    </w:p>
    <w:p w:rsidR="00A92D38" w:rsidRDefault="00A92D38" w:rsidP="008B7D7B">
      <w:pPr>
        <w:spacing w:after="160" w:line="259" w:lineRule="auto"/>
        <w:jc w:val="center"/>
        <w:rPr>
          <w:rFonts w:ascii="Times New Roman" w:eastAsia="Calibri" w:hAnsi="Times New Roman" w:cs="Times New Roman"/>
          <w:b/>
          <w:sz w:val="24"/>
          <w:szCs w:val="24"/>
          <w:u w:val="single"/>
        </w:rPr>
      </w:pPr>
      <w:r w:rsidRPr="00340AA9">
        <w:t xml:space="preserve">New language is </w:t>
      </w:r>
      <w:r w:rsidRPr="00340AA9">
        <w:rPr>
          <w:u w:val="single"/>
        </w:rPr>
        <w:t>underlined</w:t>
      </w:r>
      <w:r w:rsidRPr="00340AA9">
        <w:t xml:space="preserve">; deleted language is </w:t>
      </w:r>
      <w:r w:rsidRPr="00340AA9">
        <w:rPr>
          <w:strike/>
        </w:rPr>
        <w:t>stricken</w:t>
      </w:r>
      <w:r w:rsidRPr="00340AA9">
        <w:t>.</w:t>
      </w:r>
    </w:p>
    <w:p w:rsidR="00A92D38" w:rsidRPr="00A92D38" w:rsidRDefault="00A92D38" w:rsidP="00A92D38">
      <w:pPr>
        <w:spacing w:before="360" w:after="120" w:line="240" w:lineRule="auto"/>
        <w:ind w:left="-720"/>
        <w:jc w:val="both"/>
        <w:rPr>
          <w:rFonts w:ascii="Calibri" w:eastAsia="Arial" w:hAnsi="Calibri" w:cs="Times New Roman"/>
          <w:b/>
          <w:color w:val="0070C0"/>
          <w:spacing w:val="-4"/>
          <w:szCs w:val="20"/>
          <w:lang w:eastAsia="sv-SE"/>
        </w:rPr>
      </w:pPr>
      <w:r w:rsidRPr="006B6B29">
        <w:rPr>
          <w:rFonts w:ascii="Calibri" w:eastAsia="Arial" w:hAnsi="Calibri" w:cs="Times New Roman"/>
          <w:b/>
          <w:color w:val="0070C0"/>
          <w:spacing w:val="-4"/>
          <w:szCs w:val="20"/>
          <w:lang w:eastAsia="sv-SE"/>
        </w:rPr>
        <w:t>December 1</w:t>
      </w:r>
      <w:r w:rsidRPr="00A92D38">
        <w:rPr>
          <w:rFonts w:ascii="Calibri" w:eastAsia="Arial" w:hAnsi="Calibri" w:cs="Times New Roman"/>
          <w:b/>
          <w:color w:val="0070C0"/>
          <w:spacing w:val="-4"/>
          <w:szCs w:val="20"/>
          <w:lang w:eastAsia="sv-SE"/>
        </w:rPr>
        <w:t>, 2018</w:t>
      </w:r>
    </w:p>
    <w:p w:rsidR="00A92D38" w:rsidRPr="00A92D38" w:rsidRDefault="00A92D38" w:rsidP="00A92D38">
      <w:pPr>
        <w:spacing w:before="360" w:after="240" w:line="216" w:lineRule="auto"/>
        <w:ind w:left="-720"/>
        <w:jc w:val="center"/>
        <w:outlineLvl w:val="0"/>
        <w:rPr>
          <w:rFonts w:ascii="Calibri" w:eastAsia="Arial" w:hAnsi="Calibri" w:cs="Times New Roman"/>
          <w:bCs/>
          <w:caps/>
          <w:noProof/>
          <w:color w:val="000000"/>
          <w:sz w:val="36"/>
          <w:szCs w:val="20"/>
        </w:rPr>
      </w:pPr>
      <w:r w:rsidRPr="00A92D38">
        <w:rPr>
          <w:rFonts w:ascii="Calibri" w:eastAsia="Arial" w:hAnsi="Calibri" w:cs="Times New Roman"/>
          <w:bCs/>
          <w:caps/>
          <w:noProof/>
          <w:color w:val="0070C0"/>
          <w:sz w:val="36"/>
          <w:szCs w:val="20"/>
        </w:rPr>
        <w:t>NFX quote liquidity provisioning PROGRAM</w:t>
      </w:r>
    </w:p>
    <w:p w:rsidR="00A92D38" w:rsidRPr="00A92D38" w:rsidRDefault="00A92D38" w:rsidP="00A92D38">
      <w:pPr>
        <w:spacing w:before="360" w:after="120" w:line="240" w:lineRule="auto"/>
        <w:ind w:left="-720"/>
        <w:jc w:val="both"/>
        <w:rPr>
          <w:rFonts w:ascii="Calibri" w:eastAsia="Arial" w:hAnsi="Calibri" w:cs="Times New Roman"/>
          <w:b/>
          <w:color w:val="0070C0"/>
          <w:spacing w:val="-4"/>
          <w:szCs w:val="20"/>
          <w:lang w:eastAsia="sv-SE"/>
        </w:rPr>
      </w:pPr>
    </w:p>
    <w:p w:rsidR="00A92D38" w:rsidRPr="00A92D38" w:rsidRDefault="00A92D38" w:rsidP="00A92D38">
      <w:pPr>
        <w:spacing w:before="360" w:after="120" w:line="240" w:lineRule="auto"/>
        <w:ind w:left="-72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Introduction</w:t>
      </w:r>
    </w:p>
    <w:p w:rsidR="00A92D38" w:rsidRDefault="00A92D38" w:rsidP="00A92D38">
      <w:pPr>
        <w:spacing w:after="0" w:line="260" w:lineRule="atLeast"/>
        <w:ind w:left="-720"/>
        <w:jc w:val="both"/>
        <w:rPr>
          <w:rFonts w:ascii="Calibri" w:eastAsia="Arial" w:hAnsi="Calibri" w:cs="Times New Roman"/>
          <w:strike/>
          <w:spacing w:val="-4"/>
          <w:sz w:val="20"/>
          <w:szCs w:val="20"/>
          <w:lang w:eastAsia="sv-SE"/>
        </w:rPr>
      </w:pPr>
      <w:r w:rsidRPr="00A92D38">
        <w:rPr>
          <w:rFonts w:ascii="Calibri" w:eastAsia="Arial" w:hAnsi="Calibri" w:cs="Times New Roman"/>
          <w:color w:val="000000"/>
          <w:spacing w:val="-4"/>
          <w:sz w:val="20"/>
          <w:szCs w:val="20"/>
          <w:lang w:eastAsia="sv-SE"/>
        </w:rPr>
        <w:t xml:space="preserve">Nasdaq Futures, Inc. (NFX or the Exchange), the </w:t>
      </w:r>
      <w:r w:rsidRPr="00BB0DE3">
        <w:rPr>
          <w:rFonts w:ascii="Calibri" w:eastAsia="Arial" w:hAnsi="Calibri" w:cs="Times New Roman"/>
          <w:color w:val="000000"/>
          <w:spacing w:val="-4"/>
          <w:sz w:val="20"/>
          <w:szCs w:val="20"/>
          <w:lang w:eastAsia="sv-SE"/>
        </w:rPr>
        <w:t xml:space="preserve">designated contract market owned and operated by Nasdaq, </w:t>
      </w:r>
      <w:r w:rsidR="006E256D" w:rsidRPr="00EC6305">
        <w:rPr>
          <w:rFonts w:ascii="Calibri" w:eastAsia="Arial" w:hAnsi="Calibri" w:cs="Times New Roman"/>
          <w:color w:val="000000"/>
          <w:spacing w:val="-4"/>
          <w:sz w:val="20"/>
          <w:szCs w:val="20"/>
          <w:lang w:eastAsia="sv-SE"/>
        </w:rPr>
        <w:t>offers a</w:t>
      </w:r>
      <w:r w:rsidR="006E256D">
        <w:rPr>
          <w:rFonts w:ascii="Calibri" w:eastAsia="Arial" w:hAnsi="Calibri" w:cs="Times New Roman"/>
          <w:color w:val="000000"/>
          <w:spacing w:val="-4"/>
          <w:sz w:val="20"/>
          <w:szCs w:val="20"/>
          <w:lang w:eastAsia="sv-SE"/>
        </w:rPr>
        <w:t xml:space="preserve"> </w:t>
      </w:r>
      <w:r w:rsidRPr="00BB0DE3">
        <w:rPr>
          <w:rFonts w:ascii="Calibri" w:eastAsia="Arial" w:hAnsi="Calibri" w:cs="Times New Roman"/>
          <w:color w:val="000000"/>
          <w:spacing w:val="-4"/>
          <w:sz w:val="20"/>
          <w:szCs w:val="20"/>
          <w:lang w:eastAsia="sv-SE"/>
        </w:rPr>
        <w:t xml:space="preserve">Quote </w:t>
      </w:r>
      <w:r w:rsidRPr="00BB0DE3">
        <w:rPr>
          <w:rFonts w:ascii="Calibri" w:eastAsia="Arial" w:hAnsi="Calibri" w:cs="Times New Roman"/>
          <w:spacing w:val="-4"/>
          <w:sz w:val="20"/>
          <w:szCs w:val="20"/>
          <w:lang w:eastAsia="sv-SE"/>
        </w:rPr>
        <w:t>Liquidity Provisioning (QLP) program for NFX Futures and Options Products (Products)</w:t>
      </w:r>
      <w:r w:rsidRPr="00BB0DE3">
        <w:rPr>
          <w:rFonts w:ascii="Calibri" w:eastAsia="Arial" w:hAnsi="Calibri" w:cs="Times New Roman"/>
          <w:spacing w:val="-4"/>
          <w:sz w:val="20"/>
          <w:szCs w:val="20"/>
          <w:vertAlign w:val="superscript"/>
          <w:lang w:eastAsia="sv-SE"/>
        </w:rPr>
        <w:footnoteReference w:id="2"/>
      </w:r>
      <w:r w:rsidRPr="00BB0DE3">
        <w:rPr>
          <w:rFonts w:ascii="Calibri" w:eastAsia="Arial" w:hAnsi="Calibri" w:cs="Times New Roman"/>
          <w:spacing w:val="-4"/>
          <w:sz w:val="20"/>
          <w:szCs w:val="20"/>
          <w:lang w:eastAsia="sv-SE"/>
        </w:rPr>
        <w:t xml:space="preserve"> </w:t>
      </w:r>
      <w:r w:rsidR="006E256D" w:rsidRPr="00EC6305">
        <w:rPr>
          <w:rFonts w:ascii="Calibri" w:eastAsia="Arial" w:hAnsi="Calibri" w:cs="Times New Roman"/>
          <w:spacing w:val="-4"/>
          <w:sz w:val="20"/>
          <w:szCs w:val="20"/>
          <w:lang w:eastAsia="sv-SE"/>
        </w:rPr>
        <w:t>that</w:t>
      </w:r>
      <w:r w:rsidRPr="00BB0DE3">
        <w:rPr>
          <w:rFonts w:ascii="Calibri" w:eastAsia="Arial" w:hAnsi="Calibri" w:cs="Times New Roman"/>
          <w:spacing w:val="-4"/>
          <w:sz w:val="20"/>
          <w:szCs w:val="20"/>
          <w:lang w:eastAsia="sv-SE"/>
        </w:rPr>
        <w:t xml:space="preserve"> will continue until </w:t>
      </w:r>
      <w:r w:rsidR="00481BFC" w:rsidRPr="00481BFC">
        <w:rPr>
          <w:rFonts w:ascii="Calibri" w:eastAsia="Arial" w:hAnsi="Calibri" w:cs="Times New Roman"/>
          <w:spacing w:val="-4"/>
          <w:sz w:val="20"/>
          <w:szCs w:val="20"/>
          <w:u w:val="single"/>
          <w:lang w:eastAsia="sv-SE"/>
        </w:rPr>
        <w:t>November 30</w:t>
      </w:r>
      <w:r w:rsidRPr="00481BFC">
        <w:rPr>
          <w:rFonts w:ascii="Calibri" w:eastAsia="Arial" w:hAnsi="Calibri" w:cs="Times New Roman"/>
          <w:strike/>
          <w:spacing w:val="-4"/>
          <w:sz w:val="20"/>
          <w:szCs w:val="20"/>
          <w:lang w:eastAsia="sv-SE"/>
        </w:rPr>
        <w:t>May 31</w:t>
      </w:r>
      <w:r w:rsidRPr="00BB0DE3">
        <w:rPr>
          <w:rFonts w:ascii="Calibri" w:eastAsia="Arial" w:hAnsi="Calibri" w:cs="Times New Roman"/>
          <w:spacing w:val="-4"/>
          <w:sz w:val="20"/>
          <w:szCs w:val="20"/>
          <w:lang w:eastAsia="sv-SE"/>
        </w:rPr>
        <w:t xml:space="preserve">, 2019.  </w:t>
      </w:r>
    </w:p>
    <w:p w:rsidR="00EC6305" w:rsidRPr="00A92D38" w:rsidRDefault="00EC6305" w:rsidP="00A92D38">
      <w:pPr>
        <w:spacing w:after="0" w:line="260" w:lineRule="atLeast"/>
        <w:ind w:left="-720"/>
        <w:jc w:val="both"/>
        <w:rPr>
          <w:rFonts w:ascii="Calibri" w:eastAsia="Arial" w:hAnsi="Calibri" w:cs="Times New Roman"/>
          <w:color w:val="000000"/>
          <w:spacing w:val="-4"/>
          <w:sz w:val="20"/>
          <w:szCs w:val="20"/>
          <w:lang w:eastAsia="sv-SE"/>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r w:rsidRPr="00A92D38">
        <w:rPr>
          <w:rFonts w:ascii="Calibri" w:eastAsia="Arial" w:hAnsi="Calibri" w:cs="Times New Roman"/>
          <w:color w:val="000000"/>
          <w:spacing w:val="-4"/>
          <w:sz w:val="20"/>
          <w:szCs w:val="20"/>
          <w:lang w:eastAsia="sv-SE"/>
        </w:rPr>
        <w:t xml:space="preserve">The purpose of the program is to support liquidity in the Products by recruiting market participants to respond to Request for Quotes either in the Exchange Order Book or via off-Exchange brokered markets during market hours.  A "Request for Quote" or "RFQ" means an indication of intent to buy or sell a specified quantity of a Contract.  An RFQ in the Order Book must specify whether it is a buy or sell and the quantity interest in a Contract.  A Request for Quote is not an Order.  An RFQ in the off-Exchange market (Block Trade) does not have the requirement to specify whether it is a buy or sell and the quantity interest in a Contract.  Market participants may respond at will to RFQs during market hours.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r w:rsidRPr="00A92D38">
        <w:rPr>
          <w:rFonts w:ascii="Calibri" w:eastAsia="Arial" w:hAnsi="Calibri" w:cs="Times New Roman"/>
          <w:color w:val="000000"/>
          <w:spacing w:val="-4"/>
          <w:sz w:val="20"/>
          <w:szCs w:val="20"/>
          <w:lang w:eastAsia="sv-SE"/>
        </w:rPr>
        <w:t>The Exchange seeks to maintain competitive bid/ask spreads across all forward Contract curves, in Intra-Commodity (Time) Spreads, and in Inter-Commodity Spreads.  The QLP program will enhance price discovery in the less liquid Products by permitting traditional (Proprietary Trading) and non-traditional liquidity providers (Institutional Customers) to actively participate in initiating the price discovery process in a Request for Quotes process for either on or off-Exchange transactions.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r w:rsidRPr="00A92D38">
        <w:rPr>
          <w:rFonts w:ascii="Calibri" w:eastAsia="Arial" w:hAnsi="Calibri" w:cs="Times New Roman"/>
          <w:color w:val="000000"/>
          <w:spacing w:val="-4"/>
          <w:sz w:val="20"/>
          <w:szCs w:val="20"/>
          <w:lang w:eastAsia="sv-SE"/>
        </w:rPr>
        <w:t xml:space="preserve">During the QLP program term, the Exchange will assess Screen Fees and Block Fees for the QLP Program based upon Section 2 below.  The Block Trade/EFRP surcharge will not be waived.  </w:t>
      </w:r>
    </w:p>
    <w:p w:rsidR="00A92D38" w:rsidRPr="00A92D38" w:rsidRDefault="00A92D38" w:rsidP="00A92D38">
      <w:pPr>
        <w:spacing w:before="360" w:after="120" w:line="240" w:lineRule="auto"/>
        <w:ind w:left="-720"/>
        <w:rPr>
          <w:rFonts w:ascii="Calibri" w:eastAsia="Arial" w:hAnsi="Calibri" w:cs="Times New Roman"/>
          <w:b/>
          <w:color w:val="009FC3"/>
          <w:spacing w:val="-4"/>
          <w:szCs w:val="20"/>
          <w:lang w:eastAsia="sv-SE"/>
        </w:rPr>
      </w:pPr>
      <w:r w:rsidRPr="00A92D38">
        <w:rPr>
          <w:rFonts w:ascii="Calibri" w:eastAsia="Arial" w:hAnsi="Calibri" w:cs="Times New Roman"/>
          <w:b/>
          <w:color w:val="0070C0"/>
          <w:spacing w:val="-4"/>
          <w:szCs w:val="20"/>
          <w:lang w:eastAsia="sv-SE"/>
        </w:rPr>
        <w:t xml:space="preserve">NFX invites Futures Participants, Authorized Customers, and Customers to apply for recognition under the QLP program (Recognized Quote Liquidity Providers, or RQLPs).  </w:t>
      </w:r>
      <w:r w:rsidRPr="00A92D38">
        <w:rPr>
          <w:rFonts w:ascii="Calibri" w:eastAsia="Arial" w:hAnsi="Calibri" w:cs="Times New Roman"/>
          <w:b/>
          <w:color w:val="009FC3"/>
          <w:spacing w:val="-4"/>
          <w:szCs w:val="20"/>
          <w:lang w:eastAsia="sv-SE"/>
        </w:rPr>
        <w:br/>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 xml:space="preserve">RQLP Requirements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RQLPs must be NFX Futures Participants, NFX Futures Participant’s Authorized Customer, or an NFX Futures Participant’s Customer capable of responding to RFQs on the commencement date of the program.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spacing w:val="-4"/>
          <w:sz w:val="20"/>
          <w:szCs w:val="20"/>
        </w:rPr>
      </w:pPr>
      <w:r w:rsidRPr="00A92D38">
        <w:rPr>
          <w:rFonts w:ascii="Calibri" w:eastAsia="Arial" w:hAnsi="Calibri" w:cs="Times New Roman"/>
          <w:color w:val="000000"/>
          <w:spacing w:val="-4"/>
          <w:sz w:val="20"/>
          <w:szCs w:val="20"/>
        </w:rPr>
        <w:t xml:space="preserve">RQLPs will be able to use all functionality in the NFX Trading System, including Quotes, Orders Mass Quotes, Mass Quote Protection (MQP) and Self-Match Prevention functionality.  An explanatory reference guide for these key concepts and services provided by NFX may be found here: </w:t>
      </w:r>
      <w:hyperlink r:id="rId16" w:history="1">
        <w:r w:rsidRPr="00A92D38">
          <w:rPr>
            <w:rFonts w:ascii="Calibri" w:eastAsia="Arial" w:hAnsi="Calibri" w:cs="Times New Roman"/>
            <w:spacing w:val="-4"/>
            <w:sz w:val="20"/>
            <w:szCs w:val="20"/>
            <w:u w:val="single"/>
          </w:rPr>
          <w:t>business.nasdaq.com/futures</w:t>
        </w:r>
      </w:hyperlink>
      <w:r w:rsidRPr="00A92D38">
        <w:rPr>
          <w:rFonts w:ascii="Calibri" w:eastAsia="Arial" w:hAnsi="Calibri" w:cs="Times New Roman"/>
          <w:spacing w:val="-4"/>
          <w:sz w:val="20"/>
          <w:szCs w:val="20"/>
        </w:rPr>
        <w:t>.</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lastRenderedPageBreak/>
        <w:t>RQLP Benefits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The </w:t>
      </w:r>
      <w:r w:rsidRPr="00A92D38">
        <w:rPr>
          <w:rFonts w:ascii="Calibri" w:eastAsia="Arial" w:hAnsi="Calibri" w:cs="Times New Roman"/>
          <w:spacing w:val="-4"/>
          <w:sz w:val="20"/>
          <w:szCs w:val="20"/>
        </w:rPr>
        <w:t>Exchange will assess Block Fees for the QLP Program via the schedule below</w:t>
      </w:r>
      <w:r w:rsidRPr="00A92D38">
        <w:rPr>
          <w:rFonts w:ascii="Calibri" w:eastAsia="Arial" w:hAnsi="Calibri" w:cs="Times New Roman"/>
          <w:color w:val="000000"/>
          <w:spacing w:val="-4"/>
          <w:sz w:val="20"/>
          <w:szCs w:val="20"/>
        </w:rPr>
        <w:t>.  The fee schedule is based on monthly Average Daily Volumes (ADVs) for each calendar month and will be calculated by dividing each RQLP’s total volume for the calendar month by the number trading days in the calendar month.  All QLP Screen Fees will be assessed via the Standard Screen Fees on the Nasdaq Futures Fee Schedule which is available via the link below:</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 </w:t>
      </w:r>
      <w:hyperlink r:id="rId17" w:history="1">
        <w:r w:rsidRPr="00A92D38">
          <w:rPr>
            <w:rFonts w:ascii="Calibri" w:eastAsia="Arial" w:hAnsi="Calibri" w:cs="Times New Roman"/>
            <w:color w:val="0000FF"/>
            <w:spacing w:val="-4"/>
            <w:sz w:val="20"/>
            <w:szCs w:val="20"/>
            <w:u w:val="single"/>
          </w:rPr>
          <w:t>http://nasdaqphlx.cchwallstreet.com/NASDAQPHLXTools/PlatformViewer.asp?selectednode=chp_1_2_3&amp;manual=%2Fnasdaqomxphlx%2Fnfx%2Fphlx-brdtrade-rules%2F</w:t>
        </w:r>
      </w:hyperlink>
      <w:r w:rsidRPr="00A92D38">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 QLP Block Fee Schedule</w:t>
      </w:r>
    </w:p>
    <w:p w:rsidR="00A92D38" w:rsidRPr="00BB0DE3" w:rsidRDefault="00A92D38" w:rsidP="00A92D38">
      <w:pPr>
        <w:spacing w:after="0" w:line="260" w:lineRule="atLeast"/>
        <w:ind w:left="-720"/>
        <w:jc w:val="both"/>
        <w:rPr>
          <w:rFonts w:ascii="Calibri" w:eastAsia="Arial" w:hAnsi="Calibri" w:cs="Times New Roman"/>
          <w:color w:val="000000"/>
          <w:spacing w:val="-4"/>
          <w:sz w:val="20"/>
          <w:szCs w:val="20"/>
        </w:rPr>
      </w:pPr>
      <w:r w:rsidRPr="00BB0DE3">
        <w:rPr>
          <w:rFonts w:ascii="Calibri" w:eastAsia="Arial" w:hAnsi="Calibri" w:cs="Times New Roman"/>
          <w:color w:val="000000"/>
          <w:spacing w:val="-4"/>
          <w:sz w:val="20"/>
          <w:szCs w:val="20"/>
        </w:rPr>
        <w:t>Tier 1:</w:t>
      </w:r>
      <w:r w:rsidRPr="00BB0DE3">
        <w:rPr>
          <w:rFonts w:ascii="Calibri" w:eastAsia="Arial" w:hAnsi="Calibri" w:cs="Times New Roman"/>
          <w:color w:val="000000"/>
          <w:spacing w:val="-4"/>
          <w:sz w:val="20"/>
          <w:szCs w:val="20"/>
        </w:rPr>
        <w:tab/>
        <w:t>4,000&lt;             = $0.50</w:t>
      </w:r>
    </w:p>
    <w:p w:rsidR="00A92D38" w:rsidRPr="00BB0DE3" w:rsidRDefault="00A92D38" w:rsidP="00A92D38">
      <w:pPr>
        <w:spacing w:after="0" w:line="260" w:lineRule="atLeast"/>
        <w:ind w:left="-720"/>
        <w:jc w:val="both"/>
        <w:rPr>
          <w:rFonts w:ascii="Calibri" w:eastAsia="Arial" w:hAnsi="Calibri" w:cs="Times New Roman"/>
          <w:color w:val="000000"/>
          <w:spacing w:val="-4"/>
          <w:sz w:val="20"/>
          <w:szCs w:val="20"/>
        </w:rPr>
      </w:pPr>
      <w:r w:rsidRPr="00BB0DE3">
        <w:rPr>
          <w:rFonts w:ascii="Calibri" w:eastAsia="Arial" w:hAnsi="Calibri" w:cs="Times New Roman"/>
          <w:color w:val="000000"/>
          <w:spacing w:val="-4"/>
          <w:sz w:val="20"/>
          <w:szCs w:val="20"/>
        </w:rPr>
        <w:t>Tier 2:</w:t>
      </w:r>
      <w:r w:rsidRPr="00BB0DE3">
        <w:rPr>
          <w:rFonts w:ascii="Calibri" w:eastAsia="Arial" w:hAnsi="Calibri" w:cs="Times New Roman"/>
          <w:color w:val="000000"/>
          <w:spacing w:val="-4"/>
          <w:sz w:val="20"/>
          <w:szCs w:val="20"/>
        </w:rPr>
        <w:tab/>
        <w:t>2,000 – 3,999 = $0.60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ADV below Tier </w:t>
      </w:r>
      <w:r w:rsidRPr="006E256D">
        <w:rPr>
          <w:rFonts w:ascii="Calibri" w:eastAsia="Arial" w:hAnsi="Calibri" w:cs="Times New Roman"/>
          <w:color w:val="000000"/>
          <w:spacing w:val="-4"/>
          <w:sz w:val="20"/>
          <w:szCs w:val="20"/>
        </w:rPr>
        <w:t>2</w:t>
      </w:r>
      <w:r w:rsidRPr="00A92D38">
        <w:rPr>
          <w:rFonts w:ascii="Calibri" w:eastAsia="Arial" w:hAnsi="Calibri" w:cs="Times New Roman"/>
          <w:color w:val="000000"/>
          <w:spacing w:val="-4"/>
          <w:sz w:val="20"/>
          <w:szCs w:val="20"/>
        </w:rPr>
        <w:t xml:space="preserve"> will be charged at normal rates according to the Fee Schedule.</w:t>
      </w:r>
    </w:p>
    <w:p w:rsidR="00A92D38" w:rsidRPr="00A92D38" w:rsidRDefault="00A92D38" w:rsidP="00A92D38">
      <w:pPr>
        <w:spacing w:after="0" w:line="260" w:lineRule="atLeast"/>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All QLP Power fees will be charged per the rates below:</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 xml:space="preserve">                                                                Screen Fee</w:t>
      </w:r>
      <w:r w:rsidRPr="00A92D38">
        <w:rPr>
          <w:rFonts w:ascii="Calibri" w:eastAsia="Arial" w:hAnsi="Calibri" w:cs="Times New Roman"/>
          <w:color w:val="000000"/>
          <w:spacing w:val="-4"/>
          <w:sz w:val="20"/>
          <w:szCs w:val="20"/>
        </w:rPr>
        <w:tab/>
        <w:t xml:space="preserve">             Block Fee</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50MW (800 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25MW (400 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$0.80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$0.80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5MW (80MWh)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$0.16</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$0.16</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1MW (16MWh)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Off-Peak – 50MWh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$0.10</w:t>
      </w:r>
    </w:p>
    <w:p w:rsidR="00A92D38" w:rsidRPr="00EC6305" w:rsidRDefault="00A92D38" w:rsidP="00A92D38">
      <w:pPr>
        <w:spacing w:after="0" w:line="260" w:lineRule="atLeast"/>
        <w:ind w:left="-720"/>
        <w:jc w:val="both"/>
        <w:rPr>
          <w:rFonts w:ascii="Calibri" w:eastAsia="Arial" w:hAnsi="Calibri" w:cs="Times New Roman"/>
          <w:color w:val="000000"/>
          <w:spacing w:val="-4"/>
          <w:sz w:val="20"/>
          <w:szCs w:val="20"/>
          <w:u w:val="single"/>
        </w:rPr>
      </w:pPr>
      <w:r w:rsidRPr="00A92D38">
        <w:rPr>
          <w:rFonts w:ascii="Calibri" w:eastAsia="Arial" w:hAnsi="Calibri" w:cs="Times New Roman"/>
          <w:color w:val="000000"/>
          <w:spacing w:val="-4"/>
          <w:sz w:val="20"/>
          <w:szCs w:val="20"/>
        </w:rPr>
        <w:t>Off-Peak – 25MWh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w:t>
      </w:r>
      <w:r w:rsidR="00376E19" w:rsidRPr="00376E19">
        <w:rPr>
          <w:rFonts w:ascii="Calibri" w:eastAsia="Arial" w:hAnsi="Calibri" w:cs="Times New Roman"/>
          <w:color w:val="000000"/>
          <w:spacing w:val="-4"/>
          <w:sz w:val="20"/>
          <w:szCs w:val="20"/>
          <w:u w:val="single"/>
        </w:rPr>
        <w:t>5</w:t>
      </w:r>
      <w:r w:rsidRPr="00376E19">
        <w:rPr>
          <w:rFonts w:ascii="Calibri" w:eastAsia="Arial" w:hAnsi="Calibri" w:cs="Times New Roman"/>
          <w:strike/>
          <w:color w:val="000000"/>
          <w:spacing w:val="-4"/>
          <w:sz w:val="20"/>
          <w:szCs w:val="20"/>
        </w:rPr>
        <w:t>3</w:t>
      </w:r>
      <w:r w:rsidR="00EC6305" w:rsidRPr="00376E19">
        <w:rPr>
          <w:rFonts w:ascii="Calibri" w:eastAsia="Arial" w:hAnsi="Calibri" w:cs="Times New Roman"/>
          <w:strike/>
          <w:color w:val="000000"/>
          <w:spacing w:val="-4"/>
          <w:sz w:val="20"/>
          <w:szCs w:val="20"/>
        </w:rPr>
        <w:t>**</w:t>
      </w:r>
      <w:r w:rsidRPr="00A92D38">
        <w:rPr>
          <w:rFonts w:ascii="Calibri" w:eastAsia="Arial" w:hAnsi="Calibri" w:cs="Times New Roman"/>
          <w:color w:val="000000"/>
          <w:spacing w:val="-4"/>
          <w:sz w:val="20"/>
          <w:szCs w:val="20"/>
        </w:rPr>
        <w:tab/>
        <w:t>$</w:t>
      </w:r>
      <w:r w:rsidR="00376E19" w:rsidRPr="00A92D38">
        <w:rPr>
          <w:rFonts w:ascii="Calibri" w:eastAsia="Arial" w:hAnsi="Calibri" w:cs="Times New Roman"/>
          <w:color w:val="000000"/>
          <w:spacing w:val="-4"/>
          <w:sz w:val="20"/>
          <w:szCs w:val="20"/>
        </w:rPr>
        <w:t>0.0</w:t>
      </w:r>
      <w:r w:rsidR="00376E19" w:rsidRPr="00376E19">
        <w:rPr>
          <w:rFonts w:ascii="Calibri" w:eastAsia="Arial" w:hAnsi="Calibri" w:cs="Times New Roman"/>
          <w:color w:val="000000"/>
          <w:spacing w:val="-4"/>
          <w:sz w:val="20"/>
          <w:szCs w:val="20"/>
          <w:u w:val="single"/>
        </w:rPr>
        <w:t>5</w:t>
      </w:r>
      <w:r w:rsidR="00376E19" w:rsidRPr="00376E19">
        <w:rPr>
          <w:rFonts w:ascii="Calibri" w:eastAsia="Arial" w:hAnsi="Calibri" w:cs="Times New Roman"/>
          <w:strike/>
          <w:color w:val="000000"/>
          <w:spacing w:val="-4"/>
          <w:sz w:val="20"/>
          <w:szCs w:val="20"/>
        </w:rPr>
        <w:t>3**</w:t>
      </w:r>
    </w:p>
    <w:p w:rsidR="00EC6305" w:rsidRPr="00376E19" w:rsidRDefault="00EC6305" w:rsidP="00EC6305">
      <w:pPr>
        <w:spacing w:after="0" w:line="260" w:lineRule="atLeast"/>
        <w:ind w:left="-720"/>
        <w:jc w:val="both"/>
        <w:rPr>
          <w:rFonts w:ascii="Calibri" w:eastAsia="Arial" w:hAnsi="Calibri" w:cs="Times New Roman"/>
          <w:color w:val="000000"/>
          <w:spacing w:val="-4"/>
          <w:sz w:val="20"/>
          <w:szCs w:val="20"/>
        </w:rPr>
      </w:pPr>
      <w:r w:rsidRPr="00376E19">
        <w:rPr>
          <w:rFonts w:ascii="Calibri" w:eastAsia="Arial" w:hAnsi="Calibri" w:cs="Times New Roman"/>
          <w:color w:val="000000"/>
          <w:spacing w:val="-4"/>
          <w:sz w:val="20"/>
          <w:szCs w:val="20"/>
        </w:rPr>
        <w:t>Off-Peak – 10MWh</w:t>
      </w:r>
      <w:r w:rsidRPr="00376E19">
        <w:rPr>
          <w:rFonts w:ascii="Calibri" w:eastAsia="Arial" w:hAnsi="Calibri" w:cs="Times New Roman"/>
          <w:color w:val="000000"/>
          <w:spacing w:val="-4"/>
          <w:sz w:val="20"/>
          <w:szCs w:val="20"/>
        </w:rPr>
        <w:tab/>
      </w:r>
      <w:r w:rsidRPr="00376E19">
        <w:rPr>
          <w:rFonts w:ascii="Calibri" w:eastAsia="Arial" w:hAnsi="Calibri" w:cs="Times New Roman"/>
          <w:color w:val="000000"/>
          <w:spacing w:val="-4"/>
          <w:sz w:val="20"/>
          <w:szCs w:val="20"/>
        </w:rPr>
        <w:tab/>
        <w:t>$0.02</w:t>
      </w:r>
      <w:r w:rsidRPr="00376E19">
        <w:rPr>
          <w:rFonts w:ascii="Calibri" w:eastAsia="Arial" w:hAnsi="Calibri" w:cs="Times New Roman"/>
          <w:color w:val="000000"/>
          <w:spacing w:val="-4"/>
          <w:sz w:val="20"/>
          <w:szCs w:val="20"/>
        </w:rPr>
        <w:tab/>
      </w:r>
      <w:r w:rsidRPr="00376E19">
        <w:rPr>
          <w:rFonts w:ascii="Calibri" w:eastAsia="Arial" w:hAnsi="Calibri" w:cs="Times New Roman"/>
          <w:color w:val="000000"/>
          <w:spacing w:val="-4"/>
          <w:sz w:val="20"/>
          <w:szCs w:val="20"/>
        </w:rPr>
        <w:tab/>
        <w:t>$0.02</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Off-Peak -    5MWh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Off-Peak -    1MWh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PJOQ Options</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PMQ Options</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$0.75</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$0.75</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All QLP Dry Freight Fees will be charged via the rates below:</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 xml:space="preserve">                                                                Screen Fee</w:t>
      </w:r>
      <w:r w:rsidRPr="00A92D38">
        <w:rPr>
          <w:rFonts w:ascii="Calibri" w:eastAsia="Arial" w:hAnsi="Calibri" w:cs="Times New Roman"/>
          <w:color w:val="000000"/>
          <w:spacing w:val="-4"/>
          <w:sz w:val="20"/>
          <w:szCs w:val="20"/>
        </w:rPr>
        <w:tab/>
        <w:t xml:space="preserve">             Block Fee</w:t>
      </w:r>
      <w:r w:rsidRPr="00A92D38" w:rsidDel="001A54DE">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Dry Freight Futures and Options</w:t>
      </w:r>
      <w:r w:rsidRPr="00A92D38">
        <w:rPr>
          <w:rFonts w:ascii="Calibri" w:eastAsia="Arial" w:hAnsi="Calibri" w:cs="Times New Roman"/>
          <w:color w:val="000000"/>
          <w:spacing w:val="-4"/>
          <w:sz w:val="20"/>
          <w:szCs w:val="20"/>
        </w:rPr>
        <w:tab/>
        <w:t>$1.95</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$1.95</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BB0DE3" w:rsidRDefault="00A92D38" w:rsidP="00A92D38">
      <w:pPr>
        <w:spacing w:after="0" w:line="240" w:lineRule="auto"/>
        <w:ind w:left="-720"/>
        <w:jc w:val="both"/>
        <w:rPr>
          <w:rFonts w:ascii="Calibri" w:eastAsia="Arial" w:hAnsi="Calibri" w:cs="Times New Roman"/>
          <w:color w:val="000000"/>
          <w:spacing w:val="-4"/>
          <w:sz w:val="20"/>
          <w:szCs w:val="20"/>
          <w:lang w:eastAsia="sv-SE"/>
        </w:rPr>
      </w:pPr>
      <w:r w:rsidRPr="00BB0DE3">
        <w:rPr>
          <w:rFonts w:ascii="Calibri" w:eastAsia="Arial" w:hAnsi="Calibri" w:cs="Times New Roman"/>
          <w:color w:val="000000"/>
          <w:spacing w:val="-4"/>
          <w:sz w:val="20"/>
          <w:szCs w:val="20"/>
          <w:lang w:eastAsia="sv-SE"/>
        </w:rPr>
        <w:t>All QLP Argus Gulf Coast Crude Fees will be charged via the rates below:</w:t>
      </w:r>
    </w:p>
    <w:p w:rsidR="00A92D38" w:rsidRPr="00BB0DE3" w:rsidRDefault="00A92D38" w:rsidP="00A92D38">
      <w:pPr>
        <w:spacing w:after="0" w:line="240" w:lineRule="auto"/>
        <w:ind w:left="-720"/>
        <w:jc w:val="both"/>
        <w:rPr>
          <w:rFonts w:ascii="Calibri" w:eastAsia="Arial" w:hAnsi="Calibri" w:cs="Times New Roman"/>
          <w:color w:val="000000"/>
          <w:spacing w:val="-4"/>
          <w:sz w:val="20"/>
          <w:szCs w:val="20"/>
          <w:lang w:eastAsia="sv-SE"/>
        </w:rPr>
      </w:pPr>
    </w:p>
    <w:p w:rsidR="00A92D38" w:rsidRPr="00BB0DE3" w:rsidRDefault="00A92D38" w:rsidP="00A92D38">
      <w:pPr>
        <w:spacing w:after="0" w:line="240" w:lineRule="auto"/>
        <w:ind w:left="1440" w:firstLine="720"/>
        <w:jc w:val="both"/>
        <w:rPr>
          <w:rFonts w:ascii="Calibri" w:eastAsia="Arial" w:hAnsi="Calibri" w:cs="Times New Roman"/>
          <w:color w:val="000000"/>
          <w:spacing w:val="-4"/>
          <w:sz w:val="20"/>
          <w:szCs w:val="20"/>
          <w:lang w:eastAsia="sv-SE"/>
        </w:rPr>
      </w:pPr>
      <w:r w:rsidRPr="00BB0DE3">
        <w:rPr>
          <w:rFonts w:ascii="Calibri" w:eastAsia="Arial" w:hAnsi="Calibri" w:cs="Times New Roman"/>
          <w:color w:val="000000"/>
          <w:spacing w:val="-4"/>
          <w:sz w:val="20"/>
          <w:szCs w:val="20"/>
          <w:lang w:eastAsia="sv-SE"/>
        </w:rPr>
        <w:t xml:space="preserve"> Screen Fee</w:t>
      </w:r>
      <w:r w:rsidRPr="00BB0DE3">
        <w:rPr>
          <w:rFonts w:ascii="Calibri" w:eastAsia="Arial" w:hAnsi="Calibri" w:cs="Times New Roman"/>
          <w:color w:val="000000"/>
          <w:spacing w:val="-4"/>
          <w:sz w:val="20"/>
          <w:szCs w:val="20"/>
          <w:lang w:eastAsia="sv-SE"/>
        </w:rPr>
        <w:tab/>
        <w:t>Block Fee</w:t>
      </w:r>
      <w:r w:rsidRPr="00BB0DE3" w:rsidDel="001A54DE">
        <w:rPr>
          <w:rFonts w:ascii="Calibri" w:eastAsia="Arial" w:hAnsi="Calibri" w:cs="Times New Roman"/>
          <w:color w:val="000000"/>
          <w:spacing w:val="-4"/>
          <w:sz w:val="20"/>
          <w:szCs w:val="20"/>
          <w:lang w:eastAsia="sv-SE"/>
        </w:rPr>
        <w:t xml:space="preserve"> </w:t>
      </w:r>
    </w:p>
    <w:p w:rsidR="00A92D38" w:rsidRDefault="00A92D38" w:rsidP="00A92D38">
      <w:pPr>
        <w:spacing w:after="0" w:line="240" w:lineRule="auto"/>
        <w:ind w:left="-720"/>
        <w:jc w:val="both"/>
        <w:rPr>
          <w:rFonts w:ascii="Calibri" w:eastAsia="Arial" w:hAnsi="Calibri" w:cs="Times New Roman"/>
          <w:color w:val="000000"/>
          <w:spacing w:val="-4"/>
          <w:sz w:val="20"/>
          <w:szCs w:val="20"/>
          <w:lang w:eastAsia="sv-SE"/>
        </w:rPr>
      </w:pPr>
      <w:r w:rsidRPr="00BB0DE3">
        <w:rPr>
          <w:rFonts w:ascii="Calibri" w:eastAsia="Arial" w:hAnsi="Calibri" w:cs="Times New Roman"/>
          <w:color w:val="000000"/>
          <w:spacing w:val="-4"/>
          <w:sz w:val="20"/>
          <w:szCs w:val="20"/>
          <w:lang w:eastAsia="sv-SE"/>
        </w:rPr>
        <w:t>Argus Gulf Coast Crude Futures*</w:t>
      </w:r>
      <w:r w:rsidRPr="00BB0DE3">
        <w:rPr>
          <w:rFonts w:ascii="Calibri" w:eastAsia="Arial" w:hAnsi="Calibri" w:cs="Times New Roman"/>
          <w:color w:val="000000"/>
          <w:spacing w:val="-4"/>
          <w:sz w:val="20"/>
          <w:szCs w:val="20"/>
          <w:lang w:eastAsia="sv-SE"/>
        </w:rPr>
        <w:tab/>
        <w:t>$0.50</w:t>
      </w:r>
      <w:r w:rsidRPr="00BB0DE3">
        <w:rPr>
          <w:rFonts w:ascii="Calibri" w:eastAsia="Arial" w:hAnsi="Calibri" w:cs="Times New Roman"/>
          <w:color w:val="000000"/>
          <w:spacing w:val="-4"/>
          <w:sz w:val="20"/>
          <w:szCs w:val="20"/>
          <w:lang w:eastAsia="sv-SE"/>
        </w:rPr>
        <w:tab/>
      </w:r>
      <w:r w:rsidRPr="00BB0DE3">
        <w:rPr>
          <w:rFonts w:ascii="Calibri" w:eastAsia="Arial" w:hAnsi="Calibri" w:cs="Times New Roman"/>
          <w:color w:val="000000"/>
          <w:spacing w:val="-4"/>
          <w:sz w:val="20"/>
          <w:szCs w:val="20"/>
          <w:lang w:eastAsia="sv-SE"/>
        </w:rPr>
        <w:tab/>
        <w:t>$0.50</w:t>
      </w:r>
    </w:p>
    <w:p w:rsidR="006E256D" w:rsidRDefault="006E256D" w:rsidP="00A92D38">
      <w:pPr>
        <w:spacing w:after="0" w:line="240" w:lineRule="auto"/>
        <w:ind w:left="-720"/>
        <w:jc w:val="both"/>
        <w:rPr>
          <w:rFonts w:ascii="Calibri" w:eastAsia="Arial" w:hAnsi="Calibri" w:cs="Times New Roman"/>
          <w:color w:val="000000"/>
          <w:spacing w:val="-4"/>
          <w:sz w:val="20"/>
          <w:szCs w:val="20"/>
          <w:lang w:eastAsia="sv-SE"/>
        </w:rPr>
      </w:pPr>
    </w:p>
    <w:p w:rsidR="006E256D" w:rsidRDefault="006E256D" w:rsidP="00A92D38">
      <w:pPr>
        <w:spacing w:after="0" w:line="240" w:lineRule="auto"/>
        <w:ind w:left="-720"/>
        <w:jc w:val="both"/>
        <w:rPr>
          <w:rFonts w:ascii="Calibri" w:eastAsia="Arial" w:hAnsi="Calibri" w:cs="Times New Roman"/>
          <w:color w:val="0000FF"/>
          <w:spacing w:val="-4"/>
          <w:sz w:val="16"/>
          <w:szCs w:val="16"/>
          <w:u w:val="single"/>
        </w:rPr>
      </w:pPr>
      <w:r w:rsidRPr="00EC6305">
        <w:rPr>
          <w:rFonts w:ascii="Calibri" w:eastAsia="Arial" w:hAnsi="Calibri" w:cs="Times New Roman"/>
          <w:color w:val="000000"/>
          <w:spacing w:val="-4"/>
          <w:sz w:val="16"/>
          <w:szCs w:val="16"/>
          <w:lang w:eastAsia="sv-SE"/>
        </w:rPr>
        <w:t xml:space="preserve">*In certain limited circumstances a RQLP may be able to qualify for a monthly stipend in support of these new products.  All such enquiries should be directed to </w:t>
      </w:r>
      <w:r w:rsidRPr="00EC6305">
        <w:rPr>
          <w:rFonts w:ascii="Calibri" w:eastAsia="Arial" w:hAnsi="Calibri" w:cs="Times New Roman"/>
          <w:color w:val="000000"/>
          <w:spacing w:val="-4"/>
          <w:sz w:val="16"/>
          <w:szCs w:val="16"/>
        </w:rPr>
        <w:t xml:space="preserve">Steve </w:t>
      </w:r>
      <w:proofErr w:type="spellStart"/>
      <w:r w:rsidRPr="00EC6305">
        <w:rPr>
          <w:rFonts w:ascii="Calibri" w:eastAsia="Arial" w:hAnsi="Calibri" w:cs="Times New Roman"/>
          <w:color w:val="000000"/>
          <w:spacing w:val="-4"/>
          <w:sz w:val="16"/>
          <w:szCs w:val="16"/>
        </w:rPr>
        <w:t>Sladoje</w:t>
      </w:r>
      <w:proofErr w:type="spellEnd"/>
      <w:r w:rsidRPr="00EC6305">
        <w:rPr>
          <w:rFonts w:ascii="Calibri" w:eastAsia="Arial" w:hAnsi="Calibri" w:cs="Times New Roman"/>
          <w:color w:val="000000"/>
          <w:spacing w:val="-4"/>
          <w:sz w:val="16"/>
          <w:szCs w:val="16"/>
        </w:rPr>
        <w:t xml:space="preserve"> at </w:t>
      </w:r>
      <w:hyperlink r:id="rId18" w:history="1">
        <w:r w:rsidRPr="00EC6305">
          <w:rPr>
            <w:rFonts w:ascii="Calibri" w:eastAsia="Arial" w:hAnsi="Calibri" w:cs="Times New Roman"/>
            <w:color w:val="0000FF"/>
            <w:spacing w:val="-4"/>
            <w:sz w:val="16"/>
            <w:szCs w:val="16"/>
          </w:rPr>
          <w:t>steve.sladoje@nasdaq.com</w:t>
        </w:r>
      </w:hyperlink>
      <w:r w:rsidRPr="00EC6305">
        <w:rPr>
          <w:rFonts w:ascii="Calibri" w:eastAsia="Arial" w:hAnsi="Calibri" w:cs="Times New Roman"/>
          <w:color w:val="0000FF"/>
          <w:spacing w:val="-4"/>
          <w:sz w:val="16"/>
          <w:szCs w:val="16"/>
        </w:rPr>
        <w:t>.</w:t>
      </w:r>
    </w:p>
    <w:p w:rsidR="00EC6305" w:rsidRPr="00376E19" w:rsidRDefault="00EC6305" w:rsidP="00A92D38">
      <w:pPr>
        <w:spacing w:after="0" w:line="240" w:lineRule="auto"/>
        <w:ind w:left="-720"/>
        <w:jc w:val="both"/>
        <w:rPr>
          <w:rFonts w:ascii="Calibri" w:eastAsia="Arial" w:hAnsi="Calibri" w:cs="Times New Roman"/>
          <w:strike/>
          <w:spacing w:val="-4"/>
          <w:sz w:val="16"/>
          <w:szCs w:val="16"/>
          <w:lang w:eastAsia="sv-SE"/>
        </w:rPr>
      </w:pPr>
      <w:r w:rsidRPr="00376E19">
        <w:rPr>
          <w:rFonts w:ascii="Calibri" w:eastAsia="Arial" w:hAnsi="Calibri" w:cs="Times New Roman"/>
          <w:strike/>
          <w:spacing w:val="-4"/>
          <w:sz w:val="16"/>
          <w:szCs w:val="16"/>
        </w:rPr>
        <w:t xml:space="preserve">** Effective May 1, 2019, the fee will change to $0.05 for </w:t>
      </w:r>
      <w:r w:rsidR="00F03A71" w:rsidRPr="00376E19">
        <w:rPr>
          <w:rFonts w:ascii="Calibri" w:eastAsia="Arial" w:hAnsi="Calibri" w:cs="Times New Roman"/>
          <w:strike/>
          <w:spacing w:val="-4"/>
          <w:sz w:val="16"/>
          <w:szCs w:val="16"/>
        </w:rPr>
        <w:t>S</w:t>
      </w:r>
      <w:r w:rsidRPr="00376E19">
        <w:rPr>
          <w:rFonts w:ascii="Calibri" w:eastAsia="Arial" w:hAnsi="Calibri" w:cs="Times New Roman"/>
          <w:strike/>
          <w:spacing w:val="-4"/>
          <w:sz w:val="16"/>
          <w:szCs w:val="16"/>
        </w:rPr>
        <w:t xml:space="preserve">creen </w:t>
      </w:r>
      <w:r w:rsidR="00F03A71" w:rsidRPr="00376E19">
        <w:rPr>
          <w:rFonts w:ascii="Calibri" w:eastAsia="Arial" w:hAnsi="Calibri" w:cs="Times New Roman"/>
          <w:strike/>
          <w:spacing w:val="-4"/>
          <w:sz w:val="16"/>
          <w:szCs w:val="16"/>
        </w:rPr>
        <w:t>and</w:t>
      </w:r>
      <w:r w:rsidRPr="00376E19">
        <w:rPr>
          <w:rFonts w:ascii="Calibri" w:eastAsia="Arial" w:hAnsi="Calibri" w:cs="Times New Roman"/>
          <w:strike/>
          <w:spacing w:val="-4"/>
          <w:sz w:val="16"/>
          <w:szCs w:val="16"/>
        </w:rPr>
        <w:t xml:space="preserve"> </w:t>
      </w:r>
      <w:r w:rsidR="00F03A71" w:rsidRPr="00376E19">
        <w:rPr>
          <w:rFonts w:ascii="Calibri" w:eastAsia="Arial" w:hAnsi="Calibri" w:cs="Times New Roman"/>
          <w:strike/>
          <w:spacing w:val="-4"/>
          <w:sz w:val="16"/>
          <w:szCs w:val="16"/>
        </w:rPr>
        <w:t>B</w:t>
      </w:r>
      <w:r w:rsidRPr="00376E19">
        <w:rPr>
          <w:rFonts w:ascii="Calibri" w:eastAsia="Arial" w:hAnsi="Calibri" w:cs="Times New Roman"/>
          <w:strike/>
          <w:spacing w:val="-4"/>
          <w:sz w:val="16"/>
          <w:szCs w:val="16"/>
        </w:rPr>
        <w:t>lock.</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Supervision of RQLP Performance</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lastRenderedPageBreak/>
        <w:t xml:space="preserve">NFX reserves the right to suspend or terminate the benefits under this QLP Program with immediate effect if the RQLP is not operating if the RQLP fails to respond regularly to RFQs.  </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RQLP Selection Process and Appointment</w:t>
      </w:r>
    </w:p>
    <w:p w:rsidR="00A92D38" w:rsidRPr="00A92D38" w:rsidRDefault="00A92D38" w:rsidP="00A92D38">
      <w:pPr>
        <w:spacing w:after="0" w:line="260" w:lineRule="atLeast"/>
        <w:ind w:left="-720"/>
        <w:jc w:val="both"/>
        <w:rPr>
          <w:rFonts w:ascii="Calibri" w:eastAsia="Arial" w:hAnsi="Calibri" w:cs="Times New Roman"/>
          <w:b/>
          <w:color w:val="000000"/>
          <w:spacing w:val="-4"/>
          <w:sz w:val="20"/>
          <w:szCs w:val="20"/>
        </w:rPr>
      </w:pPr>
      <w:r w:rsidRPr="00A92D38">
        <w:rPr>
          <w:rFonts w:ascii="Calibri" w:eastAsia="Arial" w:hAnsi="Calibri" w:cs="Times New Roman"/>
          <w:b/>
          <w:color w:val="000000"/>
          <w:spacing w:val="-4"/>
          <w:sz w:val="20"/>
          <w:szCs w:val="20"/>
        </w:rPr>
        <w:t>Invitation</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Futures Participants, Authorized Customers, and Customers are invited to contact Steve </w:t>
      </w:r>
      <w:proofErr w:type="spellStart"/>
      <w:r w:rsidRPr="00A92D38">
        <w:rPr>
          <w:rFonts w:ascii="Calibri" w:eastAsia="Arial" w:hAnsi="Calibri" w:cs="Times New Roman"/>
          <w:color w:val="000000"/>
          <w:spacing w:val="-4"/>
          <w:sz w:val="20"/>
          <w:szCs w:val="20"/>
        </w:rPr>
        <w:t>Sladoje</w:t>
      </w:r>
      <w:proofErr w:type="spellEnd"/>
      <w:r w:rsidRPr="00A92D38">
        <w:rPr>
          <w:rFonts w:ascii="Calibri" w:eastAsia="Arial" w:hAnsi="Calibri" w:cs="Times New Roman"/>
          <w:color w:val="000000"/>
          <w:spacing w:val="-4"/>
          <w:sz w:val="20"/>
          <w:szCs w:val="20"/>
        </w:rPr>
        <w:t xml:space="preserve"> at </w:t>
      </w:r>
      <w:hyperlink r:id="rId19" w:history="1">
        <w:r w:rsidRPr="00A92D38">
          <w:rPr>
            <w:rFonts w:ascii="Calibri" w:eastAsia="Arial" w:hAnsi="Calibri" w:cs="Times New Roman"/>
            <w:color w:val="0000FF"/>
            <w:spacing w:val="-4"/>
            <w:sz w:val="20"/>
            <w:szCs w:val="20"/>
            <w:u w:val="single"/>
          </w:rPr>
          <w:t>steve.sladoje@nasdaq.com</w:t>
        </w:r>
      </w:hyperlink>
      <w:r w:rsidRPr="00A92D38">
        <w:rPr>
          <w:rFonts w:ascii="Calibri" w:eastAsia="Arial" w:hAnsi="Calibri" w:cs="Times New Roman"/>
          <w:spacing w:val="-4"/>
          <w:sz w:val="20"/>
          <w:szCs w:val="20"/>
        </w:rPr>
        <w:t xml:space="preserve"> to register their interest in participating in the QLP Program</w:t>
      </w:r>
      <w:r w:rsidRPr="00A92D38">
        <w:rPr>
          <w:rFonts w:ascii="Calibri" w:eastAsia="Arial" w:hAnsi="Calibri" w:cs="Times New Roman"/>
          <w:color w:val="000000"/>
          <w:spacing w:val="-4"/>
          <w:sz w:val="20"/>
          <w:szCs w:val="20"/>
        </w:rPr>
        <w:t xml:space="preserve">.  The communication should include all relevant accounts that the QLP will use to transact from. </w:t>
      </w:r>
    </w:p>
    <w:p w:rsidR="00A92D38" w:rsidRPr="00A92D38" w:rsidRDefault="00A92D38" w:rsidP="00A92D38">
      <w:pPr>
        <w:spacing w:after="0" w:line="260" w:lineRule="atLeast"/>
        <w:ind w:left="-720"/>
        <w:jc w:val="both"/>
        <w:rPr>
          <w:rFonts w:ascii="Calibri" w:eastAsia="Arial" w:hAnsi="Calibri" w:cs="Times New Roman"/>
          <w:b/>
          <w:color w:val="000000"/>
          <w:spacing w:val="-4"/>
          <w:sz w:val="20"/>
          <w:szCs w:val="20"/>
        </w:rPr>
      </w:pPr>
      <w:r w:rsidRPr="00A92D38">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b/>
          <w:color w:val="000000"/>
          <w:spacing w:val="-4"/>
          <w:sz w:val="20"/>
          <w:szCs w:val="20"/>
        </w:rPr>
      </w:pPr>
      <w:r w:rsidRPr="00A92D38">
        <w:rPr>
          <w:rFonts w:ascii="Calibri" w:eastAsia="Arial" w:hAnsi="Calibri" w:cs="Times New Roman"/>
          <w:b/>
          <w:color w:val="000000"/>
          <w:spacing w:val="-4"/>
          <w:sz w:val="20"/>
          <w:szCs w:val="20"/>
        </w:rPr>
        <w:t>Recognition</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RQLPs shall be notified of their recognition around one week after the application deadline.  RQLPs will be engaged by NFX subject to its Rules and this notification.  RQLP benefits and requirements will commence on July 2, 2018.</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Qualifying Business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If a RQLP makes any changes to its trading or clearing arrangements, Clearing Futures Participant, Customer, or any other aspects of its operations reasonably required by NFX to manage this QLP program, then it is the responsibility of the RQLP to notify NFX of those changes in advance in order to ensure continuity of the RQLP’s benefits.</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Administration of Exchange Transaction Fee Charges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As stated above, during the QLP program term, the Exchange will</w:t>
      </w:r>
      <w:r w:rsidRPr="00A92D38">
        <w:rPr>
          <w:rFonts w:ascii="Calibri" w:eastAsia="Arial" w:hAnsi="Calibri" w:cs="Times New Roman"/>
          <w:spacing w:val="-4"/>
          <w:sz w:val="20"/>
          <w:szCs w:val="20"/>
        </w:rPr>
        <w:t xml:space="preserve"> assess Block Fees for the QLP program according to Section 2</w:t>
      </w:r>
      <w:r w:rsidRPr="00A92D38">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NFX reserves the right in its absolute discretion to terminate this QLP program by way of a Futures Trader Alert announcing it has filed with the CFTC for termination of the program.</w:t>
      </w:r>
    </w:p>
    <w:p w:rsidR="00A92D38" w:rsidRPr="008B7D7B" w:rsidRDefault="00A92D38" w:rsidP="008B7D7B">
      <w:pPr>
        <w:spacing w:after="160" w:line="259" w:lineRule="auto"/>
        <w:jc w:val="center"/>
        <w:rPr>
          <w:rFonts w:ascii="Times New Roman" w:hAnsi="Times New Roman" w:cs="Times New Roman"/>
          <w:sz w:val="24"/>
          <w:szCs w:val="24"/>
        </w:rPr>
      </w:pPr>
    </w:p>
    <w:sectPr w:rsidR="00A92D38" w:rsidRPr="008B7D7B" w:rsidSect="00E12802">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886" w:rsidRDefault="00002886" w:rsidP="0008423C">
      <w:pPr>
        <w:spacing w:after="0" w:line="240" w:lineRule="auto"/>
      </w:pPr>
      <w:r>
        <w:separator/>
      </w:r>
    </w:p>
  </w:endnote>
  <w:endnote w:type="continuationSeparator" w:id="0">
    <w:p w:rsidR="00002886" w:rsidRDefault="00002886"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886" w:rsidRDefault="00002886" w:rsidP="0008423C">
      <w:pPr>
        <w:spacing w:after="0" w:line="240" w:lineRule="auto"/>
      </w:pPr>
      <w:r>
        <w:separator/>
      </w:r>
    </w:p>
  </w:footnote>
  <w:footnote w:type="continuationSeparator" w:id="0">
    <w:p w:rsidR="00002886" w:rsidRDefault="00002886" w:rsidP="0008423C">
      <w:pPr>
        <w:spacing w:after="0" w:line="240" w:lineRule="auto"/>
      </w:pPr>
      <w:r>
        <w:continuationSeparator/>
      </w:r>
    </w:p>
  </w:footnote>
  <w:footnote w:id="1">
    <w:p w:rsidR="000F7F4B" w:rsidRPr="009C04FC" w:rsidRDefault="000F7F4B" w:rsidP="000F7F4B">
      <w:pPr>
        <w:pStyle w:val="FootnoteText"/>
        <w:rPr>
          <w:rFonts w:ascii="Times New Roman" w:hAnsi="Times New Roman" w:cs="Times New Roman"/>
          <w:sz w:val="24"/>
          <w:szCs w:val="24"/>
        </w:rPr>
      </w:pPr>
      <w:r w:rsidRPr="009C04FC">
        <w:rPr>
          <w:rStyle w:val="FootnoteReference"/>
          <w:rFonts w:ascii="Times New Roman" w:hAnsi="Times New Roman" w:cs="Times New Roman"/>
          <w:sz w:val="24"/>
          <w:szCs w:val="24"/>
        </w:rPr>
        <w:footnoteRef/>
      </w:r>
      <w:r w:rsidRPr="009C04FC">
        <w:rPr>
          <w:rFonts w:ascii="Times New Roman" w:hAnsi="Times New Roman" w:cs="Times New Roman"/>
          <w:sz w:val="24"/>
          <w:szCs w:val="24"/>
        </w:rPr>
        <w:t xml:space="preserve"> </w:t>
      </w:r>
      <w:hyperlink r:id="rId1" w:history="1">
        <w:r w:rsidRPr="009B149E">
          <w:rPr>
            <w:rStyle w:val="Hyperlink"/>
            <w:rFonts w:ascii="Times New Roman" w:hAnsi="Times New Roman" w:cs="Times New Roman"/>
            <w:sz w:val="24"/>
            <w:szCs w:val="24"/>
          </w:rPr>
          <w:t>See</w:t>
        </w:r>
      </w:hyperlink>
      <w:r w:rsidRPr="002B3578">
        <w:rPr>
          <w:rFonts w:ascii="Times New Roman" w:hAnsi="Times New Roman" w:cs="Times New Roman"/>
          <w:sz w:val="24"/>
          <w:szCs w:val="24"/>
        </w:rPr>
        <w:t xml:space="preserve"> </w:t>
      </w:r>
      <w:r w:rsidR="00AB1246">
        <w:rPr>
          <w:rFonts w:ascii="Times New Roman" w:hAnsi="Times New Roman" w:cs="Times New Roman"/>
          <w:sz w:val="24"/>
          <w:szCs w:val="24"/>
        </w:rPr>
        <w:t xml:space="preserve">SR-NFX-2019-16, amendment to Quote Liquidity Provisioning program to support 10 MWH Off-Peak Power contract.  </w:t>
      </w:r>
    </w:p>
  </w:footnote>
  <w:footnote w:id="2">
    <w:p w:rsidR="00A92D38" w:rsidRPr="001E473E" w:rsidRDefault="00A92D38" w:rsidP="00A92D38">
      <w:pPr>
        <w:pStyle w:val="FootnoteText"/>
        <w:rPr>
          <w:rFonts w:ascii="Calibri" w:hAnsi="Calibri"/>
        </w:rPr>
      </w:pPr>
      <w:r w:rsidRPr="001E473E">
        <w:rPr>
          <w:rStyle w:val="FootnoteReference"/>
          <w:rFonts w:ascii="Calibri" w:hAnsi="Calibri"/>
        </w:rPr>
        <w:footnoteRef/>
      </w:r>
      <w:r w:rsidRPr="001E473E">
        <w:rPr>
          <w:rFonts w:ascii="Calibri" w:hAnsi="Calibri"/>
        </w:rPr>
        <w:t xml:space="preserve"> </w:t>
      </w:r>
      <w:hyperlink r:id="rId2" w:history="1">
        <w:r w:rsidRPr="001E473E">
          <w:rPr>
            <w:rStyle w:val="Hyperlink"/>
            <w:rFonts w:ascii="Calibri" w:eastAsia="Arial" w:hAnsi="Calibri"/>
            <w:color w:val="000000"/>
          </w:rPr>
          <w:t>See NFX Rulebook Appendix A – Listed Contracts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2D1F2A">
      <w:rPr>
        <w:rFonts w:ascii="Times New Roman" w:hAnsi="Times New Roman" w:cs="Times New Roman"/>
        <w:noProof/>
        <w:sz w:val="20"/>
        <w:szCs w:val="20"/>
      </w:rPr>
      <w:t>May 17, 2019</w:t>
    </w:r>
    <w:r>
      <w:rPr>
        <w:rFonts w:ascii="Times New Roman" w:hAnsi="Times New Roman" w:cs="Times New Roman"/>
        <w:sz w:val="20"/>
        <w:szCs w:val="20"/>
      </w:rPr>
      <w:fldChar w:fldCharType="end"/>
    </w:r>
  </w:p>
  <w:p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F03A71">
      <w:rPr>
        <w:rFonts w:ascii="Times New Roman" w:hAnsi="Times New Roman" w:cs="Times New Roman"/>
        <w:sz w:val="20"/>
        <w:szCs w:val="20"/>
      </w:rPr>
      <w:t>9</w:t>
    </w:r>
    <w:r w:rsidRPr="00C54BB6">
      <w:rPr>
        <w:rFonts w:ascii="Times New Roman" w:hAnsi="Times New Roman" w:cs="Times New Roman"/>
        <w:sz w:val="20"/>
        <w:szCs w:val="20"/>
      </w:rPr>
      <w:t>-</w:t>
    </w:r>
    <w:r w:rsidR="008B259C">
      <w:rPr>
        <w:rFonts w:ascii="Times New Roman" w:hAnsi="Times New Roman" w:cs="Times New Roman"/>
        <w:sz w:val="20"/>
        <w:szCs w:val="20"/>
      </w:rPr>
      <w:t>23</w:t>
    </w:r>
  </w:p>
  <w:p w:rsidR="00E12802"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D1F2A">
      <w:rPr>
        <w:rFonts w:ascii="Times New Roman" w:hAnsi="Times New Roman" w:cs="Times New Roman"/>
        <w:noProof/>
        <w:sz w:val="20"/>
        <w:szCs w:val="20"/>
      </w:rPr>
      <w:t>5</w:t>
    </w:r>
    <w:r w:rsidRPr="00B67098">
      <w:rPr>
        <w:rFonts w:ascii="Times New Roman" w:hAnsi="Times New Roman" w:cs="Times New Roman"/>
        <w:sz w:val="20"/>
        <w:szCs w:val="20"/>
      </w:rPr>
      <w:fldChar w:fldCharType="end"/>
    </w:r>
  </w:p>
  <w:p w:rsidR="008B7D7B" w:rsidRPr="00B67098" w:rsidRDefault="008B7D7B" w:rsidP="00E12802">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02886"/>
    <w:rsid w:val="00010CB6"/>
    <w:rsid w:val="00041823"/>
    <w:rsid w:val="000438BD"/>
    <w:rsid w:val="00063932"/>
    <w:rsid w:val="000815BA"/>
    <w:rsid w:val="0008423C"/>
    <w:rsid w:val="000B6A78"/>
    <w:rsid w:val="000E26AE"/>
    <w:rsid w:val="000E415C"/>
    <w:rsid w:val="000F7F4B"/>
    <w:rsid w:val="0012529D"/>
    <w:rsid w:val="001529BB"/>
    <w:rsid w:val="00154FD5"/>
    <w:rsid w:val="00174D1D"/>
    <w:rsid w:val="00204EC5"/>
    <w:rsid w:val="002303EE"/>
    <w:rsid w:val="0024121C"/>
    <w:rsid w:val="00253701"/>
    <w:rsid w:val="00256652"/>
    <w:rsid w:val="002C0A34"/>
    <w:rsid w:val="002C4B2D"/>
    <w:rsid w:val="002D1F2A"/>
    <w:rsid w:val="00317C2C"/>
    <w:rsid w:val="00340EF8"/>
    <w:rsid w:val="00360B0D"/>
    <w:rsid w:val="00376E19"/>
    <w:rsid w:val="003775E4"/>
    <w:rsid w:val="003A4920"/>
    <w:rsid w:val="003D40B8"/>
    <w:rsid w:val="004008C0"/>
    <w:rsid w:val="00415BB9"/>
    <w:rsid w:val="004263BB"/>
    <w:rsid w:val="004717D1"/>
    <w:rsid w:val="00474A8F"/>
    <w:rsid w:val="00481BFC"/>
    <w:rsid w:val="004834C5"/>
    <w:rsid w:val="004965FA"/>
    <w:rsid w:val="004A53F9"/>
    <w:rsid w:val="004B0524"/>
    <w:rsid w:val="004B2FBF"/>
    <w:rsid w:val="004D7E5D"/>
    <w:rsid w:val="004F5571"/>
    <w:rsid w:val="00524A74"/>
    <w:rsid w:val="005365A4"/>
    <w:rsid w:val="00543CA2"/>
    <w:rsid w:val="00556F7D"/>
    <w:rsid w:val="00594AFF"/>
    <w:rsid w:val="005A08AE"/>
    <w:rsid w:val="005A6FCD"/>
    <w:rsid w:val="005E3020"/>
    <w:rsid w:val="005F3337"/>
    <w:rsid w:val="00656906"/>
    <w:rsid w:val="00670B15"/>
    <w:rsid w:val="00682A97"/>
    <w:rsid w:val="006B3A2F"/>
    <w:rsid w:val="006B6B29"/>
    <w:rsid w:val="006E256D"/>
    <w:rsid w:val="006E7A2A"/>
    <w:rsid w:val="006F45AF"/>
    <w:rsid w:val="007076E9"/>
    <w:rsid w:val="0071497A"/>
    <w:rsid w:val="00742A1B"/>
    <w:rsid w:val="00793CA3"/>
    <w:rsid w:val="007958C5"/>
    <w:rsid w:val="007A3EF3"/>
    <w:rsid w:val="007C50AB"/>
    <w:rsid w:val="007C7601"/>
    <w:rsid w:val="00813160"/>
    <w:rsid w:val="00821537"/>
    <w:rsid w:val="0082421C"/>
    <w:rsid w:val="008321A8"/>
    <w:rsid w:val="0083533B"/>
    <w:rsid w:val="00846BAF"/>
    <w:rsid w:val="00882CAA"/>
    <w:rsid w:val="00893E15"/>
    <w:rsid w:val="008A4C03"/>
    <w:rsid w:val="008B041F"/>
    <w:rsid w:val="008B259C"/>
    <w:rsid w:val="008B5F7D"/>
    <w:rsid w:val="008B7D7B"/>
    <w:rsid w:val="008C3F5C"/>
    <w:rsid w:val="008C49A3"/>
    <w:rsid w:val="00935AE3"/>
    <w:rsid w:val="0096726E"/>
    <w:rsid w:val="009901BD"/>
    <w:rsid w:val="009C4CF7"/>
    <w:rsid w:val="009D0582"/>
    <w:rsid w:val="009E2E0A"/>
    <w:rsid w:val="00A04487"/>
    <w:rsid w:val="00A5669E"/>
    <w:rsid w:val="00A761AB"/>
    <w:rsid w:val="00A92D38"/>
    <w:rsid w:val="00AA4BCF"/>
    <w:rsid w:val="00AB1246"/>
    <w:rsid w:val="00AC29A3"/>
    <w:rsid w:val="00AD692F"/>
    <w:rsid w:val="00AD7CB9"/>
    <w:rsid w:val="00AE3859"/>
    <w:rsid w:val="00B054DD"/>
    <w:rsid w:val="00B2354F"/>
    <w:rsid w:val="00B53FAF"/>
    <w:rsid w:val="00B6532A"/>
    <w:rsid w:val="00B66CB5"/>
    <w:rsid w:val="00B9584C"/>
    <w:rsid w:val="00BB0DE3"/>
    <w:rsid w:val="00BF3AF0"/>
    <w:rsid w:val="00C21CE4"/>
    <w:rsid w:val="00C35B5B"/>
    <w:rsid w:val="00C4068B"/>
    <w:rsid w:val="00C54C2B"/>
    <w:rsid w:val="00CA52C3"/>
    <w:rsid w:val="00CA6E45"/>
    <w:rsid w:val="00CB53DA"/>
    <w:rsid w:val="00CB63A9"/>
    <w:rsid w:val="00D0050D"/>
    <w:rsid w:val="00D00E6D"/>
    <w:rsid w:val="00D02178"/>
    <w:rsid w:val="00D327C6"/>
    <w:rsid w:val="00D60246"/>
    <w:rsid w:val="00D6561E"/>
    <w:rsid w:val="00D70718"/>
    <w:rsid w:val="00D82177"/>
    <w:rsid w:val="00D84895"/>
    <w:rsid w:val="00DB2488"/>
    <w:rsid w:val="00E1206A"/>
    <w:rsid w:val="00E12802"/>
    <w:rsid w:val="00E34482"/>
    <w:rsid w:val="00E74C83"/>
    <w:rsid w:val="00E968C8"/>
    <w:rsid w:val="00EC432B"/>
    <w:rsid w:val="00EC6305"/>
    <w:rsid w:val="00F02F13"/>
    <w:rsid w:val="00F038DC"/>
    <w:rsid w:val="00F03A71"/>
    <w:rsid w:val="00F0643A"/>
    <w:rsid w:val="00F13FA8"/>
    <w:rsid w:val="00F20122"/>
    <w:rsid w:val="00F452FD"/>
    <w:rsid w:val="00F539E8"/>
    <w:rsid w:val="00F86B2E"/>
    <w:rsid w:val="00F93853"/>
    <w:rsid w:val="00F95CE2"/>
    <w:rsid w:val="00FB3245"/>
    <w:rsid w:val="00FD0C73"/>
    <w:rsid w:val="00FD40D6"/>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paragraph" w:styleId="Heading1">
    <w:name w:val="heading 1"/>
    <w:aliases w:val="Heading Style"/>
    <w:basedOn w:val="Normal"/>
    <w:next w:val="Normal"/>
    <w:link w:val="Heading1Char"/>
    <w:qFormat/>
    <w:rsid w:val="008B7D7B"/>
    <w:pPr>
      <w:spacing w:before="360" w:after="240" w:line="216" w:lineRule="auto"/>
      <w:ind w:left="-720"/>
      <w:outlineLvl w:val="0"/>
    </w:pPr>
    <w:rPr>
      <w:rFonts w:ascii="Calibri" w:eastAsia="Arial" w:hAnsi="Calibri" w:cs="Times New Roman"/>
      <w:bCs/>
      <w:caps/>
      <w:noProof/>
      <w:color w:val="000000" w:themeColor="text1"/>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customStyle="1" w:styleId="Heading1Char">
    <w:name w:val="Heading 1 Char"/>
    <w:aliases w:val="Heading Style Char"/>
    <w:basedOn w:val="DefaultParagraphFont"/>
    <w:link w:val="Heading1"/>
    <w:rsid w:val="008B7D7B"/>
    <w:rPr>
      <w:rFonts w:ascii="Calibri" w:eastAsia="Arial" w:hAnsi="Calibri" w:cs="Times New Roman"/>
      <w:bCs/>
      <w:caps/>
      <w:noProof/>
      <w:color w:val="000000" w:themeColor="text1"/>
      <w:sz w:val="36"/>
      <w:szCs w:val="20"/>
    </w:rPr>
  </w:style>
  <w:style w:type="paragraph" w:customStyle="1" w:styleId="Subhead1Style">
    <w:name w:val="Subhead 1 Style"/>
    <w:basedOn w:val="Normal"/>
    <w:qFormat/>
    <w:rsid w:val="008B7D7B"/>
    <w:pPr>
      <w:spacing w:before="360" w:after="120" w:line="240" w:lineRule="auto"/>
      <w:ind w:left="-720"/>
    </w:pPr>
    <w:rPr>
      <w:rFonts w:ascii="Calibri" w:eastAsia="Arial" w:hAnsi="Calibri" w:cs="Times New Roman"/>
      <w:b/>
      <w:color w:val="009FC3"/>
      <w:spacing w:val="-4"/>
      <w:szCs w:val="20"/>
      <w:lang w:eastAsia="sv-SE"/>
    </w:rPr>
  </w:style>
  <w:style w:type="table" w:styleId="TableGrid">
    <w:name w:val="Table Grid"/>
    <w:basedOn w:val="TableNormal"/>
    <w:rsid w:val="00A92D3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XFooter">
    <w:name w:val="QX Footer"/>
    <w:basedOn w:val="Normal"/>
    <w:rsid w:val="00A92D38"/>
    <w:pPr>
      <w:tabs>
        <w:tab w:val="center" w:pos="8460"/>
        <w:tab w:val="right" w:pos="8640"/>
      </w:tabs>
      <w:spacing w:before="180" w:after="0" w:line="200" w:lineRule="exact"/>
      <w:ind w:left="-720"/>
    </w:pPr>
    <w:rPr>
      <w:rFonts w:ascii="Arial" w:eastAsia="Times New Roman" w:hAnsi="Arial" w:cs="Times New Roman"/>
      <w:b/>
      <w:noProof/>
      <w:color w:val="767878"/>
      <w:sz w:val="18"/>
      <w:szCs w:val="18"/>
    </w:rPr>
  </w:style>
  <w:style w:type="character" w:styleId="PageNumber">
    <w:name w:val="page number"/>
    <w:basedOn w:val="DefaultParagraphFont"/>
    <w:rsid w:val="00A9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hyperlink" Target="mailto:steve.sladoje@nasdaq.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yperlink" Target="http://nasdaqphlx.cchwallstreet.com/NASDAQPHLXTools/PlatformViewer.asp?selectednode=chp_1_2_3&amp;manual=%2Fnasdaqomxphlx%2Fnfx%2Fphlx-brdtrade-rules%2F" TargetMode="External"/><Relationship Id="rId2" Type="http://schemas.openxmlformats.org/officeDocument/2006/relationships/customXml" Target="../customXml/item2.xml"/><Relationship Id="rId16" Type="http://schemas.openxmlformats.org/officeDocument/2006/relationships/hyperlink" Target="file:///C:\Users\sladojes\AppData\Local\Microsoft\Windows\Temporary%20Internet%20Files\Content.Outlook\EVC8BR3U\business.nasdaq.com\futu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image" Target="cid:48A78BF0-F405-40C9-8F94-49DE09D2EBB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teve.sladoje@nasdaq.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asdaqphlx.cchwallstreet.com/NASDAQPHLXTools/PlatformViewer.asp?selectednode=chp_1_1_1_9&amp;manual=%2Fnasdaqomxphlx%2Fnfx%2Fphlx-brdtrade-rules%2F" TargetMode="External"/><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83aa52cd-16c8-4d97-a3b0-843d4ad1833b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2019-05-17T15:56:38+00:00</Document_x0020_Date>
    <Document_x0020_No xmlns="4b47aac5-4c46-444f-8595-ce09b406fc61">48209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477438E6-992D-473A-9DBF-A0421DB697B9}"/>
</file>

<file path=customXml/itemProps2.xml><?xml version="1.0" encoding="utf-8"?>
<ds:datastoreItem xmlns:ds="http://schemas.openxmlformats.org/officeDocument/2006/customXml" ds:itemID="{742AE1E5-549E-435C-A1FE-DEDA0A4180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CBB18B-C3D8-488D-8064-5B7F71B957B8}">
  <ds:schemaRefs>
    <ds:schemaRef ds:uri="http://schemas.microsoft.com/sharepoint/v3/contenttype/forms"/>
  </ds:schemaRefs>
</ds:datastoreItem>
</file>

<file path=customXml/itemProps4.xml><?xml version="1.0" encoding="utf-8"?>
<ds:datastoreItem xmlns:ds="http://schemas.openxmlformats.org/officeDocument/2006/customXml" ds:itemID="{70088811-3D73-4027-A613-417738A5F691}">
  <ds:schemaRefs>
    <ds:schemaRef ds:uri="http://schemas.openxmlformats.org/officeDocument/2006/bibliography"/>
  </ds:schemaRefs>
</ds:datastoreItem>
</file>

<file path=customXml/itemProps5.xml><?xml version="1.0" encoding="utf-8"?>
<ds:datastoreItem xmlns:ds="http://schemas.openxmlformats.org/officeDocument/2006/customXml" ds:itemID="{6E4FABA1-6197-4DA1-B9EB-F49E31F21028}"/>
</file>

<file path=docProps/app.xml><?xml version="1.0" encoding="utf-8"?>
<Properties xmlns="http://schemas.openxmlformats.org/officeDocument/2006/extended-properties" xmlns:vt="http://schemas.openxmlformats.org/officeDocument/2006/docPropsVTypes">
  <Template>Normal</Template>
  <TotalTime>13</TotalTime>
  <Pages>1</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7</cp:revision>
  <cp:lastPrinted>2019-05-17T15:34:00Z</cp:lastPrinted>
  <dcterms:created xsi:type="dcterms:W3CDTF">2019-05-17T15:21:00Z</dcterms:created>
  <dcterms:modified xsi:type="dcterms:W3CDTF">2019-05-17T15:34:00Z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Locations\Portal\Temp\f41d5fcd-9dd9-45f7-9e39-ad36ca2414f2\SR-NFX-2019-23 Rule Certification.docx</vt:lpwstr>
  </property>
  <property fmtid="{D5CDD505-2E9C-101B-9397-08002B2CF9AE}" pid="4" name="Order">
    <vt:r8>243400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