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C0" w:rsidRPr="00D06205" w:rsidRDefault="004008C0" w:rsidP="004008C0">
      <w:pPr>
        <w:spacing w:before="120" w:after="0"/>
        <w:ind w:left="6550" w:hanging="6550"/>
        <w:rPr>
          <w:rFonts w:ascii="Times New Roman" w:hAnsi="Times New Roman" w:cs="Times New Roman"/>
          <w:sz w:val="24"/>
          <w:szCs w:val="24"/>
        </w:rPr>
      </w:pPr>
      <w:r w:rsidRPr="00D06205">
        <w:rPr>
          <w:rFonts w:ascii="Times New Roman" w:hAnsi="Times New Roman" w:cs="Times New Roman"/>
          <w:noProof/>
          <w:sz w:val="24"/>
          <w:szCs w:val="24"/>
        </w:rPr>
        <w:drawing>
          <wp:anchor distT="0" distB="0" distL="114300" distR="114300" simplePos="0" relativeHeight="251661312" behindDoc="0" locked="1" layoutInCell="1" allowOverlap="1" wp14:anchorId="120D19FA" wp14:editId="1BAA59E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06205">
        <w:rPr>
          <w:rFonts w:ascii="Times New Roman" w:eastAsia="Calibri" w:hAnsi="Times New Roman" w:cs="Times New Roman"/>
          <w:sz w:val="24"/>
          <w:szCs w:val="24"/>
        </w:rPr>
        <w:fldChar w:fldCharType="begin"/>
      </w:r>
      <w:r w:rsidRPr="00D06205">
        <w:rPr>
          <w:rFonts w:ascii="Times New Roman" w:eastAsia="Calibri" w:hAnsi="Times New Roman" w:cs="Times New Roman"/>
          <w:sz w:val="24"/>
          <w:szCs w:val="24"/>
        </w:rPr>
        <w:instrText xml:space="preserve"> DATE \@ "MMMM d, yyyy" </w:instrText>
      </w:r>
      <w:r w:rsidRPr="00D06205">
        <w:rPr>
          <w:rFonts w:ascii="Times New Roman" w:eastAsia="Calibri" w:hAnsi="Times New Roman" w:cs="Times New Roman"/>
          <w:sz w:val="24"/>
          <w:szCs w:val="24"/>
        </w:rPr>
        <w:fldChar w:fldCharType="separate"/>
      </w:r>
      <w:r w:rsidR="00075D5F">
        <w:rPr>
          <w:rFonts w:ascii="Times New Roman" w:eastAsia="Calibri" w:hAnsi="Times New Roman" w:cs="Times New Roman"/>
          <w:noProof/>
          <w:sz w:val="24"/>
          <w:szCs w:val="24"/>
        </w:rPr>
        <w:t>June 15, 2018</w:t>
      </w:r>
      <w:r w:rsidRPr="00D06205">
        <w:rPr>
          <w:rFonts w:ascii="Times New Roman" w:eastAsia="Calibri" w:hAnsi="Times New Roman" w:cs="Times New Roman"/>
          <w:sz w:val="24"/>
          <w:szCs w:val="24"/>
        </w:rPr>
        <w:fldChar w:fldCharType="end"/>
      </w:r>
      <w:r w:rsidRPr="00D06205">
        <w:rPr>
          <w:rFonts w:ascii="Times New Roman" w:eastAsia="Calibri" w:hAnsi="Times New Roman" w:cs="Times New Roman"/>
          <w:sz w:val="24"/>
          <w:szCs w:val="24"/>
        </w:rPr>
        <w:tab/>
      </w:r>
      <w:r w:rsidRPr="00D06205">
        <w:rPr>
          <w:rFonts w:ascii="Times New Roman" w:hAnsi="Times New Roman" w:cs="Times New Roman"/>
          <w:sz w:val="24"/>
          <w:szCs w:val="24"/>
        </w:rPr>
        <w:t>Nasdaq Futures, Inc.</w:t>
      </w:r>
    </w:p>
    <w:p w:rsidR="004008C0" w:rsidRPr="00D06205" w:rsidRDefault="004008C0" w:rsidP="004008C0">
      <w:pPr>
        <w:pStyle w:val="LetterheadAddress"/>
        <w:ind w:left="6550" w:hanging="6550"/>
        <w:rPr>
          <w:rFonts w:ascii="Times New Roman" w:eastAsia="Calibri" w:hAnsi="Times New Roman"/>
          <w:sz w:val="24"/>
          <w:szCs w:val="24"/>
        </w:rPr>
      </w:pPr>
      <w:r w:rsidRPr="00D06205">
        <w:rPr>
          <w:rFonts w:ascii="Times New Roman" w:eastAsia="Calibri" w:hAnsi="Times New Roman"/>
          <w:sz w:val="24"/>
          <w:szCs w:val="24"/>
        </w:rPr>
        <w:tab/>
      </w:r>
      <w:r w:rsidRPr="00D06205">
        <w:rPr>
          <w:rFonts w:ascii="Times New Roman" w:hAnsi="Times New Roman"/>
          <w:sz w:val="24"/>
          <w:szCs w:val="24"/>
        </w:rPr>
        <w:t xml:space="preserve">FMC Tower, Level 8, </w:t>
      </w:r>
    </w:p>
    <w:p w:rsidR="004008C0" w:rsidRPr="00D06205" w:rsidRDefault="004008C0" w:rsidP="004008C0">
      <w:pPr>
        <w:pStyle w:val="NoSpacing"/>
        <w:rPr>
          <w:rFonts w:ascii="Times New Roman" w:eastAsia="Calibri" w:hAnsi="Times New Roman" w:cs="Times New Roman"/>
          <w:sz w:val="24"/>
          <w:szCs w:val="24"/>
        </w:rPr>
      </w:pPr>
      <w:r w:rsidRPr="00D06205">
        <w:rPr>
          <w:rFonts w:ascii="Times New Roman" w:eastAsia="Calibri" w:hAnsi="Times New Roman" w:cs="Times New Roman"/>
          <w:sz w:val="24"/>
          <w:szCs w:val="24"/>
        </w:rPr>
        <w:t>Christopher J. Kirkpatrick</w:t>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t xml:space="preserve"> </w:t>
      </w:r>
      <w:r w:rsidRPr="00D06205">
        <w:rPr>
          <w:rFonts w:ascii="Times New Roman" w:eastAsiaTheme="minorEastAsia" w:hAnsi="Times New Roman" w:cs="Times New Roman"/>
          <w:sz w:val="24"/>
          <w:szCs w:val="24"/>
          <w:lang w:eastAsia="ja-JP"/>
        </w:rPr>
        <w:t>2929 Walnut Street</w:t>
      </w:r>
    </w:p>
    <w:p w:rsidR="004008C0" w:rsidRPr="00D06205" w:rsidRDefault="004008C0" w:rsidP="004008C0">
      <w:pPr>
        <w:pStyle w:val="NoSpacing"/>
        <w:rPr>
          <w:rFonts w:ascii="Times New Roman" w:eastAsia="Calibri" w:hAnsi="Times New Roman" w:cs="Times New Roman"/>
          <w:sz w:val="24"/>
          <w:szCs w:val="24"/>
        </w:rPr>
      </w:pPr>
      <w:r w:rsidRPr="00D06205">
        <w:rPr>
          <w:rFonts w:ascii="Times New Roman" w:eastAsia="Calibri" w:hAnsi="Times New Roman" w:cs="Times New Roman"/>
          <w:sz w:val="24"/>
          <w:szCs w:val="24"/>
        </w:rPr>
        <w:t>Office of the Secretariat</w:t>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t xml:space="preserve"> </w:t>
      </w:r>
      <w:r w:rsidRPr="00D06205">
        <w:rPr>
          <w:rFonts w:ascii="Times New Roman" w:eastAsiaTheme="minorEastAsia" w:hAnsi="Times New Roman" w:cs="Times New Roman"/>
          <w:sz w:val="24"/>
          <w:szCs w:val="24"/>
          <w:lang w:eastAsia="ja-JP"/>
        </w:rPr>
        <w:t>Philadelphia, PA 19104 / USA</w:t>
      </w:r>
    </w:p>
    <w:p w:rsidR="004008C0" w:rsidRPr="00D06205" w:rsidRDefault="004008C0" w:rsidP="004008C0">
      <w:pPr>
        <w:pStyle w:val="NoSpacing"/>
        <w:rPr>
          <w:rFonts w:ascii="Times New Roman" w:eastAsia="Calibri" w:hAnsi="Times New Roman" w:cs="Times New Roman"/>
          <w:sz w:val="24"/>
          <w:szCs w:val="24"/>
        </w:rPr>
      </w:pPr>
      <w:r w:rsidRPr="00D06205">
        <w:rPr>
          <w:rFonts w:ascii="Times New Roman" w:eastAsia="Calibri" w:hAnsi="Times New Roman" w:cs="Times New Roman"/>
          <w:sz w:val="24"/>
          <w:szCs w:val="24"/>
        </w:rPr>
        <w:t>Commodity Futures Trading Commission</w:t>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t xml:space="preserve"> </w:t>
      </w:r>
    </w:p>
    <w:p w:rsidR="004008C0" w:rsidRPr="00D06205" w:rsidRDefault="004008C0" w:rsidP="004008C0">
      <w:pPr>
        <w:pStyle w:val="NoSpacing"/>
        <w:rPr>
          <w:rFonts w:ascii="Times New Roman" w:eastAsia="Calibri" w:hAnsi="Times New Roman" w:cs="Times New Roman"/>
          <w:sz w:val="24"/>
          <w:szCs w:val="24"/>
        </w:rPr>
      </w:pPr>
      <w:r w:rsidRPr="00D06205">
        <w:rPr>
          <w:rFonts w:ascii="Times New Roman" w:eastAsia="Calibri" w:hAnsi="Times New Roman" w:cs="Times New Roman"/>
          <w:sz w:val="24"/>
          <w:szCs w:val="24"/>
        </w:rPr>
        <w:t>Three Lafayette Center</w:t>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t xml:space="preserve"> </w:t>
      </w:r>
      <w:r w:rsidRPr="00D06205">
        <w:rPr>
          <w:rFonts w:ascii="Times New Roman" w:hAnsi="Times New Roman" w:cs="Times New Roman"/>
          <w:sz w:val="24"/>
          <w:szCs w:val="24"/>
        </w:rPr>
        <w:t>business.nasdaq.com/futures</w:t>
      </w:r>
    </w:p>
    <w:p w:rsidR="004008C0" w:rsidRPr="00D06205" w:rsidRDefault="004008C0" w:rsidP="004008C0">
      <w:pPr>
        <w:pStyle w:val="NoSpacing"/>
        <w:rPr>
          <w:rFonts w:ascii="Times New Roman" w:eastAsia="Calibri" w:hAnsi="Times New Roman" w:cs="Times New Roman"/>
          <w:sz w:val="24"/>
          <w:szCs w:val="24"/>
        </w:rPr>
      </w:pPr>
      <w:r w:rsidRPr="00D06205">
        <w:rPr>
          <w:rFonts w:ascii="Times New Roman" w:eastAsia="Calibri" w:hAnsi="Times New Roman" w:cs="Times New Roman"/>
          <w:sz w:val="24"/>
          <w:szCs w:val="24"/>
        </w:rPr>
        <w:t>1155 21</w:t>
      </w:r>
      <w:r w:rsidRPr="00D06205">
        <w:rPr>
          <w:rFonts w:ascii="Times New Roman" w:eastAsia="Calibri" w:hAnsi="Times New Roman" w:cs="Times New Roman"/>
          <w:sz w:val="24"/>
          <w:szCs w:val="24"/>
          <w:vertAlign w:val="superscript"/>
        </w:rPr>
        <w:t>st</w:t>
      </w:r>
      <w:r w:rsidRPr="00D06205">
        <w:rPr>
          <w:rFonts w:ascii="Times New Roman" w:eastAsia="Calibri" w:hAnsi="Times New Roman" w:cs="Times New Roman"/>
          <w:sz w:val="24"/>
          <w:szCs w:val="24"/>
        </w:rPr>
        <w:t xml:space="preserve"> Street, NW</w:t>
      </w:r>
    </w:p>
    <w:p w:rsidR="004008C0" w:rsidRPr="00D06205" w:rsidRDefault="004008C0" w:rsidP="004008C0">
      <w:pPr>
        <w:pStyle w:val="NoSpacing"/>
        <w:rPr>
          <w:rFonts w:ascii="Times New Roman" w:eastAsia="Calibri" w:hAnsi="Times New Roman" w:cs="Times New Roman"/>
          <w:sz w:val="24"/>
          <w:szCs w:val="24"/>
        </w:rPr>
      </w:pPr>
      <w:r w:rsidRPr="00D06205">
        <w:rPr>
          <w:rFonts w:ascii="Times New Roman" w:eastAsia="Calibri" w:hAnsi="Times New Roman" w:cs="Times New Roman"/>
          <w:sz w:val="24"/>
          <w:szCs w:val="24"/>
        </w:rPr>
        <w:t>Washington, DC  20581</w:t>
      </w:r>
    </w:p>
    <w:p w:rsidR="004008C0" w:rsidRPr="00D06205" w:rsidRDefault="004008C0" w:rsidP="004008C0">
      <w:pPr>
        <w:pStyle w:val="NoSpacing"/>
        <w:rPr>
          <w:rFonts w:ascii="Times New Roman" w:eastAsia="Times New Roman" w:hAnsi="Times New Roman" w:cs="Times New Roman"/>
          <w:sz w:val="24"/>
          <w:szCs w:val="24"/>
        </w:rPr>
      </w:pPr>
    </w:p>
    <w:p w:rsidR="00572DB9" w:rsidRPr="00D06205" w:rsidRDefault="004008C0" w:rsidP="00572DB9">
      <w:pPr>
        <w:pStyle w:val="NoSpacing"/>
        <w:rPr>
          <w:rFonts w:ascii="Times New Roman" w:eastAsia="Calibri" w:hAnsi="Times New Roman" w:cs="Times New Roman"/>
          <w:b/>
          <w:sz w:val="24"/>
          <w:szCs w:val="24"/>
        </w:rPr>
      </w:pPr>
      <w:r w:rsidRPr="00D06205">
        <w:rPr>
          <w:rFonts w:ascii="Times New Roman" w:eastAsia="Calibri" w:hAnsi="Times New Roman" w:cs="Times New Roman"/>
          <w:b/>
          <w:bCs/>
          <w:color w:val="333333"/>
          <w:sz w:val="24"/>
          <w:szCs w:val="24"/>
        </w:rPr>
        <w:t>Rule Self-Certification:</w:t>
      </w:r>
      <w:r w:rsidRPr="00D06205">
        <w:rPr>
          <w:rFonts w:ascii="Times New Roman" w:eastAsia="Calibri" w:hAnsi="Times New Roman" w:cs="Times New Roman"/>
          <w:b/>
          <w:sz w:val="24"/>
          <w:szCs w:val="24"/>
        </w:rPr>
        <w:t xml:space="preserve"> </w:t>
      </w:r>
      <w:r w:rsidRPr="00D06205">
        <w:rPr>
          <w:rFonts w:ascii="Times New Roman" w:eastAsia="Calibri" w:hAnsi="Times New Roman" w:cs="Times New Roman"/>
          <w:b/>
          <w:sz w:val="24"/>
          <w:szCs w:val="24"/>
        </w:rPr>
        <w:tab/>
        <w:t xml:space="preserve">Rule Certification for </w:t>
      </w:r>
      <w:r w:rsidR="00572DB9" w:rsidRPr="00D06205">
        <w:rPr>
          <w:rFonts w:ascii="Times New Roman" w:eastAsia="Calibri" w:hAnsi="Times New Roman" w:cs="Times New Roman"/>
          <w:b/>
          <w:sz w:val="24"/>
          <w:szCs w:val="24"/>
        </w:rPr>
        <w:t>Amendment</w:t>
      </w:r>
      <w:r w:rsidR="00F31547">
        <w:rPr>
          <w:rFonts w:ascii="Times New Roman" w:eastAsia="Calibri" w:hAnsi="Times New Roman" w:cs="Times New Roman"/>
          <w:b/>
          <w:sz w:val="24"/>
          <w:szCs w:val="24"/>
        </w:rPr>
        <w:t>s to the</w:t>
      </w:r>
      <w:r w:rsidR="00572DB9" w:rsidRPr="00D06205">
        <w:rPr>
          <w:rFonts w:ascii="Times New Roman" w:eastAsia="Calibri" w:hAnsi="Times New Roman" w:cs="Times New Roman"/>
          <w:b/>
          <w:sz w:val="24"/>
          <w:szCs w:val="24"/>
        </w:rPr>
        <w:t xml:space="preserve"> </w:t>
      </w:r>
    </w:p>
    <w:p w:rsidR="00572DB9" w:rsidRPr="00D06205" w:rsidRDefault="00F31547" w:rsidP="00572DB9">
      <w:pPr>
        <w:pStyle w:val="NoSpacing"/>
        <w:ind w:left="2160" w:firstLine="720"/>
        <w:rPr>
          <w:rFonts w:ascii="Times New Roman" w:eastAsia="Calibri" w:hAnsi="Times New Roman" w:cs="Times New Roman"/>
          <w:b/>
          <w:sz w:val="24"/>
          <w:szCs w:val="24"/>
        </w:rPr>
      </w:pPr>
      <w:r>
        <w:rPr>
          <w:rFonts w:ascii="Times New Roman" w:eastAsia="Calibri" w:hAnsi="Times New Roman" w:cs="Times New Roman"/>
          <w:b/>
          <w:sz w:val="24"/>
          <w:szCs w:val="24"/>
        </w:rPr>
        <w:t xml:space="preserve">Energy Broker Incentive </w:t>
      </w:r>
      <w:r w:rsidR="00572DB9" w:rsidRPr="00D06205">
        <w:rPr>
          <w:rFonts w:ascii="Times New Roman" w:eastAsia="Calibri" w:hAnsi="Times New Roman" w:cs="Times New Roman"/>
          <w:b/>
          <w:sz w:val="24"/>
          <w:szCs w:val="24"/>
        </w:rPr>
        <w:t>Program</w:t>
      </w:r>
    </w:p>
    <w:p w:rsidR="004008C0" w:rsidRPr="00D06205" w:rsidRDefault="004008C0" w:rsidP="00572DB9">
      <w:pPr>
        <w:pStyle w:val="NoSpacing"/>
        <w:ind w:left="2160" w:firstLine="720"/>
        <w:rPr>
          <w:rFonts w:ascii="Times New Roman" w:eastAsia="Calibri" w:hAnsi="Times New Roman" w:cs="Times New Roman"/>
          <w:b/>
          <w:sz w:val="24"/>
          <w:szCs w:val="24"/>
          <w:u w:val="single"/>
        </w:rPr>
      </w:pPr>
      <w:r w:rsidRPr="00D06205">
        <w:rPr>
          <w:rFonts w:ascii="Times New Roman" w:eastAsia="Calibri" w:hAnsi="Times New Roman" w:cs="Times New Roman"/>
          <w:b/>
          <w:sz w:val="24"/>
          <w:szCs w:val="24"/>
          <w:u w:val="single"/>
        </w:rPr>
        <w:t xml:space="preserve">Reference File: </w:t>
      </w:r>
      <w:r w:rsidR="0095411C" w:rsidRPr="00D06205">
        <w:rPr>
          <w:rFonts w:ascii="Times New Roman" w:eastAsia="Calibri" w:hAnsi="Times New Roman" w:cs="Times New Roman"/>
          <w:b/>
          <w:sz w:val="24"/>
          <w:szCs w:val="24"/>
          <w:u w:val="single"/>
        </w:rPr>
        <w:t>SR-NFX-2018</w:t>
      </w:r>
      <w:r w:rsidRPr="00D06205">
        <w:rPr>
          <w:rFonts w:ascii="Times New Roman" w:eastAsia="Calibri" w:hAnsi="Times New Roman" w:cs="Times New Roman"/>
          <w:b/>
          <w:sz w:val="24"/>
          <w:szCs w:val="24"/>
          <w:u w:val="single"/>
        </w:rPr>
        <w:t>-</w:t>
      </w:r>
      <w:r w:rsidR="00F31547">
        <w:rPr>
          <w:rFonts w:ascii="Times New Roman" w:eastAsia="Calibri" w:hAnsi="Times New Roman" w:cs="Times New Roman"/>
          <w:b/>
          <w:sz w:val="24"/>
          <w:szCs w:val="24"/>
          <w:u w:val="single"/>
        </w:rPr>
        <w:t>30</w:t>
      </w:r>
    </w:p>
    <w:p w:rsidR="0008423C" w:rsidRPr="00D06205" w:rsidRDefault="0008423C" w:rsidP="0008423C">
      <w:pPr>
        <w:pStyle w:val="NoSpacing"/>
        <w:ind w:left="720" w:hanging="720"/>
        <w:rPr>
          <w:rFonts w:ascii="Times New Roman" w:hAnsi="Times New Roman" w:cs="Times New Roman"/>
          <w:b/>
          <w:sz w:val="24"/>
          <w:szCs w:val="24"/>
          <w:u w:val="single"/>
        </w:rPr>
      </w:pPr>
    </w:p>
    <w:p w:rsidR="00F31547" w:rsidRPr="00F31547" w:rsidRDefault="00F31547" w:rsidP="00F31547">
      <w:pPr>
        <w:widowControl w:val="0"/>
        <w:kinsoku w:val="0"/>
        <w:overflowPunct w:val="0"/>
        <w:autoSpaceDE w:val="0"/>
        <w:autoSpaceDN w:val="0"/>
        <w:adjustRightInd w:val="0"/>
        <w:spacing w:before="90" w:after="0" w:line="240" w:lineRule="auto"/>
        <w:ind w:left="122"/>
        <w:rPr>
          <w:rFonts w:ascii="Times New Roman" w:eastAsiaTheme="minorEastAsia" w:hAnsi="Times New Roman" w:cs="Times New Roman"/>
          <w:sz w:val="24"/>
          <w:szCs w:val="24"/>
        </w:rPr>
      </w:pPr>
      <w:r w:rsidRPr="00F31547">
        <w:rPr>
          <w:rFonts w:ascii="Times New Roman" w:eastAsiaTheme="minorEastAsia" w:hAnsi="Times New Roman" w:cs="Times New Roman"/>
          <w:sz w:val="24"/>
          <w:szCs w:val="24"/>
        </w:rPr>
        <w:t>Dear Mr. Kirkpatrick:</w:t>
      </w:r>
    </w:p>
    <w:p w:rsidR="00F31547" w:rsidRPr="00F31547" w:rsidRDefault="00F31547" w:rsidP="00F31547">
      <w:pPr>
        <w:widowControl w:val="0"/>
        <w:kinsoku w:val="0"/>
        <w:overflowPunct w:val="0"/>
        <w:autoSpaceDE w:val="0"/>
        <w:autoSpaceDN w:val="0"/>
        <w:adjustRightInd w:val="0"/>
        <w:spacing w:before="3" w:after="0" w:line="240" w:lineRule="auto"/>
        <w:rPr>
          <w:rFonts w:ascii="Times New Roman" w:eastAsiaTheme="minorEastAsia" w:hAnsi="Times New Roman" w:cs="Times New Roman"/>
          <w:sz w:val="24"/>
          <w:szCs w:val="24"/>
        </w:rPr>
      </w:pPr>
    </w:p>
    <w:p w:rsidR="00F31547" w:rsidRPr="00F31547" w:rsidRDefault="00F31547" w:rsidP="00F31547">
      <w:pPr>
        <w:widowControl w:val="0"/>
        <w:kinsoku w:val="0"/>
        <w:overflowPunct w:val="0"/>
        <w:autoSpaceDE w:val="0"/>
        <w:autoSpaceDN w:val="0"/>
        <w:adjustRightInd w:val="0"/>
        <w:spacing w:after="0" w:line="276" w:lineRule="exact"/>
        <w:ind w:left="122" w:right="116" w:firstLine="720"/>
        <w:rPr>
          <w:rFonts w:ascii="Times New Roman" w:eastAsiaTheme="minorEastAsia" w:hAnsi="Times New Roman" w:cs="Times New Roman"/>
          <w:sz w:val="24"/>
          <w:szCs w:val="24"/>
        </w:rPr>
      </w:pPr>
      <w:r w:rsidRPr="00F31547">
        <w:rPr>
          <w:rFonts w:ascii="Times New Roman" w:eastAsiaTheme="minorEastAsia" w:hAnsi="Times New Roman" w:cs="Times New Roman"/>
          <w:sz w:val="24"/>
          <w:szCs w:val="24"/>
        </w:rPr>
        <w:t>Pursuant to Section 5c(c)(1) of the Commodity Exchange Act, as amended (“</w:t>
      </w:r>
      <w:r w:rsidRPr="00F31547">
        <w:rPr>
          <w:rFonts w:ascii="Times New Roman" w:eastAsiaTheme="minorEastAsia" w:hAnsi="Times New Roman" w:cs="Times New Roman"/>
          <w:sz w:val="24"/>
          <w:szCs w:val="24"/>
          <w:u w:val="single" w:color="000000"/>
        </w:rPr>
        <w:t>Act</w:t>
      </w:r>
      <w:r w:rsidRPr="00F31547">
        <w:rPr>
          <w:rFonts w:ascii="Times New Roman" w:eastAsiaTheme="minorEastAsia" w:hAnsi="Times New Roman" w:cs="Times New Roman"/>
          <w:sz w:val="24"/>
          <w:szCs w:val="24"/>
        </w:rPr>
        <w:t>”), and Sections 40.2 and 40.6 of the Commission’s regulations thereunder, NASDAQ Futures, Inc. (“</w:t>
      </w:r>
      <w:r w:rsidRPr="00F31547">
        <w:rPr>
          <w:rFonts w:ascii="Times New Roman" w:eastAsiaTheme="minorEastAsia" w:hAnsi="Times New Roman" w:cs="Times New Roman"/>
          <w:sz w:val="24"/>
          <w:szCs w:val="24"/>
          <w:u w:val="single" w:color="000000"/>
        </w:rPr>
        <w:t>NFX</w:t>
      </w:r>
      <w:r w:rsidRPr="00F31547">
        <w:rPr>
          <w:rFonts w:ascii="Times New Roman" w:eastAsiaTheme="minorEastAsia" w:hAnsi="Times New Roman" w:cs="Times New Roman"/>
          <w:sz w:val="24"/>
          <w:szCs w:val="24"/>
        </w:rPr>
        <w:t>” or “</w:t>
      </w:r>
      <w:r w:rsidRPr="00F31547">
        <w:rPr>
          <w:rFonts w:ascii="Times New Roman" w:eastAsiaTheme="minorEastAsia" w:hAnsi="Times New Roman" w:cs="Times New Roman"/>
          <w:sz w:val="24"/>
          <w:szCs w:val="24"/>
          <w:u w:val="single" w:color="000000"/>
        </w:rPr>
        <w:t>Exchange</w:t>
      </w:r>
      <w:r w:rsidRPr="00F31547">
        <w:rPr>
          <w:rFonts w:ascii="Times New Roman" w:eastAsiaTheme="minorEastAsia" w:hAnsi="Times New Roman" w:cs="Times New Roman"/>
          <w:sz w:val="24"/>
          <w:szCs w:val="24"/>
        </w:rPr>
        <w:t>”) submits this self-certification to amend the Exchange’s broker incentive program (the “</w:t>
      </w:r>
      <w:bookmarkStart w:id="0" w:name="_GoBack"/>
      <w:r w:rsidRPr="00F31547">
        <w:rPr>
          <w:rFonts w:ascii="Times New Roman" w:eastAsiaTheme="minorEastAsia" w:hAnsi="Times New Roman" w:cs="Times New Roman"/>
          <w:sz w:val="24"/>
          <w:szCs w:val="24"/>
          <w:u w:val="single" w:color="000000"/>
        </w:rPr>
        <w:t>Energy Broker Incentive Program</w:t>
      </w:r>
      <w:bookmarkEnd w:id="0"/>
      <w:r w:rsidRPr="00F31547">
        <w:rPr>
          <w:rFonts w:ascii="Times New Roman" w:eastAsiaTheme="minorEastAsia" w:hAnsi="Times New Roman" w:cs="Times New Roman"/>
          <w:sz w:val="24"/>
          <w:szCs w:val="24"/>
        </w:rPr>
        <w:t>” or “</w:t>
      </w:r>
      <w:r w:rsidRPr="00F31547">
        <w:rPr>
          <w:rFonts w:ascii="Times New Roman" w:eastAsiaTheme="minorEastAsia" w:hAnsi="Times New Roman" w:cs="Times New Roman"/>
          <w:sz w:val="24"/>
          <w:szCs w:val="24"/>
          <w:u w:val="single" w:color="000000"/>
        </w:rPr>
        <w:t>Program</w:t>
      </w:r>
      <w:r w:rsidRPr="00F31547">
        <w:rPr>
          <w:rFonts w:ascii="Times New Roman" w:eastAsiaTheme="minorEastAsia" w:hAnsi="Times New Roman" w:cs="Times New Roman"/>
          <w:sz w:val="24"/>
          <w:szCs w:val="24"/>
        </w:rPr>
        <w:t>”) for certain energy contracts (the “</w:t>
      </w:r>
      <w:r w:rsidRPr="00F31547">
        <w:rPr>
          <w:rFonts w:ascii="Times New Roman" w:eastAsiaTheme="minorEastAsia" w:hAnsi="Times New Roman" w:cs="Times New Roman"/>
          <w:sz w:val="24"/>
          <w:szCs w:val="24"/>
          <w:u w:val="single" w:color="000000"/>
        </w:rPr>
        <w:t>Energy Contracts</w:t>
      </w:r>
      <w:r w:rsidRPr="00F31547">
        <w:rPr>
          <w:rFonts w:ascii="Times New Roman" w:eastAsiaTheme="minorEastAsia" w:hAnsi="Times New Roman" w:cs="Times New Roman"/>
          <w:sz w:val="24"/>
          <w:szCs w:val="24"/>
        </w:rPr>
        <w:t>”).</w:t>
      </w:r>
      <w:hyperlink w:anchor="bookmark0" w:history="1">
        <w:r w:rsidRPr="00F31547">
          <w:rPr>
            <w:rFonts w:ascii="Times New Roman" w:eastAsiaTheme="minorEastAsia" w:hAnsi="Times New Roman" w:cs="Times New Roman"/>
            <w:position w:val="11"/>
            <w:sz w:val="16"/>
            <w:szCs w:val="16"/>
          </w:rPr>
          <w:t>1</w:t>
        </w:r>
      </w:hyperlink>
      <w:r w:rsidRPr="00F31547">
        <w:rPr>
          <w:rFonts w:ascii="Times New Roman" w:eastAsiaTheme="minorEastAsia" w:hAnsi="Times New Roman" w:cs="Times New Roman"/>
          <w:position w:val="11"/>
          <w:sz w:val="16"/>
          <w:szCs w:val="16"/>
        </w:rPr>
        <w:t xml:space="preserve">  </w:t>
      </w:r>
      <w:r w:rsidRPr="00F31547">
        <w:rPr>
          <w:rFonts w:ascii="Times New Roman" w:eastAsiaTheme="minorEastAsia" w:hAnsi="Times New Roman" w:cs="Times New Roman"/>
          <w:sz w:val="24"/>
          <w:szCs w:val="24"/>
        </w:rPr>
        <w:t xml:space="preserve">This self-certification </w:t>
      </w:r>
      <w:r w:rsidR="005B74C1">
        <w:rPr>
          <w:rFonts w:ascii="Times New Roman" w:eastAsiaTheme="minorEastAsia" w:hAnsi="Times New Roman" w:cs="Times New Roman"/>
          <w:sz w:val="24"/>
          <w:szCs w:val="24"/>
        </w:rPr>
        <w:t xml:space="preserve">adds one additional payment tier for the NFX Options on NFX Henry Hub Futures – 10,000 contract (LNQ) and adds in the payment for </w:t>
      </w:r>
      <w:r w:rsidR="000A5577">
        <w:rPr>
          <w:rFonts w:ascii="Times New Roman" w:eastAsiaTheme="minorEastAsia" w:hAnsi="Times New Roman" w:cs="Times New Roman"/>
          <w:sz w:val="24"/>
          <w:szCs w:val="24"/>
        </w:rPr>
        <w:t xml:space="preserve">the new </w:t>
      </w:r>
      <w:r w:rsidR="005B74C1">
        <w:rPr>
          <w:rFonts w:ascii="Times New Roman" w:eastAsiaTheme="minorEastAsia" w:hAnsi="Times New Roman" w:cs="Times New Roman"/>
          <w:sz w:val="24"/>
          <w:szCs w:val="24"/>
        </w:rPr>
        <w:t>NFX Dry Freight Futures and Options on Dry Freight Futures.</w:t>
      </w:r>
      <w:r w:rsidRPr="00F31547">
        <w:rPr>
          <w:rFonts w:ascii="Times New Roman" w:eastAsiaTheme="minorEastAsia" w:hAnsi="Times New Roman" w:cs="Times New Roman"/>
          <w:sz w:val="24"/>
          <w:szCs w:val="24"/>
        </w:rPr>
        <w:t xml:space="preserve"> </w:t>
      </w:r>
      <w:r w:rsidR="005B74C1">
        <w:rPr>
          <w:rFonts w:ascii="Times New Roman" w:eastAsiaTheme="minorEastAsia" w:hAnsi="Times New Roman" w:cs="Times New Roman"/>
          <w:sz w:val="24"/>
          <w:szCs w:val="24"/>
        </w:rPr>
        <w:t xml:space="preserve">Furthermore, the amendment extends the Program until January 31, 2019.  </w:t>
      </w:r>
      <w:r w:rsidRPr="00F31547">
        <w:rPr>
          <w:rFonts w:ascii="Times New Roman" w:eastAsiaTheme="minorEastAsia" w:hAnsi="Times New Roman" w:cs="Times New Roman"/>
          <w:sz w:val="24"/>
          <w:szCs w:val="24"/>
        </w:rPr>
        <w:t xml:space="preserve">The terms and conditions of the Energy Broker Incentive Program are attached hereto as </w:t>
      </w:r>
      <w:r w:rsidR="00075D5F">
        <w:rPr>
          <w:rFonts w:ascii="Times New Roman" w:eastAsiaTheme="minorEastAsia" w:hAnsi="Times New Roman" w:cs="Times New Roman"/>
          <w:sz w:val="24"/>
          <w:szCs w:val="24"/>
          <w:u w:val="single" w:color="000000"/>
        </w:rPr>
        <w:t>Exhibit A</w:t>
      </w:r>
      <w:r w:rsidRPr="00F31547">
        <w:rPr>
          <w:rFonts w:ascii="Times New Roman" w:eastAsiaTheme="minorEastAsia" w:hAnsi="Times New Roman" w:cs="Times New Roman"/>
          <w:sz w:val="24"/>
          <w:szCs w:val="24"/>
        </w:rPr>
        <w:t xml:space="preserve">. The amendments in </w:t>
      </w:r>
      <w:r w:rsidR="00075D5F">
        <w:rPr>
          <w:rFonts w:ascii="Times New Roman" w:eastAsiaTheme="minorEastAsia" w:hAnsi="Times New Roman" w:cs="Times New Roman"/>
          <w:sz w:val="24"/>
          <w:szCs w:val="24"/>
          <w:u w:val="single" w:color="000000"/>
        </w:rPr>
        <w:t>Exhibit A</w:t>
      </w:r>
      <w:r w:rsidRPr="00F31547">
        <w:rPr>
          <w:rFonts w:ascii="Times New Roman" w:eastAsiaTheme="minorEastAsia" w:hAnsi="Times New Roman" w:cs="Times New Roman"/>
          <w:sz w:val="24"/>
          <w:szCs w:val="24"/>
        </w:rPr>
        <w:t xml:space="preserve"> will be implemented on </w:t>
      </w:r>
      <w:r w:rsidR="005B74C1">
        <w:rPr>
          <w:rFonts w:ascii="Times New Roman" w:eastAsiaTheme="minorEastAsia" w:hAnsi="Times New Roman" w:cs="Times New Roman"/>
          <w:sz w:val="24"/>
          <w:szCs w:val="24"/>
        </w:rPr>
        <w:t>July</w:t>
      </w:r>
      <w:r w:rsidRPr="00F31547">
        <w:rPr>
          <w:rFonts w:ascii="Times New Roman" w:eastAsiaTheme="minorEastAsia" w:hAnsi="Times New Roman" w:cs="Times New Roman"/>
          <w:sz w:val="24"/>
          <w:szCs w:val="24"/>
        </w:rPr>
        <w:t xml:space="preserve"> 1,</w:t>
      </w:r>
      <w:r w:rsidRPr="00F31547">
        <w:rPr>
          <w:rFonts w:ascii="Times New Roman" w:eastAsiaTheme="minorEastAsia" w:hAnsi="Times New Roman" w:cs="Times New Roman"/>
          <w:spacing w:val="-15"/>
          <w:sz w:val="24"/>
          <w:szCs w:val="24"/>
        </w:rPr>
        <w:t xml:space="preserve"> </w:t>
      </w:r>
      <w:r w:rsidRPr="00F31547">
        <w:rPr>
          <w:rFonts w:ascii="Times New Roman" w:eastAsiaTheme="minorEastAsia" w:hAnsi="Times New Roman" w:cs="Times New Roman"/>
          <w:sz w:val="24"/>
          <w:szCs w:val="24"/>
        </w:rPr>
        <w:t>2018.</w:t>
      </w:r>
    </w:p>
    <w:p w:rsidR="00F31547" w:rsidRPr="00F31547" w:rsidRDefault="00F31547" w:rsidP="00F31547">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15"/>
          <w:szCs w:val="15"/>
        </w:rPr>
      </w:pPr>
    </w:p>
    <w:p w:rsidR="00F31547" w:rsidRPr="00F31547" w:rsidRDefault="00F31547" w:rsidP="00F31547">
      <w:pPr>
        <w:widowControl w:val="0"/>
        <w:kinsoku w:val="0"/>
        <w:overflowPunct w:val="0"/>
        <w:autoSpaceDE w:val="0"/>
        <w:autoSpaceDN w:val="0"/>
        <w:adjustRightInd w:val="0"/>
        <w:spacing w:before="90" w:after="0" w:line="240" w:lineRule="auto"/>
        <w:ind w:left="122" w:right="156" w:firstLine="720"/>
        <w:rPr>
          <w:rFonts w:ascii="Times New Roman" w:eastAsiaTheme="minorEastAsia" w:hAnsi="Times New Roman" w:cs="Times New Roman"/>
          <w:color w:val="000000"/>
          <w:sz w:val="24"/>
          <w:szCs w:val="24"/>
        </w:rPr>
      </w:pPr>
      <w:r w:rsidRPr="00F31547">
        <w:rPr>
          <w:rFonts w:ascii="Times New Roman" w:eastAsiaTheme="minorEastAsia" w:hAnsi="Times New Roman" w:cs="Times New Roman"/>
          <w:sz w:val="24"/>
          <w:szCs w:val="24"/>
        </w:rPr>
        <w:t xml:space="preserve">There were no opposing views among the NFX’s Board of Directors, members or market participants. The Exchange hereby certifies that the amendment to change the incentive to include the New Contracts to the Energy Broker Incentive Program complies with the Commodity Exchange Act and regulations thereunder. The Exchange also certifies that notice of pending certification and a copy of this submission have been concurrently posted on the Exchange’s website at </w:t>
      </w:r>
      <w:r w:rsidRPr="00F31547">
        <w:rPr>
          <w:rFonts w:ascii="Times New Roman" w:eastAsiaTheme="minorEastAsia" w:hAnsi="Times New Roman" w:cs="Times New Roman"/>
          <w:color w:val="818181"/>
          <w:sz w:val="24"/>
          <w:szCs w:val="24"/>
          <w:u w:val="single"/>
        </w:rPr>
        <w:t>business.nasdaq.com/futures</w:t>
      </w:r>
      <w:r w:rsidRPr="00F31547">
        <w:rPr>
          <w:rFonts w:ascii="Times New Roman" w:eastAsiaTheme="minorEastAsia" w:hAnsi="Times New Roman" w:cs="Times New Roman"/>
          <w:color w:val="000000"/>
          <w:sz w:val="24"/>
          <w:szCs w:val="24"/>
        </w:rPr>
        <w:t>.</w:t>
      </w:r>
    </w:p>
    <w:p w:rsidR="00F31547" w:rsidRPr="00F31547" w:rsidRDefault="00F31547" w:rsidP="00F31547">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rsidR="00F31547" w:rsidRPr="00F31547" w:rsidRDefault="00F31547" w:rsidP="00F31547">
      <w:pPr>
        <w:widowControl w:val="0"/>
        <w:kinsoku w:val="0"/>
        <w:overflowPunct w:val="0"/>
        <w:autoSpaceDE w:val="0"/>
        <w:autoSpaceDN w:val="0"/>
        <w:adjustRightInd w:val="0"/>
        <w:spacing w:before="90" w:after="0" w:line="240" w:lineRule="auto"/>
        <w:ind w:left="102" w:right="396" w:firstLine="720"/>
        <w:jc w:val="both"/>
        <w:rPr>
          <w:rFonts w:ascii="Times New Roman" w:eastAsiaTheme="minorEastAsia" w:hAnsi="Times New Roman" w:cs="Times New Roman"/>
          <w:sz w:val="24"/>
          <w:szCs w:val="24"/>
        </w:rPr>
      </w:pPr>
      <w:r w:rsidRPr="00F31547">
        <w:rPr>
          <w:rFonts w:ascii="Times New Roman" w:eastAsiaTheme="minorEastAsia" w:hAnsi="Times New Roman" w:cs="Times New Roman"/>
          <w:sz w:val="24"/>
          <w:szCs w:val="24"/>
        </w:rPr>
        <w:t xml:space="preserve">If you require any additional information regarding the submission, please contact Stephen Matthews at +1 301 978 8456 or via e-mail at </w:t>
      </w:r>
      <w:hyperlink r:id="rId12" w:history="1">
        <w:r w:rsidRPr="00F31547">
          <w:rPr>
            <w:rFonts w:ascii="Times New Roman" w:eastAsiaTheme="minorEastAsia" w:hAnsi="Times New Roman" w:cs="Times New Roman"/>
            <w:color w:val="0563C1" w:themeColor="hyperlink"/>
            <w:sz w:val="24"/>
            <w:szCs w:val="24"/>
            <w:u w:val="single"/>
          </w:rPr>
          <w:t>steve.matthews@nasdaq.com.</w:t>
        </w:r>
      </w:hyperlink>
      <w:r w:rsidRPr="00F31547">
        <w:rPr>
          <w:rFonts w:ascii="Times New Roman" w:eastAsiaTheme="minorEastAsia" w:hAnsi="Times New Roman" w:cs="Times New Roman"/>
          <w:sz w:val="24"/>
          <w:szCs w:val="24"/>
        </w:rPr>
        <w:t xml:space="preserve"> Please reference SR-NFX-2018-</w:t>
      </w:r>
      <w:r w:rsidR="0087015D">
        <w:rPr>
          <w:rFonts w:ascii="Times New Roman" w:eastAsiaTheme="minorEastAsia" w:hAnsi="Times New Roman" w:cs="Times New Roman"/>
          <w:sz w:val="24"/>
          <w:szCs w:val="24"/>
        </w:rPr>
        <w:t>30</w:t>
      </w:r>
      <w:r w:rsidRPr="00F31547">
        <w:rPr>
          <w:rFonts w:ascii="Times New Roman" w:eastAsiaTheme="minorEastAsia" w:hAnsi="Times New Roman" w:cs="Times New Roman"/>
          <w:sz w:val="24"/>
          <w:szCs w:val="24"/>
        </w:rPr>
        <w:t xml:space="preserve"> in any related correspondence.</w:t>
      </w:r>
    </w:p>
    <w:p w:rsidR="0008423C" w:rsidRPr="00D06205" w:rsidRDefault="0008423C" w:rsidP="0008423C">
      <w:pPr>
        <w:pStyle w:val="NoSpacing"/>
        <w:keepNext/>
        <w:rPr>
          <w:rFonts w:ascii="Times New Roman" w:eastAsia="Times New Roman" w:hAnsi="Times New Roman" w:cs="Times New Roman"/>
          <w:sz w:val="24"/>
          <w:szCs w:val="24"/>
        </w:rPr>
      </w:pPr>
    </w:p>
    <w:p w:rsidR="0008423C" w:rsidRPr="00D06205" w:rsidRDefault="0008423C" w:rsidP="0008423C">
      <w:pPr>
        <w:pStyle w:val="NoSpacing"/>
        <w:keepNext/>
        <w:rPr>
          <w:rFonts w:ascii="Times New Roman" w:eastAsia="Calibri" w:hAnsi="Times New Roman" w:cs="Times New Roman"/>
          <w:sz w:val="24"/>
          <w:szCs w:val="24"/>
        </w:rPr>
      </w:pPr>
    </w:p>
    <w:p w:rsidR="0095411C" w:rsidRPr="00D06205" w:rsidRDefault="0095411C" w:rsidP="0095411C">
      <w:pPr>
        <w:pStyle w:val="NoSpacing"/>
        <w:keepNext/>
        <w:ind w:left="2880" w:firstLine="720"/>
        <w:rPr>
          <w:rFonts w:ascii="Times New Roman" w:hAnsi="Times New Roman" w:cs="Times New Roman"/>
          <w:sz w:val="24"/>
          <w:szCs w:val="24"/>
        </w:rPr>
      </w:pPr>
      <w:r w:rsidRPr="00D06205">
        <w:rPr>
          <w:rFonts w:ascii="Times New Roman" w:eastAsia="Calibri" w:hAnsi="Times New Roman" w:cs="Times New Roman"/>
          <w:sz w:val="24"/>
          <w:szCs w:val="24"/>
        </w:rPr>
        <w:t>Regards,</w:t>
      </w:r>
    </w:p>
    <w:p w:rsidR="0095411C" w:rsidRPr="00D06205" w:rsidRDefault="0095411C" w:rsidP="0095411C">
      <w:pPr>
        <w:pStyle w:val="NoSpacing"/>
        <w:keepNext/>
        <w:ind w:left="2880" w:firstLine="720"/>
        <w:contextualSpacing/>
        <w:rPr>
          <w:rFonts w:ascii="Times New Roman" w:eastAsia="Calibri" w:hAnsi="Times New Roman" w:cs="Times New Roman"/>
          <w:sz w:val="24"/>
          <w:szCs w:val="24"/>
        </w:rPr>
      </w:pPr>
      <w:r w:rsidRPr="00D06205">
        <w:rPr>
          <w:rFonts w:ascii="Times New Roman" w:eastAsia="Calibri" w:hAnsi="Times New Roman" w:cs="Times New Roman"/>
          <w:noProof/>
          <w:sz w:val="24"/>
          <w:szCs w:val="24"/>
        </w:rPr>
        <w:drawing>
          <wp:inline distT="0" distB="0" distL="0" distR="0" wp14:anchorId="36F4C54D" wp14:editId="6741E287">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95411C" w:rsidRPr="00D06205" w:rsidRDefault="0095411C" w:rsidP="0095411C">
      <w:pPr>
        <w:pStyle w:val="NoSpacing"/>
        <w:keepNext/>
        <w:ind w:left="2880" w:firstLine="720"/>
        <w:rPr>
          <w:rFonts w:ascii="Times New Roman" w:eastAsia="Calibri" w:hAnsi="Times New Roman" w:cs="Times New Roman"/>
          <w:sz w:val="24"/>
          <w:szCs w:val="24"/>
        </w:rPr>
      </w:pPr>
    </w:p>
    <w:p w:rsidR="0095411C" w:rsidRPr="00D06205" w:rsidRDefault="0095411C" w:rsidP="0095411C">
      <w:pPr>
        <w:pStyle w:val="NoSpacing"/>
        <w:keepNext/>
        <w:ind w:left="2880" w:firstLine="720"/>
        <w:rPr>
          <w:rFonts w:ascii="Times New Roman" w:eastAsia="Calibri" w:hAnsi="Times New Roman" w:cs="Times New Roman"/>
          <w:sz w:val="24"/>
          <w:szCs w:val="24"/>
        </w:rPr>
      </w:pPr>
      <w:r w:rsidRPr="00D06205">
        <w:rPr>
          <w:rFonts w:ascii="Times New Roman" w:eastAsia="Calibri" w:hAnsi="Times New Roman" w:cs="Times New Roman"/>
          <w:sz w:val="24"/>
          <w:szCs w:val="24"/>
        </w:rPr>
        <w:t>Rick Beaman</w:t>
      </w:r>
    </w:p>
    <w:p w:rsidR="0008423C" w:rsidRPr="00D06205" w:rsidRDefault="0095411C" w:rsidP="0095411C">
      <w:pPr>
        <w:pStyle w:val="NoSpacing"/>
        <w:ind w:left="2880" w:firstLine="720"/>
        <w:rPr>
          <w:rFonts w:ascii="Times New Roman" w:eastAsia="Calibri" w:hAnsi="Times New Roman" w:cs="Times New Roman"/>
          <w:sz w:val="24"/>
          <w:szCs w:val="24"/>
        </w:rPr>
      </w:pPr>
      <w:r w:rsidRPr="00D06205">
        <w:rPr>
          <w:rFonts w:ascii="Times New Roman" w:eastAsia="Calibri" w:hAnsi="Times New Roman" w:cs="Times New Roman"/>
          <w:sz w:val="24"/>
          <w:szCs w:val="24"/>
        </w:rPr>
        <w:t>Chief Executive Officer</w:t>
      </w:r>
    </w:p>
    <w:p w:rsidR="0008423C" w:rsidRPr="00D06205" w:rsidRDefault="0008423C" w:rsidP="0008423C">
      <w:pPr>
        <w:pStyle w:val="NoSpacing"/>
        <w:rPr>
          <w:rFonts w:ascii="Times New Roman" w:eastAsia="Calibri" w:hAnsi="Times New Roman" w:cs="Times New Roman"/>
          <w:sz w:val="24"/>
          <w:szCs w:val="24"/>
        </w:rPr>
      </w:pPr>
    </w:p>
    <w:p w:rsidR="0095411C" w:rsidRPr="00D06205" w:rsidRDefault="0095411C" w:rsidP="0008423C">
      <w:pPr>
        <w:pStyle w:val="NoSpacing"/>
        <w:rPr>
          <w:rFonts w:ascii="Times New Roman" w:eastAsia="Calibri" w:hAnsi="Times New Roman" w:cs="Times New Roman"/>
          <w:sz w:val="24"/>
          <w:szCs w:val="24"/>
        </w:rPr>
      </w:pPr>
    </w:p>
    <w:p w:rsidR="0008423C" w:rsidRPr="00D06205" w:rsidRDefault="0008423C" w:rsidP="0008423C">
      <w:pPr>
        <w:spacing w:after="0" w:line="240" w:lineRule="auto"/>
        <w:rPr>
          <w:rFonts w:ascii="Times New Roman" w:hAnsi="Times New Roman" w:cs="Times New Roman"/>
          <w:sz w:val="24"/>
          <w:szCs w:val="24"/>
        </w:rPr>
      </w:pPr>
      <w:r w:rsidRPr="00D06205">
        <w:rPr>
          <w:rFonts w:ascii="Times New Roman" w:hAnsi="Times New Roman" w:cs="Times New Roman"/>
          <w:sz w:val="24"/>
          <w:szCs w:val="24"/>
        </w:rPr>
        <w:t xml:space="preserve">Attachments: </w:t>
      </w:r>
    </w:p>
    <w:p w:rsidR="0008423C" w:rsidRPr="00D06205" w:rsidRDefault="0008423C" w:rsidP="0008423C">
      <w:pPr>
        <w:spacing w:after="0" w:line="240" w:lineRule="auto"/>
        <w:rPr>
          <w:rFonts w:ascii="Times New Roman" w:hAnsi="Times New Roman" w:cs="Times New Roman"/>
          <w:sz w:val="24"/>
          <w:szCs w:val="24"/>
        </w:rPr>
      </w:pPr>
    </w:p>
    <w:p w:rsidR="00F31547" w:rsidRPr="00F31547" w:rsidRDefault="0008423C" w:rsidP="00F31547">
      <w:pPr>
        <w:pStyle w:val="BodyText"/>
        <w:tabs>
          <w:tab w:val="left" w:pos="1472"/>
        </w:tabs>
        <w:kinsoku w:val="0"/>
        <w:overflowPunct w:val="0"/>
        <w:ind w:left="102"/>
        <w:rPr>
          <w:rFonts w:ascii="Times New Roman" w:eastAsiaTheme="minorEastAsia" w:hAnsi="Times New Roman" w:cs="Times New Roman"/>
          <w:sz w:val="24"/>
          <w:szCs w:val="24"/>
        </w:rPr>
      </w:pPr>
      <w:r w:rsidRPr="00D06205">
        <w:rPr>
          <w:rFonts w:ascii="Times New Roman" w:hAnsi="Times New Roman" w:cs="Times New Roman"/>
          <w:sz w:val="24"/>
          <w:szCs w:val="24"/>
          <w:u w:val="single"/>
        </w:rPr>
        <w:t xml:space="preserve">Exhibit </w:t>
      </w:r>
      <w:r w:rsidR="005A08AE" w:rsidRPr="00D06205">
        <w:rPr>
          <w:rFonts w:ascii="Times New Roman" w:hAnsi="Times New Roman" w:cs="Times New Roman"/>
          <w:sz w:val="24"/>
          <w:szCs w:val="24"/>
          <w:u w:val="single"/>
        </w:rPr>
        <w:t>A</w:t>
      </w:r>
      <w:r w:rsidRPr="00D06205">
        <w:rPr>
          <w:rFonts w:ascii="Times New Roman" w:hAnsi="Times New Roman" w:cs="Times New Roman"/>
          <w:sz w:val="24"/>
          <w:szCs w:val="24"/>
        </w:rPr>
        <w:t>:</w:t>
      </w:r>
      <w:r w:rsidRPr="00D06205">
        <w:rPr>
          <w:rFonts w:ascii="Times New Roman" w:hAnsi="Times New Roman" w:cs="Times New Roman"/>
          <w:sz w:val="24"/>
          <w:szCs w:val="24"/>
        </w:rPr>
        <w:tab/>
        <w:t xml:space="preserve"> </w:t>
      </w:r>
      <w:r w:rsidR="00F31547" w:rsidRPr="00F31547">
        <w:rPr>
          <w:rFonts w:ascii="Times New Roman" w:eastAsiaTheme="minorEastAsia" w:hAnsi="Times New Roman" w:cs="Times New Roman"/>
          <w:sz w:val="24"/>
          <w:szCs w:val="24"/>
        </w:rPr>
        <w:t>Energy Broker Incentive</w:t>
      </w:r>
      <w:r w:rsidR="00F31547" w:rsidRPr="00F31547">
        <w:rPr>
          <w:rFonts w:ascii="Times New Roman" w:eastAsiaTheme="minorEastAsia" w:hAnsi="Times New Roman" w:cs="Times New Roman"/>
          <w:spacing w:val="-11"/>
          <w:sz w:val="24"/>
          <w:szCs w:val="24"/>
        </w:rPr>
        <w:t xml:space="preserve"> </w:t>
      </w:r>
      <w:r w:rsidR="00F31547" w:rsidRPr="00F31547">
        <w:rPr>
          <w:rFonts w:ascii="Times New Roman" w:eastAsiaTheme="minorEastAsia" w:hAnsi="Times New Roman" w:cs="Times New Roman"/>
          <w:sz w:val="24"/>
          <w:szCs w:val="24"/>
        </w:rPr>
        <w:t>Program</w:t>
      </w:r>
    </w:p>
    <w:p w:rsidR="00D60246" w:rsidRPr="00D06205" w:rsidRDefault="00D60246" w:rsidP="00D60246">
      <w:pPr>
        <w:spacing w:after="0" w:line="240" w:lineRule="auto"/>
        <w:rPr>
          <w:rFonts w:ascii="Times New Roman" w:hAnsi="Times New Roman" w:cs="Times New Roman"/>
          <w:sz w:val="24"/>
          <w:szCs w:val="24"/>
        </w:rPr>
      </w:pPr>
    </w:p>
    <w:p w:rsidR="00D60246" w:rsidRPr="00D06205" w:rsidRDefault="00D60246" w:rsidP="00D60246">
      <w:pPr>
        <w:spacing w:after="0" w:line="240" w:lineRule="auto"/>
        <w:rPr>
          <w:rFonts w:ascii="Times New Roman" w:hAnsi="Times New Roman" w:cs="Times New Roman"/>
          <w:sz w:val="24"/>
          <w:szCs w:val="24"/>
        </w:rPr>
      </w:pPr>
    </w:p>
    <w:p w:rsidR="00D60246" w:rsidRPr="00D06205" w:rsidRDefault="00D60246" w:rsidP="00D60246">
      <w:pPr>
        <w:spacing w:after="0" w:line="240" w:lineRule="auto"/>
        <w:rPr>
          <w:rFonts w:ascii="Times New Roman" w:hAnsi="Times New Roman" w:cs="Times New Roman"/>
          <w:sz w:val="24"/>
          <w:szCs w:val="24"/>
        </w:rPr>
      </w:pPr>
    </w:p>
    <w:p w:rsidR="00D60246" w:rsidRPr="00D06205" w:rsidRDefault="00D60246" w:rsidP="00D60246">
      <w:pPr>
        <w:spacing w:after="0" w:line="240" w:lineRule="auto"/>
        <w:rPr>
          <w:rFonts w:ascii="Times New Roman" w:hAnsi="Times New Roman" w:cs="Times New Roman"/>
          <w:sz w:val="24"/>
          <w:szCs w:val="24"/>
        </w:rPr>
      </w:pPr>
    </w:p>
    <w:p w:rsidR="00204EC5" w:rsidRPr="00D06205" w:rsidRDefault="00204EC5">
      <w:pPr>
        <w:rPr>
          <w:rFonts w:ascii="Times New Roman" w:hAnsi="Times New Roman" w:cs="Times New Roman"/>
          <w:sz w:val="24"/>
          <w:szCs w:val="24"/>
        </w:rPr>
      </w:pPr>
    </w:p>
    <w:sectPr w:rsidR="00204EC5" w:rsidRPr="00D06205" w:rsidSect="00E12802">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E83" w:rsidRDefault="00172E83" w:rsidP="0008423C">
      <w:pPr>
        <w:spacing w:after="0" w:line="240" w:lineRule="auto"/>
      </w:pPr>
      <w:r>
        <w:separator/>
      </w:r>
    </w:p>
  </w:endnote>
  <w:endnote w:type="continuationSeparator" w:id="0">
    <w:p w:rsidR="00172E83" w:rsidRDefault="00172E83"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E83" w:rsidRDefault="00172E83" w:rsidP="0008423C">
      <w:pPr>
        <w:spacing w:after="0" w:line="240" w:lineRule="auto"/>
      </w:pPr>
      <w:r>
        <w:separator/>
      </w:r>
    </w:p>
  </w:footnote>
  <w:footnote w:type="continuationSeparator" w:id="0">
    <w:p w:rsidR="00172E83" w:rsidRDefault="00172E83" w:rsidP="00084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075D5F">
      <w:rPr>
        <w:rFonts w:ascii="Times New Roman" w:hAnsi="Times New Roman" w:cs="Times New Roman"/>
        <w:noProof/>
        <w:sz w:val="20"/>
        <w:szCs w:val="20"/>
      </w:rPr>
      <w:t>June 15, 2018</w:t>
    </w:r>
    <w:r>
      <w:rPr>
        <w:rFonts w:ascii="Times New Roman" w:hAnsi="Times New Roman" w:cs="Times New Roman"/>
        <w:sz w:val="20"/>
        <w:szCs w:val="20"/>
      </w:rPr>
      <w:fldChar w:fldCharType="end"/>
    </w:r>
  </w:p>
  <w:p w:rsidR="0082421C" w:rsidRDefault="0095411C"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E12802" w:rsidRPr="00C54BB6">
      <w:rPr>
        <w:rFonts w:ascii="Times New Roman" w:hAnsi="Times New Roman" w:cs="Times New Roman"/>
        <w:sz w:val="20"/>
        <w:szCs w:val="20"/>
      </w:rPr>
      <w:t>-</w:t>
    </w:r>
    <w:r w:rsidR="00E37380">
      <w:rPr>
        <w:rFonts w:ascii="Times New Roman" w:hAnsi="Times New Roman" w:cs="Times New Roman"/>
        <w:sz w:val="20"/>
        <w:szCs w:val="20"/>
      </w:rPr>
      <w:t>30</w:t>
    </w:r>
  </w:p>
  <w:p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C13BE">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08423C" w:rsidRDefault="0008423C" w:rsidP="00FB3245">
    <w:pPr>
      <w:spacing w:before="120" w:after="0"/>
      <w:ind w:left="65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02" w:rsidRDefault="00E12802" w:rsidP="00E12802">
    <w:pPr>
      <w:pStyle w:val="Header"/>
      <w:ind w:firstLine="6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75D5F"/>
    <w:rsid w:val="0008423C"/>
    <w:rsid w:val="000A5577"/>
    <w:rsid w:val="000E26AE"/>
    <w:rsid w:val="000E415C"/>
    <w:rsid w:val="0012529D"/>
    <w:rsid w:val="001503D8"/>
    <w:rsid w:val="00154FD5"/>
    <w:rsid w:val="00172E83"/>
    <w:rsid w:val="00204EC5"/>
    <w:rsid w:val="00253701"/>
    <w:rsid w:val="002C0A34"/>
    <w:rsid w:val="00317C2C"/>
    <w:rsid w:val="003775E4"/>
    <w:rsid w:val="003B05E1"/>
    <w:rsid w:val="003B2C8A"/>
    <w:rsid w:val="003D40B8"/>
    <w:rsid w:val="004008C0"/>
    <w:rsid w:val="00434572"/>
    <w:rsid w:val="00443D38"/>
    <w:rsid w:val="004965FA"/>
    <w:rsid w:val="004A53F9"/>
    <w:rsid w:val="004B0524"/>
    <w:rsid w:val="004D7E5D"/>
    <w:rsid w:val="00525B98"/>
    <w:rsid w:val="00543CA2"/>
    <w:rsid w:val="00572DB9"/>
    <w:rsid w:val="005A08AE"/>
    <w:rsid w:val="005B74C1"/>
    <w:rsid w:val="005E3020"/>
    <w:rsid w:val="005F3337"/>
    <w:rsid w:val="00672199"/>
    <w:rsid w:val="00682A97"/>
    <w:rsid w:val="006B3A2F"/>
    <w:rsid w:val="006C2A86"/>
    <w:rsid w:val="006D0255"/>
    <w:rsid w:val="006E7A2A"/>
    <w:rsid w:val="007076E9"/>
    <w:rsid w:val="007562EF"/>
    <w:rsid w:val="007958C5"/>
    <w:rsid w:val="007C7601"/>
    <w:rsid w:val="00821537"/>
    <w:rsid w:val="00821A79"/>
    <w:rsid w:val="0082421C"/>
    <w:rsid w:val="008321A8"/>
    <w:rsid w:val="0083533B"/>
    <w:rsid w:val="00846BAF"/>
    <w:rsid w:val="0087015D"/>
    <w:rsid w:val="00893E15"/>
    <w:rsid w:val="00895F7F"/>
    <w:rsid w:val="008B041F"/>
    <w:rsid w:val="008C3F5C"/>
    <w:rsid w:val="00941967"/>
    <w:rsid w:val="0095411C"/>
    <w:rsid w:val="0096726E"/>
    <w:rsid w:val="009C13BE"/>
    <w:rsid w:val="009D0582"/>
    <w:rsid w:val="00A33DA7"/>
    <w:rsid w:val="00A5669E"/>
    <w:rsid w:val="00AA0718"/>
    <w:rsid w:val="00AD7CB9"/>
    <w:rsid w:val="00B53FAF"/>
    <w:rsid w:val="00B6532A"/>
    <w:rsid w:val="00BF3AF0"/>
    <w:rsid w:val="00C21CE4"/>
    <w:rsid w:val="00C4068B"/>
    <w:rsid w:val="00C7593E"/>
    <w:rsid w:val="00CA52C3"/>
    <w:rsid w:val="00CA6E45"/>
    <w:rsid w:val="00CB53DA"/>
    <w:rsid w:val="00D0050D"/>
    <w:rsid w:val="00D06205"/>
    <w:rsid w:val="00D327C6"/>
    <w:rsid w:val="00D60246"/>
    <w:rsid w:val="00D6561E"/>
    <w:rsid w:val="00D70718"/>
    <w:rsid w:val="00D84895"/>
    <w:rsid w:val="00DD40DA"/>
    <w:rsid w:val="00E1206A"/>
    <w:rsid w:val="00E12802"/>
    <w:rsid w:val="00E34482"/>
    <w:rsid w:val="00E37380"/>
    <w:rsid w:val="00E74C83"/>
    <w:rsid w:val="00EC432B"/>
    <w:rsid w:val="00F02F13"/>
    <w:rsid w:val="00F20044"/>
    <w:rsid w:val="00F20122"/>
    <w:rsid w:val="00F31547"/>
    <w:rsid w:val="00F452FD"/>
    <w:rsid w:val="00F86B2E"/>
    <w:rsid w:val="00F93853"/>
    <w:rsid w:val="00FB3245"/>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paragraph" w:styleId="Heading1">
    <w:name w:val="heading 1"/>
    <w:basedOn w:val="Normal"/>
    <w:next w:val="Normal"/>
    <w:link w:val="Heading1Char"/>
    <w:uiPriority w:val="9"/>
    <w:qFormat/>
    <w:rsid w:val="00F315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character" w:customStyle="1" w:styleId="Heading1Char">
    <w:name w:val="Heading 1 Char"/>
    <w:basedOn w:val="DefaultParagraphFont"/>
    <w:link w:val="Heading1"/>
    <w:uiPriority w:val="9"/>
    <w:rsid w:val="00F3154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F31547"/>
    <w:pPr>
      <w:spacing w:after="120"/>
    </w:pPr>
  </w:style>
  <w:style w:type="character" w:customStyle="1" w:styleId="BodyTextChar">
    <w:name w:val="Body Text Char"/>
    <w:basedOn w:val="DefaultParagraphFont"/>
    <w:link w:val="BodyText"/>
    <w:uiPriority w:val="99"/>
    <w:semiHidden/>
    <w:rsid w:val="00F31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ve.matthews@nasdaq.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ffdc1b7f-847e-4074-ba60-85498be8fd8f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2018-06-15T20:28:28+00:00</Document_x0020_Date>
    <Document_x0020_No xmlns="4b47aac5-4c46-444f-8595-ce09b406fc61">39991</Document_x0020_No>
  </documentManagement>
</p:properties>
</file>

<file path=customXml/itemProps1.xml><?xml version="1.0" encoding="utf-8"?>
<ds:datastoreItem xmlns:ds="http://schemas.openxmlformats.org/officeDocument/2006/customXml" ds:itemID="{0926608F-7C70-4998-93E1-AF96CC323E11}"/>
</file>

<file path=customXml/itemProps2.xml><?xml version="1.0" encoding="utf-8"?>
<ds:datastoreItem xmlns:ds="http://schemas.openxmlformats.org/officeDocument/2006/customXml" ds:itemID="{90D829F9-3282-40B0-8EEB-E8664B865834}"/>
</file>

<file path=customXml/itemProps3.xml><?xml version="1.0" encoding="utf-8"?>
<ds:datastoreItem xmlns:ds="http://schemas.openxmlformats.org/officeDocument/2006/customXml" ds:itemID="{1ECBB18B-C3D8-488D-8064-5B7F71B957B8}"/>
</file>

<file path=customXml/itemProps4.xml><?xml version="1.0" encoding="utf-8"?>
<ds:datastoreItem xmlns:ds="http://schemas.openxmlformats.org/officeDocument/2006/customXml" ds:itemID="{2A45C93B-4F59-4B47-8299-9B2E51913168}"/>
</file>

<file path=customXml/itemProps5.xml><?xml version="1.0" encoding="utf-8"?>
<ds:datastoreItem xmlns:ds="http://schemas.openxmlformats.org/officeDocument/2006/customXml" ds:itemID="{742AE1E5-549E-435C-A1FE-DEDA0A41805C}"/>
</file>

<file path=docProps/app.xml><?xml version="1.0" encoding="utf-8"?>
<Properties xmlns="http://schemas.openxmlformats.org/officeDocument/2006/extended-properties" xmlns:vt="http://schemas.openxmlformats.org/officeDocument/2006/docPropsVTypes">
  <Template>Normal</Template>
  <TotalTime>121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Christopher Cull</cp:lastModifiedBy>
  <cp:revision>8</cp:revision>
  <dcterms:created xsi:type="dcterms:W3CDTF">2018-05-29T19:35:00Z</dcterms:created>
  <dcterms:modified xsi:type="dcterms:W3CDTF">2018-06-15T20:11:00Z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5573300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