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F98" w:rsidRPr="00650B32" w:rsidRDefault="00EC1F98" w:rsidP="001B6ADA">
      <w:pPr>
        <w:pStyle w:val="NoSpacing"/>
        <w:ind w:left="2620" w:firstLine="1310"/>
        <w:rPr>
          <w:rFonts w:ascii="Times New Roman" w:eastAsia="Calibri" w:hAnsi="Times New Roman" w:cs="Times New Roman"/>
          <w:b/>
          <w:bCs/>
          <w:sz w:val="24"/>
          <w:szCs w:val="24"/>
        </w:rPr>
      </w:pPr>
      <w:bookmarkStart w:id="0" w:name="_GoBack"/>
      <w:bookmarkEnd w:id="0"/>
      <w:r w:rsidRPr="00650B32">
        <w:rPr>
          <w:rFonts w:ascii="Times New Roman" w:eastAsia="Calibri" w:hAnsi="Times New Roman" w:cs="Times New Roman"/>
          <w:b/>
          <w:bCs/>
          <w:color w:val="333333"/>
          <w:sz w:val="24"/>
          <w:szCs w:val="24"/>
        </w:rPr>
        <w:t>Rule Self-Certification</w:t>
      </w:r>
    </w:p>
    <w:p w:rsidR="00EC1F98" w:rsidRPr="00650B32" w:rsidRDefault="00EC1F98" w:rsidP="00EC1F98">
      <w:pPr>
        <w:pStyle w:val="NoSpacing"/>
        <w:rPr>
          <w:rFonts w:ascii="Times New Roman" w:eastAsia="Calibri" w:hAnsi="Times New Roman" w:cs="Times New Roman"/>
          <w:sz w:val="24"/>
          <w:szCs w:val="24"/>
          <w:u w:val="single"/>
        </w:rPr>
      </w:pPr>
    </w:p>
    <w:p w:rsidR="005101CA" w:rsidRPr="00C26B7B" w:rsidRDefault="001B3F5B" w:rsidP="005101CA">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June 16, 2017</w:t>
      </w:r>
    </w:p>
    <w:p w:rsidR="005101CA" w:rsidRPr="00C26B7B" w:rsidRDefault="005101CA" w:rsidP="005101CA">
      <w:pPr>
        <w:pStyle w:val="NoSpacing"/>
        <w:rPr>
          <w:rFonts w:ascii="Times New Roman" w:eastAsia="Calibri" w:hAnsi="Times New Roman" w:cs="Times New Roman"/>
          <w:sz w:val="24"/>
          <w:szCs w:val="24"/>
        </w:rPr>
      </w:pP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Christopher J. Kirkpatrick</w:t>
      </w: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Office of the Secretariat</w:t>
      </w: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Commodity Futures Trading Commission</w:t>
      </w: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Three Lafayette Center</w:t>
      </w: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1155 21</w:t>
      </w:r>
      <w:r w:rsidRPr="00C26B7B">
        <w:rPr>
          <w:rFonts w:ascii="Times New Roman" w:eastAsia="Calibri" w:hAnsi="Times New Roman" w:cs="Times New Roman"/>
          <w:sz w:val="24"/>
          <w:szCs w:val="24"/>
          <w:vertAlign w:val="superscript"/>
        </w:rPr>
        <w:t>st</w:t>
      </w:r>
      <w:r w:rsidRPr="00C26B7B">
        <w:rPr>
          <w:rFonts w:ascii="Times New Roman" w:eastAsia="Calibri" w:hAnsi="Times New Roman" w:cs="Times New Roman"/>
          <w:sz w:val="24"/>
          <w:szCs w:val="24"/>
        </w:rPr>
        <w:t xml:space="preserve"> Street, NW</w:t>
      </w:r>
    </w:p>
    <w:p w:rsidR="005101CA" w:rsidRPr="00C26B7B"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Washington, DC  20581</w:t>
      </w:r>
    </w:p>
    <w:p w:rsidR="005101CA" w:rsidRPr="00C26B7B" w:rsidRDefault="005101CA" w:rsidP="005101CA">
      <w:pPr>
        <w:pStyle w:val="NoSpacing"/>
        <w:rPr>
          <w:rFonts w:ascii="Times New Roman" w:eastAsia="Times New Roman" w:hAnsi="Times New Roman" w:cs="Times New Roman"/>
          <w:sz w:val="24"/>
          <w:szCs w:val="24"/>
        </w:rPr>
      </w:pPr>
    </w:p>
    <w:p w:rsidR="005101CA" w:rsidRPr="00C26B7B" w:rsidRDefault="005101CA" w:rsidP="00566AD7">
      <w:pPr>
        <w:pStyle w:val="NoSpacing"/>
        <w:ind w:left="720"/>
        <w:rPr>
          <w:rFonts w:ascii="Times New Roman" w:eastAsia="Calibri" w:hAnsi="Times New Roman" w:cs="Times New Roman"/>
          <w:sz w:val="24"/>
          <w:szCs w:val="24"/>
        </w:rPr>
      </w:pPr>
      <w:r w:rsidRPr="00C26B7B">
        <w:rPr>
          <w:rFonts w:ascii="Times New Roman" w:eastAsia="Calibri" w:hAnsi="Times New Roman" w:cs="Times New Roman"/>
          <w:sz w:val="24"/>
          <w:szCs w:val="24"/>
        </w:rPr>
        <w:t xml:space="preserve">Re:  </w:t>
      </w:r>
      <w:r w:rsidR="005F6EC0" w:rsidRPr="00C26B7B">
        <w:rPr>
          <w:rFonts w:ascii="Times New Roman" w:eastAsia="Calibri" w:hAnsi="Times New Roman" w:cs="Times New Roman"/>
          <w:b/>
          <w:sz w:val="24"/>
          <w:szCs w:val="24"/>
        </w:rPr>
        <w:t>Rule Certification for a</w:t>
      </w:r>
      <w:r w:rsidR="00C26B7B">
        <w:rPr>
          <w:rFonts w:ascii="Times New Roman" w:eastAsia="Calibri" w:hAnsi="Times New Roman" w:cs="Times New Roman"/>
          <w:b/>
          <w:sz w:val="24"/>
          <w:szCs w:val="24"/>
        </w:rPr>
        <w:t>n</w:t>
      </w:r>
    </w:p>
    <w:p w:rsidR="00566AD7" w:rsidRPr="00C26B7B" w:rsidRDefault="00566AD7" w:rsidP="00566AD7">
      <w:pPr>
        <w:pStyle w:val="NoSpacing"/>
        <w:ind w:left="720"/>
        <w:rPr>
          <w:rFonts w:ascii="Times New Roman" w:eastAsia="Calibri" w:hAnsi="Times New Roman" w:cs="Times New Roman"/>
          <w:b/>
          <w:sz w:val="24"/>
          <w:szCs w:val="24"/>
        </w:rPr>
      </w:pPr>
      <w:r w:rsidRPr="00C26B7B">
        <w:rPr>
          <w:rFonts w:ascii="Times New Roman" w:eastAsia="Calibri" w:hAnsi="Times New Roman" w:cs="Times New Roman"/>
          <w:sz w:val="24"/>
          <w:szCs w:val="24"/>
        </w:rPr>
        <w:t xml:space="preserve">      </w:t>
      </w:r>
      <w:r w:rsidR="002B3578" w:rsidRPr="00C26B7B">
        <w:rPr>
          <w:rFonts w:ascii="Times New Roman" w:eastAsia="Calibri" w:hAnsi="Times New Roman" w:cs="Times New Roman"/>
          <w:sz w:val="24"/>
          <w:szCs w:val="24"/>
        </w:rPr>
        <w:t xml:space="preserve"> </w:t>
      </w:r>
      <w:r w:rsidR="003D6045" w:rsidRPr="00C26B7B">
        <w:rPr>
          <w:rFonts w:ascii="Times New Roman" w:eastAsia="Calibri" w:hAnsi="Times New Roman" w:cs="Times New Roman"/>
          <w:b/>
          <w:sz w:val="24"/>
          <w:szCs w:val="24"/>
        </w:rPr>
        <w:t>Asia</w:t>
      </w:r>
      <w:r w:rsidR="00E7260C" w:rsidRPr="00C26B7B">
        <w:rPr>
          <w:rFonts w:ascii="Times New Roman" w:eastAsia="Calibri" w:hAnsi="Times New Roman" w:cs="Times New Roman"/>
          <w:b/>
          <w:sz w:val="24"/>
          <w:szCs w:val="24"/>
        </w:rPr>
        <w:t>-</w:t>
      </w:r>
      <w:r w:rsidR="003D6045" w:rsidRPr="00C26B7B">
        <w:rPr>
          <w:rFonts w:ascii="Times New Roman" w:eastAsia="Calibri" w:hAnsi="Times New Roman" w:cs="Times New Roman"/>
          <w:b/>
          <w:sz w:val="24"/>
          <w:szCs w:val="24"/>
        </w:rPr>
        <w:t>Pacific Incentive</w:t>
      </w:r>
      <w:r w:rsidR="004E0D16" w:rsidRPr="00C26B7B">
        <w:rPr>
          <w:rFonts w:ascii="Times New Roman" w:eastAsia="Calibri" w:hAnsi="Times New Roman" w:cs="Times New Roman"/>
          <w:b/>
          <w:sz w:val="24"/>
          <w:szCs w:val="24"/>
        </w:rPr>
        <w:t xml:space="preserve"> Program</w:t>
      </w:r>
    </w:p>
    <w:p w:rsidR="005101CA" w:rsidRPr="00C26B7B" w:rsidRDefault="005101CA" w:rsidP="005101CA">
      <w:pPr>
        <w:pStyle w:val="NoSpacing"/>
        <w:ind w:left="720"/>
        <w:rPr>
          <w:rFonts w:ascii="Times New Roman" w:eastAsia="Calibri" w:hAnsi="Times New Roman" w:cs="Times New Roman"/>
          <w:b/>
          <w:sz w:val="24"/>
          <w:szCs w:val="24"/>
          <w:u w:val="single"/>
        </w:rPr>
      </w:pPr>
      <w:r w:rsidRPr="00C26B7B">
        <w:rPr>
          <w:rFonts w:ascii="Times New Roman" w:eastAsia="Calibri" w:hAnsi="Times New Roman" w:cs="Times New Roman"/>
          <w:b/>
          <w:sz w:val="24"/>
          <w:szCs w:val="24"/>
        </w:rPr>
        <w:t xml:space="preserve">       </w:t>
      </w:r>
      <w:r w:rsidRPr="00C26B7B">
        <w:rPr>
          <w:rFonts w:ascii="Times New Roman" w:eastAsia="Calibri" w:hAnsi="Times New Roman" w:cs="Times New Roman"/>
          <w:b/>
          <w:sz w:val="24"/>
          <w:szCs w:val="24"/>
          <w:u w:val="single"/>
        </w:rPr>
        <w:t>Reference File: SR-NFX-201</w:t>
      </w:r>
      <w:r w:rsidR="001B3F5B">
        <w:rPr>
          <w:rFonts w:ascii="Times New Roman" w:eastAsia="Calibri" w:hAnsi="Times New Roman" w:cs="Times New Roman"/>
          <w:b/>
          <w:sz w:val="24"/>
          <w:szCs w:val="24"/>
          <w:u w:val="single"/>
        </w:rPr>
        <w:t>7</w:t>
      </w:r>
      <w:r w:rsidRPr="00C26B7B">
        <w:rPr>
          <w:rFonts w:ascii="Times New Roman" w:eastAsia="Calibri" w:hAnsi="Times New Roman" w:cs="Times New Roman"/>
          <w:b/>
          <w:sz w:val="24"/>
          <w:szCs w:val="24"/>
          <w:u w:val="single"/>
        </w:rPr>
        <w:t>-</w:t>
      </w:r>
      <w:r w:rsidR="001B3F5B">
        <w:rPr>
          <w:rFonts w:ascii="Times New Roman" w:eastAsia="Calibri" w:hAnsi="Times New Roman" w:cs="Times New Roman"/>
          <w:b/>
          <w:sz w:val="24"/>
          <w:szCs w:val="24"/>
          <w:u w:val="single"/>
        </w:rPr>
        <w:t>26</w:t>
      </w:r>
    </w:p>
    <w:p w:rsidR="005101CA" w:rsidRPr="00C26B7B" w:rsidRDefault="005101CA" w:rsidP="005101CA">
      <w:pPr>
        <w:pStyle w:val="NoSpacing"/>
        <w:ind w:left="720" w:hanging="720"/>
        <w:rPr>
          <w:rFonts w:ascii="Times New Roman" w:hAnsi="Times New Roman" w:cs="Times New Roman"/>
          <w:b/>
          <w:sz w:val="24"/>
          <w:szCs w:val="24"/>
          <w:u w:val="single"/>
        </w:rPr>
      </w:pPr>
    </w:p>
    <w:p w:rsidR="005101CA" w:rsidRPr="00352533" w:rsidRDefault="005101CA" w:rsidP="005101CA">
      <w:pPr>
        <w:pStyle w:val="NoSpacing"/>
        <w:rPr>
          <w:rFonts w:ascii="Times New Roman" w:eastAsia="Calibri" w:hAnsi="Times New Roman" w:cs="Times New Roman"/>
          <w:sz w:val="24"/>
          <w:szCs w:val="24"/>
        </w:rPr>
      </w:pPr>
      <w:r w:rsidRPr="00C26B7B">
        <w:rPr>
          <w:rFonts w:ascii="Times New Roman" w:eastAsia="Calibri" w:hAnsi="Times New Roman" w:cs="Times New Roman"/>
          <w:sz w:val="24"/>
          <w:szCs w:val="24"/>
        </w:rPr>
        <w:t>Dear Mr. Kirkpatrick:</w:t>
      </w:r>
    </w:p>
    <w:p w:rsidR="005101CA" w:rsidRPr="00352533" w:rsidRDefault="005101CA" w:rsidP="005101CA">
      <w:pPr>
        <w:pStyle w:val="NoSpacing"/>
        <w:rPr>
          <w:rFonts w:ascii="Times New Roman" w:eastAsia="Calibri" w:hAnsi="Times New Roman" w:cs="Times New Roman"/>
          <w:sz w:val="24"/>
          <w:szCs w:val="24"/>
        </w:rPr>
      </w:pPr>
    </w:p>
    <w:p w:rsidR="004E0D16" w:rsidRDefault="00B75523" w:rsidP="004E0D16">
      <w:pPr>
        <w:pStyle w:val="NoSpacing"/>
        <w:ind w:firstLine="1310"/>
        <w:rPr>
          <w:rFonts w:ascii="Times New Roman" w:eastAsia="Calibri" w:hAnsi="Times New Roman" w:cs="Times New Roman"/>
          <w:sz w:val="24"/>
          <w:szCs w:val="24"/>
        </w:rPr>
      </w:pPr>
      <w:r w:rsidRPr="00352533">
        <w:rPr>
          <w:rFonts w:ascii="Times New Roman" w:eastAsia="Calibri" w:hAnsi="Times New Roman" w:cs="Times New Roman"/>
          <w:sz w:val="24"/>
          <w:szCs w:val="24"/>
        </w:rPr>
        <w:t>Pursuant to Section 5c(c)(1) of the Commodity Exchange Act, as amended (“</w:t>
      </w:r>
      <w:r w:rsidRPr="00352533">
        <w:rPr>
          <w:rFonts w:ascii="Times New Roman" w:eastAsia="Calibri" w:hAnsi="Times New Roman" w:cs="Times New Roman"/>
          <w:sz w:val="24"/>
          <w:szCs w:val="24"/>
          <w:u w:val="single"/>
        </w:rPr>
        <w:t>Act</w:t>
      </w:r>
      <w:r w:rsidRPr="00352533">
        <w:rPr>
          <w:rFonts w:ascii="Times New Roman" w:eastAsia="Calibri" w:hAnsi="Times New Roman" w:cs="Times New Roman"/>
          <w:sz w:val="24"/>
          <w:szCs w:val="24"/>
        </w:rPr>
        <w:t xml:space="preserve">”), and Section </w:t>
      </w:r>
      <w:r w:rsidRPr="00352533">
        <w:rPr>
          <w:rFonts w:ascii="Times New Roman" w:hAnsi="Times New Roman" w:cs="Times New Roman"/>
          <w:sz w:val="24"/>
          <w:szCs w:val="24"/>
        </w:rPr>
        <w:t xml:space="preserve">40.6 </w:t>
      </w:r>
      <w:r w:rsidRPr="00352533">
        <w:rPr>
          <w:rFonts w:ascii="Times New Roman" w:eastAsia="Calibri" w:hAnsi="Times New Roman" w:cs="Times New Roman"/>
          <w:sz w:val="24"/>
          <w:szCs w:val="24"/>
        </w:rPr>
        <w:t xml:space="preserve">of the </w:t>
      </w:r>
      <w:r>
        <w:rPr>
          <w:rFonts w:ascii="Times New Roman" w:eastAsia="Calibri" w:hAnsi="Times New Roman" w:cs="Times New Roman"/>
          <w:sz w:val="24"/>
          <w:szCs w:val="24"/>
        </w:rPr>
        <w:t xml:space="preserve">Commission’s </w:t>
      </w:r>
      <w:r w:rsidRPr="00352533">
        <w:rPr>
          <w:rFonts w:ascii="Times New Roman" w:eastAsia="Calibri" w:hAnsi="Times New Roman" w:cs="Times New Roman"/>
          <w:sz w:val="24"/>
          <w:szCs w:val="24"/>
        </w:rPr>
        <w:t xml:space="preserve">regulations </w:t>
      </w:r>
      <w:r>
        <w:rPr>
          <w:rFonts w:ascii="Times New Roman" w:eastAsia="Calibri" w:hAnsi="Times New Roman" w:cs="Times New Roman"/>
          <w:sz w:val="24"/>
          <w:szCs w:val="24"/>
        </w:rPr>
        <w:t>thereunder,</w:t>
      </w:r>
      <w:r w:rsidRPr="00352533">
        <w:rPr>
          <w:rFonts w:ascii="Times New Roman" w:eastAsia="Calibri" w:hAnsi="Times New Roman" w:cs="Times New Roman"/>
          <w:sz w:val="24"/>
          <w:szCs w:val="24"/>
        </w:rPr>
        <w:t xml:space="preserve"> NASDAQ Futures, Inc. (“</w:t>
      </w:r>
      <w:r w:rsidRPr="00352533">
        <w:rPr>
          <w:rFonts w:ascii="Times New Roman" w:eastAsia="Calibri" w:hAnsi="Times New Roman" w:cs="Times New Roman"/>
          <w:sz w:val="24"/>
          <w:szCs w:val="24"/>
          <w:u w:val="single"/>
        </w:rPr>
        <w:t>NFX</w:t>
      </w:r>
      <w:r w:rsidRPr="00352533">
        <w:rPr>
          <w:rFonts w:ascii="Times New Roman" w:eastAsia="Calibri" w:hAnsi="Times New Roman" w:cs="Times New Roman"/>
          <w:sz w:val="24"/>
          <w:szCs w:val="24"/>
        </w:rPr>
        <w:t>” or “</w:t>
      </w:r>
      <w:r w:rsidRPr="00352533">
        <w:rPr>
          <w:rFonts w:ascii="Times New Roman" w:eastAsia="Calibri" w:hAnsi="Times New Roman" w:cs="Times New Roman"/>
          <w:sz w:val="24"/>
          <w:szCs w:val="24"/>
          <w:u w:val="single"/>
        </w:rPr>
        <w:t>Exchange</w:t>
      </w:r>
      <w:r w:rsidRPr="00352533">
        <w:rPr>
          <w:rFonts w:ascii="Times New Roman" w:eastAsia="Calibri" w:hAnsi="Times New Roman" w:cs="Times New Roman"/>
          <w:sz w:val="24"/>
          <w:szCs w:val="24"/>
        </w:rPr>
        <w:t xml:space="preserve">”) </w:t>
      </w:r>
      <w:r w:rsidRPr="00722839">
        <w:rPr>
          <w:rFonts w:ascii="Times New Roman" w:eastAsia="Times New Roman" w:hAnsi="Times New Roman" w:cs="Times New Roman"/>
          <w:sz w:val="24"/>
          <w:szCs w:val="24"/>
        </w:rPr>
        <w:t>sub</w:t>
      </w:r>
      <w:r>
        <w:rPr>
          <w:rFonts w:ascii="Times New Roman" w:eastAsia="Times New Roman" w:hAnsi="Times New Roman" w:cs="Times New Roman"/>
          <w:sz w:val="24"/>
          <w:szCs w:val="24"/>
        </w:rPr>
        <w:t xml:space="preserve">mits this self-certification to </w:t>
      </w:r>
      <w:r w:rsidR="00911853">
        <w:rPr>
          <w:rFonts w:ascii="Times New Roman" w:eastAsia="Times New Roman" w:hAnsi="Times New Roman" w:cs="Times New Roman"/>
          <w:sz w:val="24"/>
          <w:szCs w:val="24"/>
        </w:rPr>
        <w:t>recertify</w:t>
      </w:r>
      <w:r w:rsidR="00911853">
        <w:rPr>
          <w:rFonts w:ascii="Times New Roman" w:eastAsia="Calibri" w:hAnsi="Times New Roman" w:cs="Times New Roman"/>
          <w:sz w:val="24"/>
          <w:szCs w:val="24"/>
        </w:rPr>
        <w:t xml:space="preserve"> </w:t>
      </w:r>
      <w:r w:rsidR="00AC6B1F">
        <w:rPr>
          <w:rFonts w:ascii="Times New Roman" w:eastAsia="Calibri" w:hAnsi="Times New Roman" w:cs="Times New Roman"/>
          <w:sz w:val="24"/>
          <w:szCs w:val="24"/>
        </w:rPr>
        <w:t>the Exchange</w:t>
      </w:r>
      <w:r w:rsidR="00934BB8">
        <w:rPr>
          <w:rFonts w:ascii="Times New Roman" w:eastAsia="Calibri" w:hAnsi="Times New Roman" w:cs="Times New Roman"/>
          <w:sz w:val="24"/>
          <w:szCs w:val="24"/>
        </w:rPr>
        <w:t>’s</w:t>
      </w:r>
      <w:r w:rsidR="004E0D16">
        <w:rPr>
          <w:rFonts w:ascii="Times New Roman" w:eastAsia="Calibri" w:hAnsi="Times New Roman" w:cs="Times New Roman"/>
          <w:sz w:val="24"/>
          <w:szCs w:val="24"/>
        </w:rPr>
        <w:t xml:space="preserve"> </w:t>
      </w:r>
      <w:r w:rsidR="003D6045">
        <w:rPr>
          <w:rFonts w:ascii="Times New Roman" w:eastAsia="Calibri" w:hAnsi="Times New Roman" w:cs="Times New Roman"/>
          <w:sz w:val="24"/>
          <w:szCs w:val="24"/>
        </w:rPr>
        <w:t>Asia</w:t>
      </w:r>
      <w:r w:rsidR="00E7260C">
        <w:rPr>
          <w:rFonts w:ascii="Times New Roman" w:eastAsia="Calibri" w:hAnsi="Times New Roman" w:cs="Times New Roman"/>
          <w:sz w:val="24"/>
          <w:szCs w:val="24"/>
        </w:rPr>
        <w:t>-</w:t>
      </w:r>
      <w:r w:rsidR="003D6045">
        <w:rPr>
          <w:rFonts w:ascii="Times New Roman" w:eastAsia="Calibri" w:hAnsi="Times New Roman" w:cs="Times New Roman"/>
          <w:sz w:val="24"/>
          <w:szCs w:val="24"/>
        </w:rPr>
        <w:t xml:space="preserve">Pacific incentive </w:t>
      </w:r>
      <w:r w:rsidR="004E0D16">
        <w:rPr>
          <w:rFonts w:ascii="Times New Roman" w:eastAsia="Calibri" w:hAnsi="Times New Roman" w:cs="Times New Roman"/>
          <w:sz w:val="24"/>
          <w:szCs w:val="24"/>
        </w:rPr>
        <w:t>program (the “</w:t>
      </w:r>
      <w:r w:rsidR="00593B78" w:rsidRPr="00593B78">
        <w:rPr>
          <w:rFonts w:ascii="Times New Roman" w:eastAsia="Calibri" w:hAnsi="Times New Roman" w:cs="Times New Roman"/>
          <w:sz w:val="24"/>
          <w:szCs w:val="24"/>
          <w:u w:val="single"/>
        </w:rPr>
        <w:t xml:space="preserve">Energy </w:t>
      </w:r>
      <w:r w:rsidR="00600988">
        <w:rPr>
          <w:rFonts w:ascii="Times New Roman" w:eastAsia="Calibri" w:hAnsi="Times New Roman" w:cs="Times New Roman"/>
          <w:sz w:val="24"/>
          <w:szCs w:val="24"/>
          <w:u w:val="single"/>
        </w:rPr>
        <w:t>AP P</w:t>
      </w:r>
      <w:r w:rsidR="004E0D16" w:rsidRPr="008D3674">
        <w:rPr>
          <w:rFonts w:ascii="Times New Roman" w:eastAsia="Calibri" w:hAnsi="Times New Roman" w:cs="Times New Roman"/>
          <w:sz w:val="24"/>
          <w:szCs w:val="24"/>
          <w:u w:val="single"/>
        </w:rPr>
        <w:t>rogram</w:t>
      </w:r>
      <w:r w:rsidR="004E0D16">
        <w:rPr>
          <w:rFonts w:ascii="Times New Roman" w:eastAsia="Calibri" w:hAnsi="Times New Roman" w:cs="Times New Roman"/>
          <w:sz w:val="24"/>
          <w:szCs w:val="24"/>
        </w:rPr>
        <w:t>”)</w:t>
      </w:r>
      <w:r w:rsidR="003F519A">
        <w:rPr>
          <w:rStyle w:val="FootnoteReference"/>
          <w:rFonts w:ascii="Times New Roman" w:eastAsia="Calibri" w:hAnsi="Times New Roman" w:cs="Times New Roman"/>
          <w:sz w:val="24"/>
          <w:szCs w:val="24"/>
        </w:rPr>
        <w:footnoteReference w:id="1"/>
      </w:r>
      <w:r w:rsidR="004E0D16">
        <w:rPr>
          <w:rFonts w:ascii="Times New Roman" w:eastAsia="Calibri" w:hAnsi="Times New Roman" w:cs="Times New Roman"/>
          <w:sz w:val="24"/>
          <w:szCs w:val="24"/>
        </w:rPr>
        <w:t xml:space="preserve"> for </w:t>
      </w:r>
      <w:r w:rsidR="00E06DC8" w:rsidRPr="00D94689">
        <w:rPr>
          <w:rFonts w:ascii="Times New Roman" w:eastAsia="Calibri" w:hAnsi="Times New Roman" w:cs="Times New Roman"/>
          <w:sz w:val="24"/>
          <w:szCs w:val="24"/>
        </w:rPr>
        <w:t>certain</w:t>
      </w:r>
      <w:r w:rsidR="00E06DC8">
        <w:rPr>
          <w:rFonts w:ascii="Times New Roman" w:eastAsia="Calibri" w:hAnsi="Times New Roman" w:cs="Times New Roman"/>
          <w:sz w:val="24"/>
          <w:szCs w:val="24"/>
        </w:rPr>
        <w:t xml:space="preserve"> </w:t>
      </w:r>
      <w:r w:rsidR="004E0D16">
        <w:rPr>
          <w:rFonts w:ascii="Times New Roman" w:eastAsia="Calibri" w:hAnsi="Times New Roman" w:cs="Times New Roman"/>
          <w:sz w:val="24"/>
          <w:szCs w:val="24"/>
        </w:rPr>
        <w:t xml:space="preserve">energy contracts that the Exchange </w:t>
      </w:r>
      <w:r w:rsidR="007824A2">
        <w:rPr>
          <w:rFonts w:ascii="Times New Roman" w:eastAsia="Calibri" w:hAnsi="Times New Roman" w:cs="Times New Roman"/>
          <w:sz w:val="24"/>
          <w:szCs w:val="24"/>
        </w:rPr>
        <w:t>has</w:t>
      </w:r>
      <w:r w:rsidR="004E0D16">
        <w:rPr>
          <w:rFonts w:ascii="Times New Roman" w:eastAsia="Calibri" w:hAnsi="Times New Roman" w:cs="Times New Roman"/>
          <w:sz w:val="24"/>
          <w:szCs w:val="24"/>
        </w:rPr>
        <w:t xml:space="preserve"> list</w:t>
      </w:r>
      <w:r w:rsidR="007824A2">
        <w:rPr>
          <w:rFonts w:ascii="Times New Roman" w:eastAsia="Calibri" w:hAnsi="Times New Roman" w:cs="Times New Roman"/>
          <w:sz w:val="24"/>
          <w:szCs w:val="24"/>
        </w:rPr>
        <w:t>ed pursuant to Appendix A of the Exchange Rulebook</w:t>
      </w:r>
      <w:r w:rsidR="004E0D16">
        <w:rPr>
          <w:rFonts w:ascii="Times New Roman" w:eastAsia="Calibri" w:hAnsi="Times New Roman" w:cs="Times New Roman"/>
          <w:sz w:val="24"/>
          <w:szCs w:val="24"/>
        </w:rPr>
        <w:t xml:space="preserve"> (the “</w:t>
      </w:r>
      <w:r w:rsidR="004E0D16" w:rsidRPr="008D3674">
        <w:rPr>
          <w:rFonts w:ascii="Times New Roman" w:eastAsia="Calibri" w:hAnsi="Times New Roman" w:cs="Times New Roman"/>
          <w:sz w:val="24"/>
          <w:szCs w:val="24"/>
          <w:u w:val="single"/>
        </w:rPr>
        <w:t>Energy Contracts</w:t>
      </w:r>
      <w:r w:rsidR="004E0D16">
        <w:rPr>
          <w:rFonts w:ascii="Times New Roman" w:eastAsia="Calibri" w:hAnsi="Times New Roman" w:cs="Times New Roman"/>
          <w:sz w:val="24"/>
          <w:szCs w:val="24"/>
        </w:rPr>
        <w:t>”)</w:t>
      </w:r>
      <w:r>
        <w:rPr>
          <w:rFonts w:ascii="Times New Roman" w:eastAsia="Calibri" w:hAnsi="Times New Roman" w:cs="Times New Roman"/>
          <w:sz w:val="24"/>
          <w:szCs w:val="24"/>
        </w:rPr>
        <w:t>, as may be amended from time to time</w:t>
      </w:r>
      <w:r w:rsidR="004E0D16">
        <w:rPr>
          <w:rFonts w:ascii="Times New Roman" w:eastAsia="Calibri" w:hAnsi="Times New Roman" w:cs="Times New Roman"/>
          <w:sz w:val="24"/>
          <w:szCs w:val="24"/>
        </w:rPr>
        <w:t>.</w:t>
      </w:r>
      <w:r w:rsidR="004E0D16">
        <w:rPr>
          <w:rStyle w:val="FootnoteReference"/>
          <w:rFonts w:ascii="Times New Roman" w:eastAsia="Calibri" w:hAnsi="Times New Roman" w:cs="Times New Roman"/>
          <w:sz w:val="24"/>
          <w:szCs w:val="24"/>
        </w:rPr>
        <w:footnoteReference w:id="2"/>
      </w:r>
      <w:r w:rsidR="004E0D16" w:rsidRPr="00021A62">
        <w:rPr>
          <w:rFonts w:ascii="Times New Roman" w:eastAsia="Calibri" w:hAnsi="Times New Roman" w:cs="Times New Roman"/>
          <w:sz w:val="24"/>
          <w:szCs w:val="24"/>
        </w:rPr>
        <w:t xml:space="preserve">  </w:t>
      </w:r>
      <w:r w:rsidR="004E0D16" w:rsidRPr="00D61EDD">
        <w:rPr>
          <w:rFonts w:ascii="Times New Roman" w:eastAsia="Calibri" w:hAnsi="Times New Roman" w:cs="Times New Roman"/>
          <w:sz w:val="24"/>
          <w:szCs w:val="24"/>
        </w:rPr>
        <w:t>The Program bec</w:t>
      </w:r>
      <w:r w:rsidR="00F06109">
        <w:rPr>
          <w:rFonts w:ascii="Times New Roman" w:eastAsia="Calibri" w:hAnsi="Times New Roman" w:cs="Times New Roman"/>
          <w:sz w:val="24"/>
          <w:szCs w:val="24"/>
        </w:rPr>
        <w:t>a</w:t>
      </w:r>
      <w:r w:rsidR="004E0D16" w:rsidRPr="00D61EDD">
        <w:rPr>
          <w:rFonts w:ascii="Times New Roman" w:eastAsia="Calibri" w:hAnsi="Times New Roman" w:cs="Times New Roman"/>
          <w:sz w:val="24"/>
          <w:szCs w:val="24"/>
        </w:rPr>
        <w:t xml:space="preserve">me </w:t>
      </w:r>
      <w:r w:rsidR="004E0D16" w:rsidRPr="00C26B7B">
        <w:rPr>
          <w:rFonts w:ascii="Times New Roman" w:eastAsia="Calibri" w:hAnsi="Times New Roman" w:cs="Times New Roman"/>
          <w:sz w:val="24"/>
          <w:szCs w:val="24"/>
        </w:rPr>
        <w:t xml:space="preserve">effective </w:t>
      </w:r>
      <w:r w:rsidR="004F42A5" w:rsidRPr="00C26B7B">
        <w:rPr>
          <w:rFonts w:ascii="Times New Roman" w:eastAsia="Calibri" w:hAnsi="Times New Roman" w:cs="Times New Roman"/>
          <w:sz w:val="24"/>
          <w:szCs w:val="24"/>
        </w:rPr>
        <w:t xml:space="preserve">on </w:t>
      </w:r>
      <w:r w:rsidR="003D6045" w:rsidRPr="00C26B7B">
        <w:rPr>
          <w:rFonts w:ascii="Times New Roman" w:eastAsia="Calibri" w:hAnsi="Times New Roman" w:cs="Times New Roman"/>
          <w:sz w:val="24"/>
          <w:szCs w:val="24"/>
        </w:rPr>
        <w:t xml:space="preserve">July </w:t>
      </w:r>
      <w:r w:rsidR="00C26B7B" w:rsidRPr="00C26B7B">
        <w:rPr>
          <w:rFonts w:ascii="Times New Roman" w:eastAsia="Calibri" w:hAnsi="Times New Roman" w:cs="Times New Roman"/>
          <w:sz w:val="24"/>
          <w:szCs w:val="24"/>
        </w:rPr>
        <w:t>8</w:t>
      </w:r>
      <w:r w:rsidR="00977F03" w:rsidRPr="00C26B7B">
        <w:rPr>
          <w:rFonts w:ascii="Times New Roman" w:eastAsia="Calibri" w:hAnsi="Times New Roman" w:cs="Times New Roman"/>
          <w:sz w:val="24"/>
          <w:szCs w:val="24"/>
        </w:rPr>
        <w:t xml:space="preserve">, 2016 </w:t>
      </w:r>
      <w:r w:rsidR="004E0D16" w:rsidRPr="00C26B7B">
        <w:rPr>
          <w:rFonts w:ascii="Times New Roman" w:eastAsia="Calibri" w:hAnsi="Times New Roman" w:cs="Times New Roman"/>
          <w:sz w:val="24"/>
          <w:szCs w:val="24"/>
        </w:rPr>
        <w:t xml:space="preserve">and </w:t>
      </w:r>
      <w:r w:rsidR="000B5E2C" w:rsidRPr="00C26B7B">
        <w:rPr>
          <w:rFonts w:ascii="Times New Roman" w:eastAsia="Calibri" w:hAnsi="Times New Roman" w:cs="Times New Roman"/>
          <w:sz w:val="24"/>
          <w:szCs w:val="24"/>
        </w:rPr>
        <w:t xml:space="preserve">will </w:t>
      </w:r>
      <w:r w:rsidR="00934BB8">
        <w:rPr>
          <w:rFonts w:ascii="Times New Roman" w:eastAsia="Calibri" w:hAnsi="Times New Roman" w:cs="Times New Roman"/>
          <w:sz w:val="24"/>
          <w:szCs w:val="24"/>
        </w:rPr>
        <w:lastRenderedPageBreak/>
        <w:t xml:space="preserve">now </w:t>
      </w:r>
      <w:r w:rsidR="004E0D16" w:rsidRPr="00C26B7B">
        <w:rPr>
          <w:rFonts w:ascii="Times New Roman" w:eastAsia="Calibri" w:hAnsi="Times New Roman" w:cs="Times New Roman"/>
          <w:sz w:val="24"/>
          <w:szCs w:val="24"/>
        </w:rPr>
        <w:t>terminate</w:t>
      </w:r>
      <w:r w:rsidR="000B5E2C" w:rsidRPr="00C26B7B">
        <w:rPr>
          <w:rFonts w:ascii="Times New Roman" w:eastAsia="Calibri" w:hAnsi="Times New Roman" w:cs="Times New Roman"/>
          <w:sz w:val="24"/>
          <w:szCs w:val="24"/>
        </w:rPr>
        <w:t xml:space="preserve"> </w:t>
      </w:r>
      <w:r w:rsidR="004F42A5" w:rsidRPr="00C26B7B">
        <w:rPr>
          <w:rFonts w:ascii="Times New Roman" w:eastAsia="Calibri" w:hAnsi="Times New Roman" w:cs="Times New Roman"/>
          <w:sz w:val="24"/>
          <w:szCs w:val="24"/>
        </w:rPr>
        <w:t xml:space="preserve">on </w:t>
      </w:r>
      <w:r w:rsidR="00934BB8" w:rsidRPr="00C26B7B">
        <w:rPr>
          <w:rFonts w:ascii="Times New Roman" w:eastAsia="Calibri" w:hAnsi="Times New Roman" w:cs="Times New Roman"/>
          <w:sz w:val="24"/>
          <w:szCs w:val="24"/>
        </w:rPr>
        <w:t>Ju</w:t>
      </w:r>
      <w:r w:rsidR="00934BB8">
        <w:rPr>
          <w:rFonts w:ascii="Times New Roman" w:eastAsia="Calibri" w:hAnsi="Times New Roman" w:cs="Times New Roman"/>
          <w:sz w:val="24"/>
          <w:szCs w:val="24"/>
        </w:rPr>
        <w:t>ne 30</w:t>
      </w:r>
      <w:r w:rsidR="00977F03" w:rsidRPr="00C26B7B">
        <w:rPr>
          <w:rFonts w:ascii="Times New Roman" w:eastAsia="Calibri" w:hAnsi="Times New Roman" w:cs="Times New Roman"/>
          <w:sz w:val="24"/>
          <w:szCs w:val="24"/>
        </w:rPr>
        <w:t xml:space="preserve">, </w:t>
      </w:r>
      <w:r w:rsidR="00911853" w:rsidRPr="00C26B7B">
        <w:rPr>
          <w:rFonts w:ascii="Times New Roman" w:eastAsia="Calibri" w:hAnsi="Times New Roman" w:cs="Times New Roman"/>
          <w:sz w:val="24"/>
          <w:szCs w:val="24"/>
        </w:rPr>
        <w:t>201</w:t>
      </w:r>
      <w:r w:rsidR="00911853">
        <w:rPr>
          <w:rFonts w:ascii="Times New Roman" w:eastAsia="Calibri" w:hAnsi="Times New Roman" w:cs="Times New Roman"/>
          <w:sz w:val="24"/>
          <w:szCs w:val="24"/>
        </w:rPr>
        <w:t>8</w:t>
      </w:r>
      <w:r w:rsidR="004E0D16" w:rsidRPr="00D61EDD">
        <w:rPr>
          <w:rFonts w:ascii="Times New Roman" w:eastAsia="Calibri" w:hAnsi="Times New Roman" w:cs="Times New Roman"/>
          <w:sz w:val="24"/>
          <w:szCs w:val="24"/>
        </w:rPr>
        <w:t>.</w:t>
      </w:r>
      <w:r w:rsidR="00C70A44">
        <w:rPr>
          <w:rFonts w:ascii="Times New Roman" w:eastAsia="Calibri" w:hAnsi="Times New Roman" w:cs="Times New Roman"/>
          <w:sz w:val="24"/>
          <w:szCs w:val="24"/>
        </w:rPr>
        <w:t xml:space="preserve">  </w:t>
      </w:r>
      <w:r w:rsidR="009825A6">
        <w:rPr>
          <w:rFonts w:ascii="Times New Roman" w:eastAsia="Calibri" w:hAnsi="Times New Roman" w:cs="Times New Roman"/>
          <w:sz w:val="24"/>
          <w:szCs w:val="24"/>
        </w:rPr>
        <w:t xml:space="preserve">There is no change being made </w:t>
      </w:r>
      <w:r w:rsidR="00934BB8">
        <w:rPr>
          <w:rFonts w:ascii="Times New Roman" w:eastAsia="Calibri" w:hAnsi="Times New Roman" w:cs="Times New Roman"/>
          <w:sz w:val="24"/>
          <w:szCs w:val="24"/>
        </w:rPr>
        <w:t>to the</w:t>
      </w:r>
      <w:r w:rsidR="00BC704D" w:rsidRPr="00BC704D">
        <w:rPr>
          <w:rFonts w:ascii="Times New Roman" w:eastAsia="Calibri" w:hAnsi="Times New Roman" w:cs="Times New Roman"/>
          <w:sz w:val="24"/>
          <w:szCs w:val="24"/>
        </w:rPr>
        <w:t xml:space="preserve"> Confidential </w:t>
      </w:r>
      <w:r w:rsidR="009825A6">
        <w:rPr>
          <w:rFonts w:ascii="Times New Roman" w:eastAsia="Calibri" w:hAnsi="Times New Roman" w:cs="Times New Roman"/>
          <w:sz w:val="24"/>
          <w:szCs w:val="24"/>
        </w:rPr>
        <w:t>Appendix originally filed</w:t>
      </w:r>
      <w:r w:rsidR="009C7C2A">
        <w:rPr>
          <w:rFonts w:ascii="Times New Roman" w:eastAsia="Calibri" w:hAnsi="Times New Roman" w:cs="Times New Roman"/>
          <w:sz w:val="24"/>
          <w:szCs w:val="24"/>
        </w:rPr>
        <w:t>.</w:t>
      </w:r>
    </w:p>
    <w:p w:rsidR="004E0D16" w:rsidRDefault="004E0D16" w:rsidP="004E0D16">
      <w:pPr>
        <w:pStyle w:val="NoSpacing"/>
        <w:ind w:firstLine="1310"/>
        <w:rPr>
          <w:rFonts w:ascii="Times New Roman" w:eastAsia="Calibri" w:hAnsi="Times New Roman" w:cs="Times New Roman"/>
          <w:sz w:val="24"/>
          <w:szCs w:val="24"/>
        </w:rPr>
      </w:pPr>
    </w:p>
    <w:p w:rsidR="00E6256F" w:rsidRDefault="00D94689" w:rsidP="001D4C1F">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To be eligible to participate in the </w:t>
      </w:r>
      <w:r w:rsidR="00593B78" w:rsidRPr="00D94689">
        <w:rPr>
          <w:rFonts w:ascii="Times New Roman" w:eastAsia="Calibri" w:hAnsi="Times New Roman" w:cs="Times New Roman"/>
          <w:sz w:val="24"/>
          <w:szCs w:val="24"/>
        </w:rPr>
        <w:t xml:space="preserve">Energy </w:t>
      </w:r>
      <w:r w:rsidR="00E7260C" w:rsidRPr="00D94689">
        <w:rPr>
          <w:rFonts w:ascii="Times New Roman" w:eastAsia="Calibri" w:hAnsi="Times New Roman" w:cs="Times New Roman"/>
          <w:sz w:val="24"/>
          <w:szCs w:val="24"/>
        </w:rPr>
        <w:t>AP</w:t>
      </w:r>
      <w:r w:rsidR="00E6256F" w:rsidRPr="00D94689">
        <w:rPr>
          <w:rFonts w:ascii="Times New Roman" w:eastAsia="Calibri" w:hAnsi="Times New Roman" w:cs="Times New Roman"/>
          <w:sz w:val="24"/>
          <w:szCs w:val="24"/>
        </w:rPr>
        <w:t xml:space="preserve"> Program</w:t>
      </w:r>
      <w:r>
        <w:rPr>
          <w:rFonts w:ascii="Times New Roman" w:eastAsia="Calibri" w:hAnsi="Times New Roman" w:cs="Times New Roman"/>
          <w:sz w:val="24"/>
          <w:szCs w:val="24"/>
        </w:rPr>
        <w:t xml:space="preserve">, you must be a Futures Commission Merchant authorized to do business as such who is </w:t>
      </w:r>
      <w:r w:rsidR="00E6256F" w:rsidRPr="00D94689">
        <w:rPr>
          <w:rFonts w:ascii="Times New Roman" w:eastAsia="Calibri" w:hAnsi="Times New Roman" w:cs="Times New Roman"/>
          <w:sz w:val="24"/>
          <w:szCs w:val="24"/>
        </w:rPr>
        <w:t>located in an Asia-Pacific country</w:t>
      </w:r>
      <w:r>
        <w:rPr>
          <w:rFonts w:ascii="Times New Roman" w:eastAsia="Calibri" w:hAnsi="Times New Roman" w:cs="Times New Roman"/>
          <w:sz w:val="24"/>
          <w:szCs w:val="24"/>
        </w:rPr>
        <w:t xml:space="preserve">, and who is not already a NFX Futures Participant or NFX Clearing Futures Participant, but who does have </w:t>
      </w:r>
      <w:r w:rsidR="00E6256F" w:rsidRPr="00D94689">
        <w:rPr>
          <w:rFonts w:ascii="Times New Roman" w:eastAsia="Calibri" w:hAnsi="Times New Roman" w:cs="Times New Roman"/>
          <w:sz w:val="24"/>
          <w:szCs w:val="24"/>
        </w:rPr>
        <w:t xml:space="preserve">a relationship with a NFX </w:t>
      </w:r>
      <w:r>
        <w:rPr>
          <w:rFonts w:ascii="Times New Roman" w:eastAsia="Calibri" w:hAnsi="Times New Roman" w:cs="Times New Roman"/>
          <w:sz w:val="24"/>
          <w:szCs w:val="24"/>
        </w:rPr>
        <w:t xml:space="preserve">Clearing </w:t>
      </w:r>
      <w:r w:rsidR="00E6256F" w:rsidRPr="00D94689">
        <w:rPr>
          <w:rFonts w:ascii="Times New Roman" w:eastAsia="Calibri" w:hAnsi="Times New Roman" w:cs="Times New Roman"/>
          <w:sz w:val="24"/>
          <w:szCs w:val="24"/>
        </w:rPr>
        <w:t xml:space="preserve">Futures Participant.  To </w:t>
      </w:r>
      <w:r>
        <w:rPr>
          <w:rFonts w:ascii="Times New Roman" w:eastAsia="Calibri" w:hAnsi="Times New Roman" w:cs="Times New Roman"/>
          <w:sz w:val="24"/>
          <w:szCs w:val="24"/>
        </w:rPr>
        <w:t xml:space="preserve">apply, </w:t>
      </w:r>
      <w:r w:rsidR="002C775B" w:rsidRPr="00D94689">
        <w:rPr>
          <w:rFonts w:ascii="Times New Roman" w:eastAsia="Calibri" w:hAnsi="Times New Roman" w:cs="Times New Roman"/>
          <w:sz w:val="24"/>
          <w:szCs w:val="24"/>
        </w:rPr>
        <w:t>Futures Commission Merchant</w:t>
      </w:r>
      <w:r>
        <w:rPr>
          <w:rFonts w:ascii="Times New Roman" w:eastAsia="Calibri" w:hAnsi="Times New Roman" w:cs="Times New Roman"/>
          <w:sz w:val="24"/>
          <w:szCs w:val="24"/>
        </w:rPr>
        <w:t xml:space="preserve">s must </w:t>
      </w:r>
      <w:r w:rsidR="00E6256F" w:rsidRPr="00D94689">
        <w:rPr>
          <w:rFonts w:ascii="Times New Roman" w:eastAsia="Calibri" w:hAnsi="Times New Roman" w:cs="Times New Roman"/>
          <w:sz w:val="24"/>
          <w:szCs w:val="24"/>
        </w:rPr>
        <w:t>complete an application approved by the Exchange</w:t>
      </w:r>
      <w:r w:rsidR="00286B9C">
        <w:rPr>
          <w:rFonts w:ascii="Times New Roman" w:eastAsia="Calibri" w:hAnsi="Times New Roman" w:cs="Times New Roman"/>
          <w:sz w:val="24"/>
          <w:szCs w:val="24"/>
        </w:rPr>
        <w:t xml:space="preserve"> and</w:t>
      </w:r>
      <w:r w:rsidR="00E6256F" w:rsidRPr="00D94689">
        <w:rPr>
          <w:rFonts w:ascii="Times New Roman" w:eastAsia="Calibri" w:hAnsi="Times New Roman" w:cs="Times New Roman"/>
          <w:sz w:val="24"/>
          <w:szCs w:val="24"/>
        </w:rPr>
        <w:t xml:space="preserve"> execute all trades (both in the Order Book and Off-Exchange) in the</w:t>
      </w:r>
      <w:r>
        <w:rPr>
          <w:rFonts w:ascii="Times New Roman" w:eastAsia="Calibri" w:hAnsi="Times New Roman" w:cs="Times New Roman"/>
          <w:sz w:val="24"/>
          <w:szCs w:val="24"/>
        </w:rPr>
        <w:t>ir</w:t>
      </w:r>
      <w:r w:rsidR="00E6256F" w:rsidRPr="00D94689">
        <w:rPr>
          <w:rFonts w:ascii="Times New Roman" w:eastAsia="Calibri" w:hAnsi="Times New Roman" w:cs="Times New Roman"/>
          <w:sz w:val="24"/>
          <w:szCs w:val="24"/>
        </w:rPr>
        <w:t xml:space="preserve"> name.  </w:t>
      </w:r>
      <w:r>
        <w:rPr>
          <w:rFonts w:ascii="Times New Roman" w:eastAsia="Calibri" w:hAnsi="Times New Roman" w:cs="Times New Roman"/>
          <w:sz w:val="24"/>
          <w:szCs w:val="24"/>
        </w:rPr>
        <w:t>T</w:t>
      </w:r>
      <w:r w:rsidR="00E6256F" w:rsidRPr="00D94689">
        <w:rPr>
          <w:rFonts w:ascii="Times New Roman" w:eastAsia="Calibri" w:hAnsi="Times New Roman" w:cs="Times New Roman"/>
          <w:sz w:val="24"/>
          <w:szCs w:val="24"/>
        </w:rPr>
        <w:t xml:space="preserve">here is no </w:t>
      </w:r>
      <w:r>
        <w:rPr>
          <w:rFonts w:ascii="Times New Roman" w:eastAsia="Calibri" w:hAnsi="Times New Roman" w:cs="Times New Roman"/>
          <w:sz w:val="24"/>
          <w:szCs w:val="24"/>
        </w:rPr>
        <w:t xml:space="preserve">set </w:t>
      </w:r>
      <w:r w:rsidR="00E6256F" w:rsidRPr="00D94689">
        <w:rPr>
          <w:rFonts w:ascii="Times New Roman" w:eastAsia="Calibri" w:hAnsi="Times New Roman" w:cs="Times New Roman"/>
          <w:sz w:val="24"/>
          <w:szCs w:val="24"/>
        </w:rPr>
        <w:t xml:space="preserve">limit </w:t>
      </w:r>
      <w:r>
        <w:rPr>
          <w:rFonts w:ascii="Times New Roman" w:eastAsia="Calibri" w:hAnsi="Times New Roman" w:cs="Times New Roman"/>
          <w:sz w:val="24"/>
          <w:szCs w:val="24"/>
        </w:rPr>
        <w:t>to</w:t>
      </w:r>
      <w:r w:rsidR="001D4C1F" w:rsidRPr="00D9468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number of </w:t>
      </w:r>
      <w:r w:rsidR="00BD6EEC" w:rsidRPr="00D94689">
        <w:rPr>
          <w:rFonts w:ascii="Times New Roman" w:eastAsia="Calibri" w:hAnsi="Times New Roman" w:cs="Times New Roman"/>
          <w:sz w:val="24"/>
          <w:szCs w:val="24"/>
        </w:rPr>
        <w:t xml:space="preserve">Futures Commission Merchants </w:t>
      </w:r>
      <w:r>
        <w:rPr>
          <w:rFonts w:ascii="Times New Roman" w:eastAsia="Calibri" w:hAnsi="Times New Roman" w:cs="Times New Roman"/>
          <w:sz w:val="24"/>
          <w:szCs w:val="24"/>
        </w:rPr>
        <w:t>that can participate in the Energy AP Program</w:t>
      </w:r>
      <w:r w:rsidR="00E6256F" w:rsidRPr="00D94689">
        <w:rPr>
          <w:rFonts w:ascii="Times New Roman" w:eastAsia="Calibri" w:hAnsi="Times New Roman" w:cs="Times New Roman"/>
          <w:sz w:val="24"/>
          <w:szCs w:val="24"/>
        </w:rPr>
        <w:t>.</w:t>
      </w:r>
      <w:r w:rsidR="00E6256F">
        <w:rPr>
          <w:rFonts w:ascii="Times New Roman" w:eastAsia="Calibri" w:hAnsi="Times New Roman" w:cs="Times New Roman"/>
          <w:sz w:val="24"/>
          <w:szCs w:val="24"/>
        </w:rPr>
        <w:t xml:space="preserve">  </w:t>
      </w:r>
    </w:p>
    <w:p w:rsidR="00E6256F" w:rsidRDefault="00E6256F" w:rsidP="001D4C1F">
      <w:pPr>
        <w:pStyle w:val="NoSpacing"/>
        <w:ind w:firstLine="1310"/>
        <w:rPr>
          <w:rFonts w:ascii="Times New Roman" w:eastAsia="Calibri" w:hAnsi="Times New Roman" w:cs="Times New Roman"/>
          <w:sz w:val="24"/>
          <w:szCs w:val="24"/>
        </w:rPr>
      </w:pPr>
    </w:p>
    <w:p w:rsidR="001D4C1F" w:rsidRDefault="001D4C1F" w:rsidP="001D4C1F">
      <w:pPr>
        <w:pStyle w:val="NoSpacing"/>
        <w:ind w:firstLine="1310"/>
        <w:rPr>
          <w:rFonts w:ascii="Times New Roman" w:eastAsia="Calibri" w:hAnsi="Times New Roman" w:cs="Times New Roman"/>
          <w:sz w:val="24"/>
          <w:szCs w:val="24"/>
        </w:rPr>
      </w:pPr>
      <w:r>
        <w:rPr>
          <w:rFonts w:ascii="Times New Roman" w:eastAsia="Calibri" w:hAnsi="Times New Roman" w:cs="Times New Roman"/>
          <w:sz w:val="24"/>
          <w:szCs w:val="24"/>
        </w:rPr>
        <w:t xml:space="preserve">The basic terms and conditions of the </w:t>
      </w:r>
      <w:r w:rsidR="00D94689">
        <w:rPr>
          <w:rFonts w:ascii="Times New Roman" w:eastAsia="Calibri" w:hAnsi="Times New Roman" w:cs="Times New Roman"/>
          <w:sz w:val="24"/>
          <w:szCs w:val="24"/>
        </w:rPr>
        <w:t xml:space="preserve">Energy </w:t>
      </w:r>
      <w:r w:rsidR="00E6256F">
        <w:rPr>
          <w:rFonts w:ascii="Times New Roman" w:eastAsia="Calibri" w:hAnsi="Times New Roman" w:cs="Times New Roman"/>
          <w:sz w:val="24"/>
          <w:szCs w:val="24"/>
        </w:rPr>
        <w:t>AP Program</w:t>
      </w:r>
      <w:r>
        <w:rPr>
          <w:rFonts w:ascii="Times New Roman" w:eastAsia="Calibri" w:hAnsi="Times New Roman" w:cs="Times New Roman"/>
          <w:sz w:val="24"/>
          <w:szCs w:val="24"/>
        </w:rPr>
        <w:t xml:space="preserve"> are attached hereto as </w:t>
      </w:r>
      <w:r w:rsidRPr="00C6179E">
        <w:rPr>
          <w:rFonts w:ascii="Times New Roman" w:eastAsia="Calibri" w:hAnsi="Times New Roman" w:cs="Times New Roman"/>
          <w:sz w:val="24"/>
          <w:szCs w:val="24"/>
          <w:u w:val="single"/>
        </w:rPr>
        <w:t>Exhibit A</w:t>
      </w:r>
      <w:r>
        <w:rPr>
          <w:rFonts w:ascii="Times New Roman" w:eastAsia="Calibri" w:hAnsi="Times New Roman" w:cs="Times New Roman"/>
          <w:sz w:val="24"/>
          <w:szCs w:val="24"/>
        </w:rPr>
        <w:t xml:space="preserve">.  </w:t>
      </w:r>
      <w:r w:rsidRPr="00F63890">
        <w:rPr>
          <w:rFonts w:ascii="Times New Roman" w:eastAsia="Calibri" w:hAnsi="Times New Roman" w:cs="Times New Roman"/>
          <w:sz w:val="24"/>
          <w:szCs w:val="24"/>
        </w:rPr>
        <w:t xml:space="preserve">The confidential details of the </w:t>
      </w:r>
      <w:r w:rsidR="00D94689">
        <w:rPr>
          <w:rFonts w:ascii="Times New Roman" w:eastAsia="Calibri" w:hAnsi="Times New Roman" w:cs="Times New Roman"/>
          <w:sz w:val="24"/>
          <w:szCs w:val="24"/>
        </w:rPr>
        <w:t xml:space="preserve">Energy </w:t>
      </w:r>
      <w:r w:rsidR="00E6256F">
        <w:rPr>
          <w:rFonts w:ascii="Times New Roman" w:eastAsia="Calibri" w:hAnsi="Times New Roman" w:cs="Times New Roman"/>
          <w:sz w:val="24"/>
          <w:szCs w:val="24"/>
        </w:rPr>
        <w:t>AP</w:t>
      </w:r>
      <w:r w:rsidRPr="00F63890">
        <w:rPr>
          <w:rFonts w:ascii="Times New Roman" w:eastAsia="Calibri" w:hAnsi="Times New Roman" w:cs="Times New Roman"/>
          <w:sz w:val="24"/>
          <w:szCs w:val="24"/>
        </w:rPr>
        <w:t xml:space="preserve"> Program </w:t>
      </w:r>
      <w:r w:rsidR="009825A6">
        <w:rPr>
          <w:rFonts w:ascii="Times New Roman" w:eastAsia="Calibri" w:hAnsi="Times New Roman" w:cs="Times New Roman"/>
          <w:sz w:val="24"/>
          <w:szCs w:val="24"/>
        </w:rPr>
        <w:t>were filed</w:t>
      </w:r>
      <w:r w:rsidRPr="00F63890">
        <w:rPr>
          <w:rFonts w:ascii="Times New Roman" w:eastAsia="Calibri" w:hAnsi="Times New Roman" w:cs="Times New Roman"/>
          <w:sz w:val="24"/>
          <w:szCs w:val="24"/>
        </w:rPr>
        <w:t xml:space="preserve"> in Confidential Appendix 1</w:t>
      </w:r>
      <w:r w:rsidR="009825A6">
        <w:rPr>
          <w:rFonts w:ascii="Times New Roman" w:eastAsia="Calibri" w:hAnsi="Times New Roman" w:cs="Times New Roman"/>
          <w:sz w:val="24"/>
          <w:szCs w:val="24"/>
        </w:rPr>
        <w:t xml:space="preserve"> to SR-NFX-2016-61</w:t>
      </w:r>
      <w:r w:rsidRPr="00F6389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4E0D16" w:rsidRDefault="004E0D16" w:rsidP="004E0D16">
      <w:pPr>
        <w:pStyle w:val="NoSpacing"/>
        <w:ind w:firstLine="1310"/>
        <w:rPr>
          <w:rFonts w:ascii="Times New Roman" w:eastAsia="Calibri" w:hAnsi="Times New Roman" w:cs="Times New Roman"/>
          <w:sz w:val="24"/>
          <w:szCs w:val="24"/>
        </w:rPr>
      </w:pPr>
    </w:p>
    <w:p w:rsidR="002B56C0" w:rsidRPr="006974BA" w:rsidRDefault="004E0D16" w:rsidP="00977F03">
      <w:pPr>
        <w:spacing w:line="240" w:lineRule="auto"/>
        <w:rPr>
          <w:rFonts w:ascii="Times New Roman" w:hAnsi="Times New Roman" w:cs="Times New Roman"/>
          <w:sz w:val="24"/>
          <w:szCs w:val="24"/>
        </w:rPr>
      </w:pPr>
      <w:r>
        <w:rPr>
          <w:rFonts w:ascii="Times New Roman" w:eastAsia="Calibri" w:hAnsi="Times New Roman" w:cs="Times New Roman"/>
          <w:sz w:val="24"/>
          <w:szCs w:val="24"/>
        </w:rPr>
        <w:tab/>
        <w:t xml:space="preserve">The Exchange believes that the </w:t>
      </w:r>
      <w:r w:rsidR="00D94689">
        <w:rPr>
          <w:rFonts w:ascii="Times New Roman" w:eastAsia="Calibri" w:hAnsi="Times New Roman" w:cs="Times New Roman"/>
          <w:sz w:val="24"/>
          <w:szCs w:val="24"/>
        </w:rPr>
        <w:t xml:space="preserve">Energy AP </w:t>
      </w:r>
      <w:r>
        <w:rPr>
          <w:rFonts w:ascii="Times New Roman" w:eastAsia="Calibri" w:hAnsi="Times New Roman" w:cs="Times New Roman"/>
          <w:sz w:val="24"/>
          <w:szCs w:val="24"/>
        </w:rPr>
        <w:t xml:space="preserve">Program complies with Core Principle 4 (Monitoring of Trading), Core Principle 9 (Execution of Transactions) and Core Principle 12 (Protection of Market Participants).  The </w:t>
      </w:r>
      <w:r w:rsidR="00D94689">
        <w:rPr>
          <w:rFonts w:ascii="Times New Roman" w:eastAsia="Calibri" w:hAnsi="Times New Roman" w:cs="Times New Roman"/>
          <w:sz w:val="24"/>
          <w:szCs w:val="24"/>
        </w:rPr>
        <w:t xml:space="preserve">Energy AP </w:t>
      </w:r>
      <w:r>
        <w:rPr>
          <w:rFonts w:ascii="Times New Roman" w:eastAsia="Calibri" w:hAnsi="Times New Roman" w:cs="Times New Roman"/>
          <w:sz w:val="24"/>
          <w:szCs w:val="24"/>
        </w:rPr>
        <w:t xml:space="preserve">Program will not impact order execution priority or otherwise give participants any execution preference or advantage. </w:t>
      </w:r>
      <w:r w:rsidR="004F42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w:t>
      </w:r>
      <w:r w:rsidR="00D94689">
        <w:rPr>
          <w:rFonts w:ascii="Times New Roman" w:eastAsia="Calibri" w:hAnsi="Times New Roman" w:cs="Times New Roman"/>
          <w:sz w:val="24"/>
          <w:szCs w:val="24"/>
        </w:rPr>
        <w:t xml:space="preserve">Energy AP </w:t>
      </w:r>
      <w:r>
        <w:rPr>
          <w:rFonts w:ascii="Times New Roman" w:eastAsia="Calibri" w:hAnsi="Times New Roman" w:cs="Times New Roman"/>
          <w:sz w:val="24"/>
          <w:szCs w:val="24"/>
        </w:rPr>
        <w:t xml:space="preserve">Program will not impact the Exchange’s ability to perform its trade practice and market surveillance obligations under the Act and Exchange staff will monitor trading in the </w:t>
      </w:r>
      <w:r w:rsidR="00D94689">
        <w:rPr>
          <w:rFonts w:ascii="Times New Roman" w:eastAsia="Calibri" w:hAnsi="Times New Roman" w:cs="Times New Roman"/>
          <w:sz w:val="24"/>
          <w:szCs w:val="24"/>
        </w:rPr>
        <w:t xml:space="preserve">Energy AP </w:t>
      </w:r>
      <w:r>
        <w:rPr>
          <w:rFonts w:ascii="Times New Roman" w:eastAsia="Calibri" w:hAnsi="Times New Roman" w:cs="Times New Roman"/>
          <w:sz w:val="24"/>
          <w:szCs w:val="24"/>
        </w:rPr>
        <w:t xml:space="preserve">Program’s products to prevent manipulative trading and market abuse.  Additionally, the Exchange has systems to track </w:t>
      </w:r>
      <w:r w:rsidR="00D94689">
        <w:rPr>
          <w:rFonts w:ascii="Times New Roman" w:eastAsia="Calibri" w:hAnsi="Times New Roman" w:cs="Times New Roman"/>
          <w:sz w:val="24"/>
          <w:szCs w:val="24"/>
        </w:rPr>
        <w:t xml:space="preserve">Energy </w:t>
      </w:r>
      <w:r w:rsidR="00C26B7B">
        <w:rPr>
          <w:rFonts w:ascii="Times New Roman" w:eastAsia="Calibri" w:hAnsi="Times New Roman" w:cs="Times New Roman"/>
          <w:sz w:val="24"/>
          <w:szCs w:val="24"/>
        </w:rPr>
        <w:t xml:space="preserve">AP </w:t>
      </w:r>
      <w:r>
        <w:rPr>
          <w:rFonts w:ascii="Times New Roman" w:eastAsia="Calibri" w:hAnsi="Times New Roman" w:cs="Times New Roman"/>
          <w:sz w:val="24"/>
          <w:szCs w:val="24"/>
        </w:rPr>
        <w:t xml:space="preserve">Program participants’ volume to ensure proper distribution of earned incentives.  </w:t>
      </w:r>
      <w:r>
        <w:rPr>
          <w:rFonts w:ascii="Times New Roman" w:eastAsia="Calibri" w:hAnsi="Times New Roman" w:cs="Times New Roman"/>
          <w:sz w:val="24"/>
          <w:szCs w:val="24"/>
        </w:rPr>
        <w:lastRenderedPageBreak/>
        <w:t>Finally, NFX rules include prohibitions against fraudulent, non-competitive</w:t>
      </w:r>
      <w:r w:rsidRPr="000B5E2C">
        <w:rPr>
          <w:rFonts w:ascii="Times New Roman" w:eastAsia="Calibri" w:hAnsi="Times New Roman" w:cs="Times New Roman"/>
          <w:sz w:val="24"/>
          <w:szCs w:val="24"/>
        </w:rPr>
        <w:t>, unfair or abusive practices</w:t>
      </w:r>
      <w:r>
        <w:rPr>
          <w:rFonts w:ascii="Times New Roman" w:eastAsia="Calibri" w:hAnsi="Times New Roman" w:cs="Times New Roman"/>
          <w:sz w:val="24"/>
          <w:szCs w:val="24"/>
        </w:rPr>
        <w:t>.</w:t>
      </w:r>
    </w:p>
    <w:p w:rsidR="002B56C0" w:rsidRPr="0013104F" w:rsidRDefault="002B56C0" w:rsidP="002B56C0">
      <w:pPr>
        <w:pStyle w:val="Default"/>
        <w:ind w:firstLine="1310"/>
        <w:rPr>
          <w:color w:val="auto"/>
          <w:szCs w:val="23"/>
        </w:rPr>
      </w:pPr>
      <w:r w:rsidRPr="0013104F">
        <w:rPr>
          <w:color w:val="auto"/>
          <w:szCs w:val="23"/>
        </w:rPr>
        <w:t xml:space="preserve">The Exchange has reviewed the designated contract market core principles as set forth in the Act in connection with the amendments presented herein. Consistent with Core Principle 7 - Availability of General Information, the Exchange will post general information, including the NFX Rulebook as amended herein, on its website: </w:t>
      </w:r>
      <w:hyperlink r:id="rId11" w:history="1">
        <w:r w:rsidR="00F2689F">
          <w:rPr>
            <w:rStyle w:val="Hyperlink"/>
          </w:rPr>
          <w:t>business.nasdaq.com/futures</w:t>
        </w:r>
      </w:hyperlink>
      <w:r w:rsidRPr="0013104F">
        <w:rPr>
          <w:color w:val="auto"/>
          <w:szCs w:val="23"/>
        </w:rPr>
        <w:t>.</w:t>
      </w:r>
    </w:p>
    <w:p w:rsidR="002B56C0" w:rsidRPr="0013104F" w:rsidRDefault="002B56C0" w:rsidP="002B56C0">
      <w:pPr>
        <w:pStyle w:val="Default"/>
        <w:ind w:firstLine="1310"/>
        <w:rPr>
          <w:color w:val="auto"/>
          <w:szCs w:val="23"/>
        </w:rPr>
      </w:pPr>
    </w:p>
    <w:p w:rsidR="002B56C0" w:rsidRPr="0013104F" w:rsidRDefault="002B56C0" w:rsidP="004F42A5">
      <w:pPr>
        <w:pStyle w:val="Default"/>
        <w:ind w:left="2620" w:firstLine="1310"/>
        <w:rPr>
          <w:b/>
          <w:bCs/>
          <w:color w:val="auto"/>
          <w:szCs w:val="23"/>
          <w:u w:val="single"/>
        </w:rPr>
      </w:pPr>
      <w:r w:rsidRPr="0013104F">
        <w:rPr>
          <w:b/>
          <w:bCs/>
          <w:color w:val="auto"/>
          <w:szCs w:val="23"/>
          <w:u w:val="single"/>
        </w:rPr>
        <w:t xml:space="preserve">Certifications </w:t>
      </w:r>
    </w:p>
    <w:p w:rsidR="002B56C0" w:rsidRPr="0013104F" w:rsidRDefault="002B56C0" w:rsidP="002B56C0">
      <w:pPr>
        <w:pStyle w:val="Default"/>
        <w:ind w:left="2620"/>
        <w:rPr>
          <w:color w:val="auto"/>
        </w:rPr>
      </w:pPr>
    </w:p>
    <w:p w:rsidR="002B56C0" w:rsidRPr="0013104F" w:rsidRDefault="002B56C0" w:rsidP="002B56C0">
      <w:pPr>
        <w:pStyle w:val="PlainText"/>
        <w:ind w:firstLine="1310"/>
        <w:rPr>
          <w:rFonts w:ascii="Times New Roman" w:eastAsia="Calibri" w:hAnsi="Times New Roman"/>
          <w:sz w:val="24"/>
          <w:szCs w:val="24"/>
        </w:rPr>
      </w:pPr>
      <w:r w:rsidRPr="0013104F">
        <w:rPr>
          <w:rFonts w:ascii="Times New Roman" w:hAnsi="Times New Roman"/>
          <w:sz w:val="24"/>
          <w:szCs w:val="23"/>
        </w:rPr>
        <w:t xml:space="preserve">There were no opposing views among NFX’s Board of Directors, members or market participants. The Exchange hereby certifies that the rule amendments set forth herein comply with the Act and the Commission’s regulations thereunder. </w:t>
      </w:r>
      <w:r w:rsidR="00F2689F">
        <w:rPr>
          <w:rFonts w:ascii="Times New Roman" w:hAnsi="Times New Roman"/>
          <w:sz w:val="24"/>
          <w:szCs w:val="23"/>
        </w:rPr>
        <w:t xml:space="preserve"> </w:t>
      </w:r>
      <w:r w:rsidRPr="0013104F">
        <w:rPr>
          <w:rFonts w:ascii="Times New Roman" w:hAnsi="Times New Roman"/>
          <w:sz w:val="24"/>
          <w:szCs w:val="23"/>
        </w:rPr>
        <w:t xml:space="preserve">The Exchange also certifies that notice of pending certification and a copy of this submission have been concurrently posted on the Exchange’s website at </w:t>
      </w:r>
      <w:hyperlink r:id="rId12" w:history="1">
        <w:r w:rsidR="00F2689F">
          <w:rPr>
            <w:rStyle w:val="Hyperlink"/>
            <w:rFonts w:ascii="Times New Roman" w:hAnsi="Times New Roman"/>
            <w:sz w:val="24"/>
          </w:rPr>
          <w:t>business.nasdaq.com/futures</w:t>
        </w:r>
      </w:hyperlink>
      <w:r w:rsidRPr="0013104F">
        <w:rPr>
          <w:rFonts w:ascii="Times New Roman" w:hAnsi="Times New Roman"/>
          <w:sz w:val="24"/>
          <w:szCs w:val="23"/>
        </w:rPr>
        <w:t>.</w:t>
      </w:r>
    </w:p>
    <w:p w:rsidR="002B56C0" w:rsidRPr="0013104F" w:rsidRDefault="002B56C0" w:rsidP="002B56C0">
      <w:pPr>
        <w:pStyle w:val="PlainText"/>
        <w:ind w:firstLine="1310"/>
        <w:rPr>
          <w:rFonts w:ascii="Times New Roman" w:hAnsi="Times New Roman"/>
          <w:sz w:val="24"/>
          <w:szCs w:val="24"/>
        </w:rPr>
      </w:pPr>
    </w:p>
    <w:p w:rsidR="002B56C0" w:rsidRPr="0013104F" w:rsidRDefault="002B56C0" w:rsidP="00314DE6">
      <w:pPr>
        <w:keepNext/>
        <w:spacing w:after="0" w:line="240" w:lineRule="auto"/>
        <w:ind w:firstLine="1310"/>
        <w:rPr>
          <w:rFonts w:ascii="Times New Roman" w:hAnsi="Times New Roman" w:cs="Times New Roman"/>
          <w:spacing w:val="-6"/>
          <w:sz w:val="24"/>
          <w:szCs w:val="24"/>
        </w:rPr>
      </w:pPr>
      <w:r w:rsidRPr="0013104F">
        <w:rPr>
          <w:rFonts w:ascii="Times New Roman" w:eastAsia="Calibri" w:hAnsi="Times New Roman" w:cs="Times New Roman"/>
          <w:sz w:val="24"/>
          <w:szCs w:val="24"/>
        </w:rPr>
        <w:t>If you require any additional information regarding th</w:t>
      </w:r>
      <w:r>
        <w:rPr>
          <w:rFonts w:ascii="Times New Roman" w:eastAsia="Calibri" w:hAnsi="Times New Roman" w:cs="Times New Roman"/>
          <w:sz w:val="24"/>
          <w:szCs w:val="24"/>
        </w:rPr>
        <w:t>is</w:t>
      </w:r>
      <w:r w:rsidRPr="0013104F">
        <w:rPr>
          <w:rFonts w:ascii="Times New Roman" w:eastAsia="Calibri" w:hAnsi="Times New Roman" w:cs="Times New Roman"/>
          <w:sz w:val="24"/>
          <w:szCs w:val="24"/>
        </w:rPr>
        <w:t xml:space="preserve"> submission, please </w:t>
      </w:r>
      <w:r w:rsidRPr="0013104F">
        <w:rPr>
          <w:rFonts w:ascii="Times New Roman" w:hAnsi="Times New Roman" w:cs="Times New Roman"/>
          <w:sz w:val="24"/>
          <w:szCs w:val="24"/>
        </w:rPr>
        <w:t>contact</w:t>
      </w:r>
      <w:r w:rsidRPr="0013104F">
        <w:rPr>
          <w:rFonts w:ascii="Times New Roman" w:hAnsi="Times New Roman" w:cs="Times New Roman"/>
          <w:spacing w:val="-6"/>
          <w:sz w:val="24"/>
          <w:szCs w:val="24"/>
        </w:rPr>
        <w:t xml:space="preserve"> </w:t>
      </w:r>
      <w:r w:rsidR="000B5E2C" w:rsidRPr="00B14D27">
        <w:rPr>
          <w:rFonts w:ascii="Times New Roman" w:eastAsia="Times New Roman" w:hAnsi="Times New Roman" w:cs="Times New Roman"/>
          <w:sz w:val="24"/>
          <w:szCs w:val="24"/>
        </w:rPr>
        <w:t>Stephen Matthews at (301) 978-8458</w:t>
      </w:r>
      <w:r w:rsidRPr="0013104F">
        <w:rPr>
          <w:rFonts w:ascii="Times New Roman" w:hAnsi="Times New Roman" w:cs="Times New Roman"/>
          <w:spacing w:val="-6"/>
          <w:sz w:val="24"/>
          <w:szCs w:val="24"/>
        </w:rPr>
        <w:t xml:space="preserve"> </w:t>
      </w:r>
      <w:r w:rsidRPr="0013104F">
        <w:rPr>
          <w:rFonts w:ascii="Times New Roman" w:hAnsi="Times New Roman" w:cs="Times New Roman"/>
          <w:sz w:val="24"/>
          <w:szCs w:val="24"/>
        </w:rPr>
        <w:t>or</w:t>
      </w:r>
      <w:r w:rsidRPr="0013104F">
        <w:rPr>
          <w:rFonts w:ascii="Times New Roman" w:hAnsi="Times New Roman" w:cs="Times New Roman"/>
          <w:spacing w:val="-6"/>
          <w:sz w:val="24"/>
          <w:szCs w:val="24"/>
        </w:rPr>
        <w:t xml:space="preserve"> </w:t>
      </w:r>
      <w:r w:rsidR="000B5E2C">
        <w:rPr>
          <w:rFonts w:ascii="Times New Roman" w:hAnsi="Times New Roman" w:cs="Times New Roman"/>
          <w:sz w:val="24"/>
          <w:szCs w:val="24"/>
        </w:rPr>
        <w:lastRenderedPageBreak/>
        <w:t>steve</w:t>
      </w:r>
      <w:r w:rsidRPr="0013104F">
        <w:rPr>
          <w:rFonts w:ascii="Times New Roman" w:hAnsi="Times New Roman" w:cs="Times New Roman"/>
          <w:sz w:val="24"/>
          <w:szCs w:val="24"/>
        </w:rPr>
        <w:t>.</w:t>
      </w:r>
      <w:r w:rsidR="000B5E2C">
        <w:rPr>
          <w:rFonts w:ascii="Times New Roman" w:hAnsi="Times New Roman" w:cs="Times New Roman"/>
          <w:sz w:val="24"/>
          <w:szCs w:val="24"/>
        </w:rPr>
        <w:t>matthews</w:t>
      </w:r>
      <w:r w:rsidRPr="0013104F">
        <w:rPr>
          <w:rFonts w:ascii="Times New Roman" w:hAnsi="Times New Roman" w:cs="Times New Roman"/>
          <w:sz w:val="24"/>
          <w:szCs w:val="24"/>
        </w:rPr>
        <w:t>@nasdaq.com</w:t>
      </w:r>
      <w:r w:rsidRPr="0013104F">
        <w:rPr>
          <w:rFonts w:ascii="Times New Roman" w:hAnsi="Times New Roman" w:cs="Times New Roman"/>
          <w:spacing w:val="-6"/>
          <w:sz w:val="24"/>
          <w:szCs w:val="24"/>
        </w:rPr>
        <w:t xml:space="preserve">.  </w:t>
      </w:r>
      <w:r w:rsidRPr="00C26B7B">
        <w:rPr>
          <w:rFonts w:ascii="Times New Roman" w:hAnsi="Times New Roman" w:cs="Times New Roman"/>
          <w:sz w:val="24"/>
          <w:szCs w:val="24"/>
        </w:rPr>
        <w:t>Please</w:t>
      </w:r>
      <w:r w:rsidRPr="00C26B7B">
        <w:rPr>
          <w:rFonts w:ascii="Times New Roman" w:hAnsi="Times New Roman" w:cs="Times New Roman"/>
          <w:spacing w:val="-6"/>
          <w:sz w:val="24"/>
          <w:szCs w:val="24"/>
        </w:rPr>
        <w:t xml:space="preserve"> </w:t>
      </w:r>
      <w:r w:rsidRPr="00C26B7B">
        <w:rPr>
          <w:rFonts w:ascii="Times New Roman" w:hAnsi="Times New Roman" w:cs="Times New Roman"/>
          <w:sz w:val="24"/>
          <w:szCs w:val="24"/>
        </w:rPr>
        <w:t>refer to</w:t>
      </w:r>
      <w:r w:rsidRPr="00C26B7B">
        <w:rPr>
          <w:rFonts w:ascii="Times New Roman" w:hAnsi="Times New Roman" w:cs="Times New Roman"/>
          <w:spacing w:val="-6"/>
          <w:sz w:val="24"/>
          <w:szCs w:val="24"/>
        </w:rPr>
        <w:t xml:space="preserve"> </w:t>
      </w:r>
      <w:r w:rsidRPr="00C26B7B">
        <w:rPr>
          <w:rFonts w:ascii="Times New Roman" w:hAnsi="Times New Roman" w:cs="Times New Roman"/>
          <w:sz w:val="24"/>
          <w:szCs w:val="24"/>
        </w:rPr>
        <w:t>SR-NFX-201</w:t>
      </w:r>
      <w:r w:rsidR="001B3F5B">
        <w:rPr>
          <w:rFonts w:ascii="Times New Roman" w:hAnsi="Times New Roman" w:cs="Times New Roman"/>
          <w:sz w:val="24"/>
          <w:szCs w:val="24"/>
        </w:rPr>
        <w:t>7</w:t>
      </w:r>
      <w:r w:rsidRPr="00C26B7B">
        <w:rPr>
          <w:rFonts w:ascii="Times New Roman" w:hAnsi="Times New Roman" w:cs="Times New Roman"/>
          <w:sz w:val="24"/>
          <w:szCs w:val="24"/>
        </w:rPr>
        <w:t>-</w:t>
      </w:r>
      <w:r w:rsidR="001B3F5B">
        <w:rPr>
          <w:rFonts w:ascii="Times New Roman" w:hAnsi="Times New Roman" w:cs="Times New Roman"/>
          <w:sz w:val="24"/>
          <w:szCs w:val="24"/>
        </w:rPr>
        <w:t>26</w:t>
      </w:r>
      <w:r w:rsidR="00004FC4" w:rsidRPr="00C26B7B">
        <w:rPr>
          <w:rFonts w:ascii="Times New Roman" w:hAnsi="Times New Roman" w:cs="Times New Roman"/>
          <w:spacing w:val="-9"/>
          <w:sz w:val="24"/>
          <w:szCs w:val="24"/>
        </w:rPr>
        <w:t xml:space="preserve"> </w:t>
      </w:r>
      <w:r w:rsidRPr="00C26B7B">
        <w:rPr>
          <w:rFonts w:ascii="Times New Roman" w:eastAsia="Calibri" w:hAnsi="Times New Roman" w:cs="Times New Roman"/>
          <w:sz w:val="24"/>
          <w:szCs w:val="24"/>
        </w:rPr>
        <w:t>in any related correspondence.</w:t>
      </w:r>
    </w:p>
    <w:p w:rsidR="002B56C0" w:rsidRPr="0013104F" w:rsidRDefault="002B56C0" w:rsidP="002B56C0">
      <w:pPr>
        <w:pStyle w:val="NoSpacing"/>
        <w:keepNext/>
        <w:rPr>
          <w:rFonts w:ascii="Times New Roman" w:eastAsia="Times New Roman" w:hAnsi="Times New Roman" w:cs="Times New Roman"/>
          <w:sz w:val="24"/>
          <w:szCs w:val="24"/>
        </w:rPr>
      </w:pPr>
    </w:p>
    <w:p w:rsidR="002B56C0" w:rsidRPr="0013104F" w:rsidRDefault="002B56C0" w:rsidP="002B56C0">
      <w:pPr>
        <w:pStyle w:val="NoSpacing"/>
        <w:keepNext/>
        <w:rPr>
          <w:rFonts w:ascii="Times New Roman" w:eastAsia="Calibri" w:hAnsi="Times New Roman" w:cs="Times New Roman"/>
          <w:sz w:val="24"/>
          <w:szCs w:val="24"/>
        </w:rPr>
      </w:pPr>
      <w:r w:rsidRPr="0013104F">
        <w:rPr>
          <w:rFonts w:ascii="Times New Roman" w:eastAsia="Calibri" w:hAnsi="Times New Roman" w:cs="Times New Roman"/>
          <w:noProof/>
          <w:sz w:val="24"/>
          <w:szCs w:val="24"/>
        </w:rPr>
        <w:drawing>
          <wp:anchor distT="0" distB="0" distL="114300" distR="114300" simplePos="0" relativeHeight="251662336" behindDoc="1" locked="0" layoutInCell="1" allowOverlap="1" wp14:anchorId="4321AC14" wp14:editId="7DD364E9">
            <wp:simplePos x="0" y="0"/>
            <wp:positionH relativeFrom="column">
              <wp:posOffset>2150744</wp:posOffset>
            </wp:positionH>
            <wp:positionV relativeFrom="paragraph">
              <wp:posOffset>168275</wp:posOffset>
            </wp:positionV>
            <wp:extent cx="2886075" cy="6381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6075" cy="638175"/>
                    </a:xfrm>
                    <a:prstGeom prst="rect">
                      <a:avLst/>
                    </a:prstGeom>
                    <a:noFill/>
                    <a:ln w="9525">
                      <a:noFill/>
                      <a:miter lim="800000"/>
                      <a:headEnd/>
                      <a:tailEnd/>
                    </a:ln>
                  </pic:spPr>
                </pic:pic>
              </a:graphicData>
            </a:graphic>
            <wp14:sizeRelH relativeFrom="margin">
              <wp14:pctWidth>0</wp14:pctWidth>
            </wp14:sizeRelH>
          </wp:anchor>
        </w:drawing>
      </w:r>
    </w:p>
    <w:p w:rsidR="002B56C0" w:rsidRPr="0013104F" w:rsidRDefault="002B56C0" w:rsidP="002B56C0">
      <w:pPr>
        <w:pStyle w:val="NoSpacing"/>
        <w:keepNext/>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Regards,</w:t>
      </w:r>
    </w:p>
    <w:p w:rsidR="002B56C0" w:rsidRPr="0013104F" w:rsidRDefault="002B56C0" w:rsidP="002B56C0">
      <w:pPr>
        <w:pStyle w:val="NoSpacing"/>
        <w:keepNext/>
        <w:ind w:left="2880" w:firstLine="720"/>
        <w:rPr>
          <w:rFonts w:ascii="Times New Roman" w:hAnsi="Times New Roman"/>
          <w:sz w:val="24"/>
        </w:rPr>
      </w:pPr>
    </w:p>
    <w:p w:rsidR="002B56C0" w:rsidRPr="0013104F" w:rsidRDefault="002B56C0" w:rsidP="002B56C0">
      <w:pPr>
        <w:pStyle w:val="NoSpacing"/>
        <w:keepNext/>
        <w:ind w:left="2880" w:firstLine="720"/>
        <w:rPr>
          <w:rFonts w:ascii="Times New Roman" w:eastAsia="Calibri" w:hAnsi="Times New Roman" w:cs="Times New Roman"/>
          <w:sz w:val="24"/>
          <w:szCs w:val="24"/>
        </w:rPr>
      </w:pPr>
    </w:p>
    <w:p w:rsidR="002B56C0" w:rsidRPr="0013104F" w:rsidRDefault="002B56C0" w:rsidP="002B56C0">
      <w:pPr>
        <w:pStyle w:val="NoSpacing"/>
        <w:keepNext/>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Daniel R. Carrigan</w:t>
      </w:r>
    </w:p>
    <w:p w:rsidR="002B56C0" w:rsidRPr="0013104F" w:rsidRDefault="002B56C0" w:rsidP="002B56C0">
      <w:pPr>
        <w:pStyle w:val="NoSpacing"/>
        <w:ind w:left="2880" w:firstLine="720"/>
        <w:rPr>
          <w:rFonts w:ascii="Times New Roman" w:eastAsia="Calibri" w:hAnsi="Times New Roman" w:cs="Times New Roman"/>
          <w:sz w:val="24"/>
          <w:szCs w:val="24"/>
        </w:rPr>
      </w:pPr>
      <w:r w:rsidRPr="0013104F">
        <w:rPr>
          <w:rFonts w:ascii="Times New Roman" w:eastAsia="Calibri" w:hAnsi="Times New Roman" w:cs="Times New Roman"/>
          <w:sz w:val="24"/>
          <w:szCs w:val="24"/>
        </w:rPr>
        <w:t>President</w:t>
      </w:r>
    </w:p>
    <w:p w:rsidR="002B56C0" w:rsidRPr="0013104F" w:rsidRDefault="002B56C0" w:rsidP="002B56C0">
      <w:pPr>
        <w:pStyle w:val="NoSpacing"/>
        <w:rPr>
          <w:rFonts w:ascii="Times New Roman" w:eastAsia="Calibri" w:hAnsi="Times New Roman" w:cs="Times New Roman"/>
          <w:sz w:val="24"/>
          <w:szCs w:val="24"/>
        </w:rPr>
      </w:pPr>
    </w:p>
    <w:p w:rsidR="002B56C0" w:rsidRPr="0013104F" w:rsidRDefault="002B56C0" w:rsidP="002B56C0">
      <w:pPr>
        <w:pStyle w:val="NoSpacing"/>
        <w:rPr>
          <w:rFonts w:ascii="Times New Roman" w:eastAsia="Calibri" w:hAnsi="Times New Roman" w:cs="Times New Roman"/>
          <w:sz w:val="24"/>
          <w:szCs w:val="24"/>
        </w:rPr>
      </w:pPr>
    </w:p>
    <w:p w:rsidR="004F4E47" w:rsidRDefault="002B56C0" w:rsidP="002B56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8F696F" w:rsidRDefault="008F696F" w:rsidP="008F696F">
      <w:pPr>
        <w:spacing w:after="0" w:line="240" w:lineRule="auto"/>
        <w:rPr>
          <w:rFonts w:ascii="Times New Roman" w:eastAsia="Calibri" w:hAnsi="Times New Roman" w:cs="Times New Roman"/>
          <w:sz w:val="24"/>
          <w:szCs w:val="24"/>
        </w:rPr>
      </w:pPr>
      <w:r w:rsidRPr="00EE6AFD">
        <w:rPr>
          <w:rFonts w:ascii="Times New Roman" w:eastAsia="Calibri" w:hAnsi="Times New Roman" w:cs="Times New Roman"/>
          <w:sz w:val="24"/>
          <w:szCs w:val="24"/>
          <w:u w:val="single"/>
        </w:rPr>
        <w:t>Exhibit A</w:t>
      </w:r>
      <w:r w:rsidR="00EE6AFD">
        <w:rPr>
          <w:rFonts w:ascii="Times New Roman" w:eastAsia="Calibri" w:hAnsi="Times New Roman" w:cs="Times New Roman"/>
          <w:sz w:val="24"/>
          <w:szCs w:val="24"/>
        </w:rPr>
        <w:t xml:space="preserve">: </w:t>
      </w:r>
      <w:r w:rsidR="00EE6AFD" w:rsidRPr="00A57EED">
        <w:rPr>
          <w:rFonts w:ascii="Times New Roman" w:hAnsi="Times New Roman" w:cs="Times New Roman"/>
          <w:sz w:val="24"/>
          <w:szCs w:val="24"/>
        </w:rPr>
        <w:t>N</w:t>
      </w:r>
      <w:r w:rsidR="00EE6AFD">
        <w:rPr>
          <w:rFonts w:ascii="Times New Roman" w:hAnsi="Times New Roman" w:cs="Times New Roman"/>
          <w:sz w:val="24"/>
          <w:szCs w:val="24"/>
        </w:rPr>
        <w:t>FX Energy AP Program</w:t>
      </w:r>
    </w:p>
    <w:p w:rsidR="003E42E3" w:rsidRDefault="003E42E3" w:rsidP="008F696F">
      <w:pPr>
        <w:spacing w:after="0" w:line="240" w:lineRule="auto"/>
        <w:rPr>
          <w:rFonts w:ascii="Times New Roman" w:eastAsia="Calibri" w:hAnsi="Times New Roman" w:cs="Times New Roman"/>
          <w:sz w:val="24"/>
          <w:szCs w:val="24"/>
        </w:rPr>
      </w:pPr>
    </w:p>
    <w:p w:rsidR="004F42A5" w:rsidRDefault="004F42A5">
      <w:pPr>
        <w:spacing w:after="0" w:line="240" w:lineRule="auto"/>
        <w:rPr>
          <w:rFonts w:ascii="Times New Roman" w:eastAsia="Arial" w:hAnsi="Times New Roman" w:cs="Times New Roman"/>
          <w:b/>
          <w:spacing w:val="-4"/>
          <w:sz w:val="24"/>
          <w:szCs w:val="20"/>
          <w:lang w:eastAsia="sv-SE"/>
        </w:rPr>
      </w:pPr>
      <w:r>
        <w:rPr>
          <w:rFonts w:ascii="Times New Roman" w:hAnsi="Times New Roman"/>
          <w:sz w:val="24"/>
        </w:rPr>
        <w:br w:type="page"/>
      </w:r>
    </w:p>
    <w:p w:rsidR="00EE6AFD" w:rsidRPr="00EE6AFD" w:rsidRDefault="003D65F8" w:rsidP="00E06DC8">
      <w:pPr>
        <w:pStyle w:val="Subhead1Style"/>
        <w:ind w:firstLine="720"/>
        <w:jc w:val="center"/>
        <w:rPr>
          <w:rFonts w:ascii="Times New Roman" w:hAnsi="Times New Roman"/>
          <w:color w:val="auto"/>
          <w:sz w:val="24"/>
          <w:u w:val="single"/>
        </w:rPr>
      </w:pPr>
      <w:r w:rsidRPr="00EE6AFD">
        <w:rPr>
          <w:rFonts w:ascii="Times New Roman" w:hAnsi="Times New Roman"/>
          <w:color w:val="auto"/>
          <w:sz w:val="24"/>
          <w:u w:val="single"/>
        </w:rPr>
        <w:lastRenderedPageBreak/>
        <w:t>Exhibit</w:t>
      </w:r>
      <w:r w:rsidR="00543FF5" w:rsidRPr="00EE6AFD">
        <w:rPr>
          <w:rFonts w:ascii="Times New Roman" w:hAnsi="Times New Roman"/>
          <w:color w:val="auto"/>
          <w:sz w:val="24"/>
          <w:u w:val="single"/>
        </w:rPr>
        <w:t xml:space="preserve"> A</w:t>
      </w:r>
      <w:r w:rsidR="00EE6AFD" w:rsidRPr="00EE6AFD">
        <w:rPr>
          <w:rFonts w:ascii="Times New Roman" w:hAnsi="Times New Roman"/>
          <w:color w:val="auto"/>
          <w:sz w:val="24"/>
          <w:u w:val="single"/>
        </w:rPr>
        <w:t xml:space="preserve"> to SR-NFX-201</w:t>
      </w:r>
      <w:r w:rsidR="001B3F5B">
        <w:rPr>
          <w:rFonts w:ascii="Times New Roman" w:hAnsi="Times New Roman"/>
          <w:color w:val="auto"/>
          <w:sz w:val="24"/>
          <w:u w:val="single"/>
        </w:rPr>
        <w:t>7</w:t>
      </w:r>
      <w:r w:rsidR="00EE6AFD" w:rsidRPr="00EE6AFD">
        <w:rPr>
          <w:rFonts w:ascii="Times New Roman" w:hAnsi="Times New Roman"/>
          <w:color w:val="auto"/>
          <w:sz w:val="24"/>
          <w:u w:val="single"/>
        </w:rPr>
        <w:t>-</w:t>
      </w:r>
      <w:r w:rsidR="001B3F5B">
        <w:rPr>
          <w:rFonts w:ascii="Times New Roman" w:hAnsi="Times New Roman"/>
          <w:color w:val="auto"/>
          <w:sz w:val="24"/>
          <w:u w:val="single"/>
        </w:rPr>
        <w:t>26</w:t>
      </w:r>
    </w:p>
    <w:p w:rsidR="00EE6AFD" w:rsidRPr="00543FF5" w:rsidRDefault="00EE6AFD" w:rsidP="00E06DC8">
      <w:pPr>
        <w:pStyle w:val="Subhead1Style"/>
        <w:ind w:firstLine="720"/>
        <w:jc w:val="center"/>
        <w:rPr>
          <w:rFonts w:ascii="Times New Roman" w:hAnsi="Times New Roman"/>
          <w:color w:val="auto"/>
          <w:sz w:val="24"/>
          <w:highlight w:val="yellow"/>
        </w:rPr>
      </w:pPr>
    </w:p>
    <w:p w:rsidR="00EE6AFD" w:rsidRPr="00A57EED" w:rsidRDefault="00EE6AFD" w:rsidP="00EE6AFD">
      <w:pPr>
        <w:spacing w:after="15" w:line="240" w:lineRule="atLeast"/>
        <w:outlineLvl w:val="1"/>
        <w:rPr>
          <w:rFonts w:ascii="Times New Roman" w:eastAsia="Times New Roman" w:hAnsi="Times New Roman" w:cs="Times New Roman"/>
          <w:bCs/>
          <w:sz w:val="24"/>
          <w:szCs w:val="18"/>
        </w:rPr>
      </w:pPr>
      <w:r w:rsidRPr="00A57EED">
        <w:rPr>
          <w:rFonts w:ascii="Times New Roman" w:eastAsia="Times New Roman" w:hAnsi="Times New Roman" w:cs="Times New Roman"/>
          <w:bCs/>
          <w:sz w:val="24"/>
          <w:szCs w:val="18"/>
        </w:rPr>
        <w:t xml:space="preserve">                                     (</w:t>
      </w:r>
      <w:proofErr w:type="gramStart"/>
      <w:r w:rsidRPr="00A57EED">
        <w:rPr>
          <w:rFonts w:ascii="Times New Roman" w:eastAsia="Times New Roman" w:hAnsi="Times New Roman" w:cs="Times New Roman"/>
          <w:bCs/>
          <w:sz w:val="24"/>
          <w:szCs w:val="18"/>
        </w:rPr>
        <w:t>additions</w:t>
      </w:r>
      <w:proofErr w:type="gramEnd"/>
      <w:r w:rsidRPr="00A57EED">
        <w:rPr>
          <w:rFonts w:ascii="Times New Roman" w:eastAsia="Times New Roman" w:hAnsi="Times New Roman" w:cs="Times New Roman"/>
          <w:bCs/>
          <w:sz w:val="24"/>
          <w:szCs w:val="18"/>
        </w:rPr>
        <w:t xml:space="preserve"> are </w:t>
      </w:r>
      <w:r w:rsidRPr="00A57EED">
        <w:rPr>
          <w:rFonts w:ascii="Times New Roman" w:eastAsia="Times New Roman" w:hAnsi="Times New Roman" w:cs="Times New Roman"/>
          <w:bCs/>
          <w:sz w:val="24"/>
          <w:szCs w:val="18"/>
          <w:u w:val="single"/>
        </w:rPr>
        <w:t>underlined</w:t>
      </w:r>
      <w:r w:rsidRPr="00A57EED">
        <w:rPr>
          <w:rFonts w:ascii="Times New Roman" w:eastAsia="Times New Roman" w:hAnsi="Times New Roman" w:cs="Times New Roman"/>
          <w:bCs/>
          <w:sz w:val="24"/>
          <w:szCs w:val="18"/>
        </w:rPr>
        <w:t xml:space="preserve">; deletions are </w:t>
      </w:r>
      <w:r w:rsidRPr="00C00FF5">
        <w:rPr>
          <w:rFonts w:ascii="Times New Roman" w:eastAsia="Times New Roman" w:hAnsi="Times New Roman" w:cs="Times New Roman"/>
          <w:bCs/>
          <w:sz w:val="24"/>
          <w:szCs w:val="18"/>
        </w:rPr>
        <w:t>[bracketed])</w:t>
      </w:r>
    </w:p>
    <w:p w:rsidR="00EE6AFD" w:rsidRDefault="00EE6AFD" w:rsidP="00E06DC8">
      <w:pPr>
        <w:spacing w:after="0" w:line="240" w:lineRule="auto"/>
        <w:jc w:val="center"/>
        <w:rPr>
          <w:rFonts w:ascii="Times New Roman" w:eastAsia="Calibri" w:hAnsi="Times New Roman" w:cs="Times New Roman"/>
          <w:b/>
          <w:sz w:val="24"/>
          <w:szCs w:val="24"/>
          <w:u w:val="single"/>
        </w:rPr>
      </w:pPr>
    </w:p>
    <w:p w:rsidR="00EE6AFD" w:rsidRDefault="00EE6AFD" w:rsidP="00E06DC8">
      <w:pPr>
        <w:spacing w:after="0" w:line="240" w:lineRule="auto"/>
        <w:jc w:val="center"/>
        <w:rPr>
          <w:rFonts w:ascii="Times New Roman" w:eastAsia="Calibri" w:hAnsi="Times New Roman" w:cs="Times New Roman"/>
          <w:b/>
          <w:sz w:val="24"/>
          <w:szCs w:val="24"/>
          <w:u w:val="single"/>
        </w:rPr>
      </w:pPr>
    </w:p>
    <w:p w:rsidR="003D65F8" w:rsidRPr="00765E44" w:rsidRDefault="003D65F8" w:rsidP="00E06DC8">
      <w:pPr>
        <w:spacing w:after="0" w:line="240" w:lineRule="auto"/>
        <w:jc w:val="center"/>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 xml:space="preserve">NFX Energy </w:t>
      </w:r>
      <w:r w:rsidR="002C775B">
        <w:rPr>
          <w:rFonts w:ascii="Times New Roman" w:eastAsia="Calibri" w:hAnsi="Times New Roman" w:cs="Times New Roman"/>
          <w:b/>
          <w:sz w:val="24"/>
          <w:szCs w:val="24"/>
          <w:u w:val="single"/>
        </w:rPr>
        <w:t>AP</w:t>
      </w:r>
      <w:r w:rsidRPr="00765E44">
        <w:rPr>
          <w:rFonts w:ascii="Times New Roman" w:eastAsia="Calibri" w:hAnsi="Times New Roman" w:cs="Times New Roman"/>
          <w:b/>
          <w:sz w:val="24"/>
          <w:szCs w:val="24"/>
          <w:u w:val="single"/>
        </w:rPr>
        <w:t xml:space="preserve"> Program</w:t>
      </w:r>
    </w:p>
    <w:p w:rsidR="003D65F8" w:rsidRDefault="003D65F8" w:rsidP="003D65F8">
      <w:pPr>
        <w:spacing w:after="0" w:line="240" w:lineRule="auto"/>
        <w:rPr>
          <w:rFonts w:ascii="Times New Roman" w:eastAsia="Calibri" w:hAnsi="Times New Roman" w:cs="Times New Roman"/>
          <w:sz w:val="24"/>
          <w:szCs w:val="24"/>
        </w:rPr>
      </w:pPr>
    </w:p>
    <w:p w:rsidR="003D65F8" w:rsidRPr="00765E44" w:rsidRDefault="003D65F8" w:rsidP="003D65F8">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Program Purpose</w:t>
      </w:r>
    </w:p>
    <w:p w:rsidR="003D65F8" w:rsidRDefault="003D65F8" w:rsidP="003D65F8">
      <w:pPr>
        <w:spacing w:after="0" w:line="240" w:lineRule="auto"/>
        <w:rPr>
          <w:rFonts w:ascii="Times New Roman" w:eastAsia="Calibri" w:hAnsi="Times New Roman" w:cs="Times New Roman"/>
          <w:sz w:val="24"/>
          <w:szCs w:val="24"/>
        </w:rPr>
      </w:pPr>
    </w:p>
    <w:p w:rsidR="003D65F8" w:rsidRDefault="003D65F8" w:rsidP="003D65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purpose of the NFX Energy </w:t>
      </w:r>
      <w:r w:rsidR="002C775B">
        <w:rPr>
          <w:rFonts w:ascii="Times New Roman" w:eastAsia="Calibri" w:hAnsi="Times New Roman" w:cs="Times New Roman"/>
          <w:sz w:val="24"/>
          <w:szCs w:val="24"/>
        </w:rPr>
        <w:t>AP</w:t>
      </w:r>
      <w:r>
        <w:rPr>
          <w:rFonts w:ascii="Times New Roman" w:eastAsia="Calibri" w:hAnsi="Times New Roman" w:cs="Times New Roman"/>
          <w:sz w:val="24"/>
          <w:szCs w:val="24"/>
        </w:rPr>
        <w:t xml:space="preserve"> Program (the “</w:t>
      </w:r>
      <w:r w:rsidRPr="00400F17">
        <w:rPr>
          <w:rFonts w:ascii="Times New Roman" w:eastAsia="Calibri" w:hAnsi="Times New Roman" w:cs="Times New Roman"/>
          <w:sz w:val="24"/>
          <w:szCs w:val="24"/>
          <w:u w:val="single"/>
        </w:rPr>
        <w:t xml:space="preserve">Energy </w:t>
      </w:r>
      <w:r w:rsidR="002C775B">
        <w:rPr>
          <w:rFonts w:ascii="Times New Roman" w:eastAsia="Calibri" w:hAnsi="Times New Roman" w:cs="Times New Roman"/>
          <w:sz w:val="24"/>
          <w:szCs w:val="24"/>
          <w:u w:val="single"/>
        </w:rPr>
        <w:t>AP</w:t>
      </w:r>
      <w:r w:rsidRPr="00400F17">
        <w:rPr>
          <w:rFonts w:ascii="Times New Roman" w:eastAsia="Calibri" w:hAnsi="Times New Roman" w:cs="Times New Roman"/>
          <w:sz w:val="24"/>
          <w:szCs w:val="24"/>
          <w:u w:val="single"/>
        </w:rPr>
        <w:t xml:space="preserve"> </w:t>
      </w:r>
      <w:r w:rsidRPr="000C4580">
        <w:rPr>
          <w:rFonts w:ascii="Times New Roman" w:eastAsia="Calibri" w:hAnsi="Times New Roman" w:cs="Times New Roman"/>
          <w:sz w:val="24"/>
          <w:szCs w:val="24"/>
          <w:u w:val="single"/>
        </w:rPr>
        <w:t>Program</w:t>
      </w:r>
      <w:r>
        <w:rPr>
          <w:rFonts w:ascii="Times New Roman" w:eastAsia="Calibri" w:hAnsi="Times New Roman" w:cs="Times New Roman"/>
          <w:sz w:val="24"/>
          <w:szCs w:val="24"/>
        </w:rPr>
        <w:t xml:space="preserve">”) is to incentivize </w:t>
      </w:r>
      <w:r w:rsidR="002C4559">
        <w:rPr>
          <w:rFonts w:ascii="Times New Roman" w:eastAsia="Calibri" w:hAnsi="Times New Roman" w:cs="Times New Roman"/>
          <w:sz w:val="24"/>
          <w:szCs w:val="24"/>
        </w:rPr>
        <w:t xml:space="preserve">Futures Commission Merchants </w:t>
      </w:r>
      <w:r>
        <w:rPr>
          <w:rFonts w:ascii="Times New Roman" w:eastAsia="Calibri" w:hAnsi="Times New Roman" w:cs="Times New Roman"/>
          <w:sz w:val="24"/>
          <w:szCs w:val="24"/>
        </w:rPr>
        <w:t xml:space="preserve">to </w:t>
      </w:r>
      <w:r w:rsidR="002C4559">
        <w:rPr>
          <w:rFonts w:ascii="Times New Roman" w:eastAsia="Calibri" w:hAnsi="Times New Roman" w:cs="Times New Roman"/>
          <w:sz w:val="24"/>
          <w:szCs w:val="24"/>
        </w:rPr>
        <w:t>trade NFX Energy futures and options-on-futures products</w:t>
      </w:r>
      <w:r w:rsidR="00D94689">
        <w:rPr>
          <w:rFonts w:ascii="Times New Roman" w:eastAsia="Calibri" w:hAnsi="Times New Roman" w:cs="Times New Roman"/>
          <w:sz w:val="24"/>
          <w:szCs w:val="24"/>
        </w:rPr>
        <w:t>, and to incentivize NFX Clearing Futures Participants who facilitate this business</w:t>
      </w:r>
      <w:r w:rsidR="002C455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resulting additional liquidity should benefit all participants in the market. </w:t>
      </w:r>
    </w:p>
    <w:p w:rsidR="003D65F8" w:rsidRDefault="003D65F8" w:rsidP="003D65F8">
      <w:pPr>
        <w:spacing w:after="0" w:line="240" w:lineRule="auto"/>
        <w:rPr>
          <w:rFonts w:ascii="Times New Roman" w:eastAsia="Calibri" w:hAnsi="Times New Roman" w:cs="Times New Roman"/>
          <w:sz w:val="24"/>
          <w:szCs w:val="24"/>
        </w:rPr>
      </w:pPr>
    </w:p>
    <w:p w:rsidR="003D65F8" w:rsidRPr="00765E44" w:rsidRDefault="003D65F8" w:rsidP="003D65F8">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Product Scope</w:t>
      </w:r>
    </w:p>
    <w:p w:rsidR="003D65F8" w:rsidRDefault="003D65F8" w:rsidP="003D65F8">
      <w:pPr>
        <w:spacing w:after="0" w:line="240" w:lineRule="auto"/>
        <w:rPr>
          <w:rFonts w:ascii="Times New Roman" w:eastAsia="Calibri" w:hAnsi="Times New Roman" w:cs="Times New Roman"/>
          <w:sz w:val="24"/>
          <w:szCs w:val="24"/>
        </w:rPr>
      </w:pPr>
    </w:p>
    <w:p w:rsidR="003E42E3" w:rsidRDefault="003E42E3" w:rsidP="003E42E3">
      <w:pPr>
        <w:contextualSpacing/>
        <w:rPr>
          <w:rFonts w:ascii="Times New Roman" w:eastAsia="Calibri" w:hAnsi="Times New Roman" w:cs="Times New Roman"/>
          <w:sz w:val="24"/>
          <w:szCs w:val="24"/>
        </w:rPr>
      </w:pPr>
      <w:r>
        <w:rPr>
          <w:rFonts w:ascii="Times New Roman" w:eastAsia="Calibri" w:hAnsi="Times New Roman" w:cs="Times New Roman"/>
          <w:sz w:val="24"/>
          <w:szCs w:val="24"/>
        </w:rPr>
        <w:t>All of the energy contracts (collectively, the “</w:t>
      </w:r>
      <w:r w:rsidRPr="00141FCB">
        <w:rPr>
          <w:rFonts w:ascii="Times New Roman" w:eastAsia="Calibri" w:hAnsi="Times New Roman" w:cs="Times New Roman"/>
          <w:sz w:val="24"/>
          <w:szCs w:val="24"/>
          <w:u w:val="single"/>
        </w:rPr>
        <w:t>Products</w:t>
      </w:r>
      <w:r>
        <w:rPr>
          <w:rFonts w:ascii="Times New Roman" w:eastAsia="Calibri" w:hAnsi="Times New Roman" w:cs="Times New Roman"/>
          <w:sz w:val="24"/>
          <w:szCs w:val="24"/>
        </w:rPr>
        <w:t>”</w:t>
      </w:r>
      <w:r w:rsidR="002C4559">
        <w:rPr>
          <w:rFonts w:ascii="Times New Roman" w:eastAsia="Calibri" w:hAnsi="Times New Roman" w:cs="Times New Roman"/>
          <w:sz w:val="24"/>
          <w:szCs w:val="24"/>
        </w:rPr>
        <w:t>)</w:t>
      </w:r>
      <w:r w:rsidR="00C32763">
        <w:rPr>
          <w:rFonts w:ascii="Times New Roman" w:eastAsia="Calibri" w:hAnsi="Times New Roman" w:cs="Times New Roman"/>
          <w:sz w:val="24"/>
          <w:szCs w:val="24"/>
        </w:rPr>
        <w:t xml:space="preserve"> listed below</w:t>
      </w:r>
      <w:r>
        <w:rPr>
          <w:rFonts w:ascii="Times New Roman" w:eastAsia="Calibri" w:hAnsi="Times New Roman" w:cs="Times New Roman"/>
          <w:sz w:val="24"/>
          <w:szCs w:val="24"/>
        </w:rPr>
        <w:t xml:space="preserve">: </w:t>
      </w:r>
    </w:p>
    <w:p w:rsidR="003D65F8" w:rsidRDefault="003D65F8" w:rsidP="003D65F8">
      <w:pPr>
        <w:spacing w:after="0" w:line="240" w:lineRule="auto"/>
        <w:rPr>
          <w:rFonts w:ascii="Times New Roman" w:eastAsia="Calibri" w:hAnsi="Times New Roman" w:cs="Times New Roman"/>
          <w:sz w:val="24"/>
          <w:szCs w:val="24"/>
        </w:rPr>
      </w:pPr>
    </w:p>
    <w:tbl>
      <w:tblPr>
        <w:tblStyle w:val="NLXStx"/>
        <w:tblW w:w="4943" w:type="pct"/>
        <w:tblInd w:w="108" w:type="dxa"/>
        <w:tblLook w:val="04A0" w:firstRow="1" w:lastRow="0" w:firstColumn="1" w:lastColumn="0" w:noHBand="0" w:noVBand="1"/>
      </w:tblPr>
      <w:tblGrid>
        <w:gridCol w:w="4863"/>
        <w:gridCol w:w="879"/>
        <w:gridCol w:w="1605"/>
        <w:gridCol w:w="994"/>
        <w:gridCol w:w="1112"/>
      </w:tblGrid>
      <w:tr w:rsidR="00C32763" w:rsidRPr="00C32763" w:rsidTr="00C32763">
        <w:trPr>
          <w:cnfStyle w:val="100000000000" w:firstRow="1" w:lastRow="0" w:firstColumn="0" w:lastColumn="0" w:oddVBand="0" w:evenVBand="0" w:oddHBand="0" w:evenHBand="0" w:firstRowFirstColumn="0" w:firstRowLastColumn="0" w:lastRowFirstColumn="0" w:lastRowLastColumn="0"/>
        </w:trPr>
        <w:tc>
          <w:tcPr>
            <w:tcW w:w="2572" w:type="pct"/>
          </w:tcPr>
          <w:p w:rsidR="00C32763" w:rsidRPr="00C32763" w:rsidRDefault="00C32763" w:rsidP="00C32763">
            <w:pPr>
              <w:spacing w:after="0" w:line="260" w:lineRule="atLeast"/>
              <w:rPr>
                <w:rFonts w:ascii="Calibri" w:eastAsia="Times New Roman" w:hAnsi="Calibri" w:cs="Times New Roman"/>
                <w:sz w:val="18"/>
                <w:szCs w:val="18"/>
                <w:lang w:eastAsia="sv-SE"/>
              </w:rPr>
            </w:pPr>
            <w:r w:rsidRPr="00C32763">
              <w:rPr>
                <w:rFonts w:ascii="Calibri" w:eastAsia="Times New Roman" w:hAnsi="Calibri" w:cs="Times New Roman"/>
                <w:sz w:val="18"/>
                <w:szCs w:val="18"/>
                <w:lang w:eastAsia="sv-SE"/>
              </w:rPr>
              <w:t>Contract Name</w:t>
            </w:r>
          </w:p>
        </w:tc>
        <w:tc>
          <w:tcPr>
            <w:tcW w:w="465" w:type="pct"/>
          </w:tcPr>
          <w:p w:rsidR="00C32763" w:rsidRPr="00C32763" w:rsidRDefault="00C32763" w:rsidP="00C32763">
            <w:pPr>
              <w:spacing w:after="0" w:line="260" w:lineRule="atLeast"/>
              <w:jc w:val="center"/>
              <w:rPr>
                <w:rFonts w:ascii="Calibri" w:eastAsia="Times New Roman" w:hAnsi="Calibri" w:cs="Times New Roman"/>
                <w:sz w:val="18"/>
                <w:szCs w:val="18"/>
                <w:lang w:eastAsia="sv-SE"/>
              </w:rPr>
            </w:pPr>
            <w:r w:rsidRPr="00C32763">
              <w:rPr>
                <w:rFonts w:ascii="Calibri" w:eastAsia="Times New Roman" w:hAnsi="Calibri" w:cs="Times New Roman"/>
                <w:sz w:val="18"/>
                <w:szCs w:val="18"/>
                <w:lang w:eastAsia="sv-SE"/>
              </w:rPr>
              <w:t>NFX Symbol</w:t>
            </w:r>
          </w:p>
        </w:tc>
        <w:tc>
          <w:tcPr>
            <w:tcW w:w="849" w:type="pct"/>
          </w:tcPr>
          <w:p w:rsidR="00C32763" w:rsidRPr="00C32763" w:rsidRDefault="00C32763" w:rsidP="00C32763">
            <w:pPr>
              <w:spacing w:after="0" w:line="260" w:lineRule="atLeast"/>
              <w:jc w:val="center"/>
              <w:rPr>
                <w:rFonts w:ascii="Calibri" w:eastAsia="Times New Roman" w:hAnsi="Calibri" w:cs="Times New Roman"/>
                <w:sz w:val="18"/>
                <w:szCs w:val="18"/>
                <w:lang w:eastAsia="sv-SE"/>
              </w:rPr>
            </w:pPr>
            <w:r w:rsidRPr="00C32763">
              <w:rPr>
                <w:rFonts w:ascii="Calibri" w:eastAsia="Times New Roman" w:hAnsi="Calibri" w:cs="Times New Roman"/>
                <w:sz w:val="18"/>
                <w:szCs w:val="18"/>
                <w:lang w:eastAsia="sv-SE"/>
              </w:rPr>
              <w:t>Size</w:t>
            </w:r>
          </w:p>
        </w:tc>
        <w:tc>
          <w:tcPr>
            <w:tcW w:w="526" w:type="pct"/>
          </w:tcPr>
          <w:p w:rsidR="00C32763" w:rsidRPr="00C32763" w:rsidRDefault="00C32763" w:rsidP="00C32763">
            <w:pPr>
              <w:spacing w:after="0" w:line="260" w:lineRule="atLeast"/>
              <w:jc w:val="center"/>
              <w:rPr>
                <w:rFonts w:ascii="Calibri" w:eastAsia="Times New Roman" w:hAnsi="Calibri" w:cs="Times New Roman"/>
                <w:sz w:val="18"/>
                <w:szCs w:val="18"/>
                <w:lang w:eastAsia="sv-SE"/>
              </w:rPr>
            </w:pPr>
            <w:r w:rsidRPr="00C32763">
              <w:rPr>
                <w:rFonts w:ascii="Calibri" w:eastAsia="Times New Roman" w:hAnsi="Calibri" w:cs="Times New Roman"/>
                <w:sz w:val="18"/>
                <w:szCs w:val="18"/>
                <w:lang w:eastAsia="sv-SE"/>
              </w:rPr>
              <w:t>Reference Exchange</w:t>
            </w:r>
          </w:p>
        </w:tc>
        <w:tc>
          <w:tcPr>
            <w:tcW w:w="588" w:type="pct"/>
          </w:tcPr>
          <w:p w:rsidR="00C32763" w:rsidRPr="00C32763" w:rsidRDefault="00C32763" w:rsidP="00C32763">
            <w:pPr>
              <w:spacing w:after="0" w:line="260" w:lineRule="atLeast"/>
              <w:jc w:val="center"/>
              <w:rPr>
                <w:rFonts w:ascii="Calibri" w:eastAsia="Times New Roman" w:hAnsi="Calibri" w:cs="Times New Roman"/>
                <w:sz w:val="18"/>
                <w:szCs w:val="18"/>
                <w:lang w:eastAsia="sv-SE"/>
              </w:rPr>
            </w:pPr>
            <w:r w:rsidRPr="00C32763">
              <w:rPr>
                <w:rFonts w:ascii="Arial" w:eastAsia="Times New Roman" w:hAnsi="Arial" w:cs="Times New Roman"/>
                <w:sz w:val="18"/>
                <w:szCs w:val="18"/>
                <w:lang w:eastAsia="sv-SE"/>
              </w:rPr>
              <w:t>Reference</w:t>
            </w:r>
            <w:r w:rsidRPr="00C32763">
              <w:rPr>
                <w:rFonts w:ascii="Calibri" w:eastAsia="Times New Roman" w:hAnsi="Calibri" w:cs="Times New Roman"/>
                <w:sz w:val="18"/>
                <w:szCs w:val="18"/>
                <w:lang w:eastAsia="sv-SE"/>
              </w:rPr>
              <w:t xml:space="preserve"> Symbol</w:t>
            </w:r>
          </w:p>
        </w:tc>
      </w:tr>
      <w:tr w:rsidR="00C32763"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C32763" w:rsidRPr="00C32763" w:rsidRDefault="00C32763" w:rsidP="00C32763">
            <w:pPr>
              <w:spacing w:after="0" w:line="260" w:lineRule="atLeast"/>
              <w:rPr>
                <w:rFonts w:ascii="Calibri" w:eastAsia="Times New Roman" w:hAnsi="Calibri" w:cs="Times New Roman"/>
                <w:b/>
                <w:color w:val="000000"/>
                <w:sz w:val="18"/>
                <w:szCs w:val="18"/>
                <w:u w:val="single"/>
                <w:lang w:eastAsia="sv-SE"/>
              </w:rPr>
            </w:pPr>
            <w:r w:rsidRPr="00C32763">
              <w:rPr>
                <w:rFonts w:ascii="Calibri" w:eastAsia="Times New Roman" w:hAnsi="Calibri" w:cs="Times New Roman"/>
                <w:color w:val="000000"/>
                <w:sz w:val="18"/>
                <w:szCs w:val="18"/>
                <w:lang w:eastAsia="sv-SE"/>
              </w:rPr>
              <w:t>NFX Henry Hub Natural Gas Financial Futures – 10,000</w:t>
            </w:r>
          </w:p>
        </w:tc>
        <w:tc>
          <w:tcPr>
            <w:tcW w:w="465"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HHQ</w:t>
            </w:r>
          </w:p>
        </w:tc>
        <w:tc>
          <w:tcPr>
            <w:tcW w:w="849"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10,000mmBtu</w:t>
            </w:r>
          </w:p>
        </w:tc>
        <w:tc>
          <w:tcPr>
            <w:tcW w:w="526" w:type="pct"/>
          </w:tcPr>
          <w:p w:rsidR="00C32763" w:rsidRPr="00C32763" w:rsidRDefault="00A87F46" w:rsidP="00C32763">
            <w:pPr>
              <w:spacing w:after="0" w:line="260" w:lineRule="atLeast"/>
              <w:jc w:val="center"/>
              <w:rPr>
                <w:rFonts w:ascii="Calibri" w:eastAsia="Times New Roman" w:hAnsi="Calibri" w:cs="Times New Roman"/>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HH</w:t>
            </w:r>
          </w:p>
        </w:tc>
      </w:tr>
      <w:tr w:rsidR="00C32763" w:rsidRPr="00C32763" w:rsidTr="00C32763">
        <w:tc>
          <w:tcPr>
            <w:tcW w:w="2572" w:type="pct"/>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 xml:space="preserve">NFX Henry Hub Natural Gas Financial Futures – 2,500 </w:t>
            </w:r>
          </w:p>
        </w:tc>
        <w:tc>
          <w:tcPr>
            <w:tcW w:w="465"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NNQ</w:t>
            </w:r>
          </w:p>
        </w:tc>
        <w:tc>
          <w:tcPr>
            <w:tcW w:w="849"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2,500mmBtu</w:t>
            </w:r>
          </w:p>
        </w:tc>
        <w:tc>
          <w:tcPr>
            <w:tcW w:w="526" w:type="pct"/>
          </w:tcPr>
          <w:p w:rsidR="00C32763" w:rsidRPr="00C32763" w:rsidRDefault="00A87F46" w:rsidP="00C32763">
            <w:pPr>
              <w:spacing w:after="0" w:line="260" w:lineRule="atLeast"/>
              <w:jc w:val="center"/>
              <w:rPr>
                <w:rFonts w:ascii="Calibri" w:eastAsia="Times New Roman" w:hAnsi="Calibri" w:cs="Times New Roman"/>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NN</w:t>
            </w:r>
          </w:p>
        </w:tc>
      </w:tr>
      <w:tr w:rsidR="00C32763"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 xml:space="preserve">NFX Henry Hub Penultimate Financial Futures – 2,500 </w:t>
            </w:r>
          </w:p>
        </w:tc>
        <w:tc>
          <w:tcPr>
            <w:tcW w:w="465"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NPQ</w:t>
            </w:r>
          </w:p>
        </w:tc>
        <w:tc>
          <w:tcPr>
            <w:tcW w:w="849"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2,500mmBtu</w:t>
            </w:r>
          </w:p>
        </w:tc>
        <w:tc>
          <w:tcPr>
            <w:tcW w:w="526" w:type="pct"/>
          </w:tcPr>
          <w:p w:rsidR="00C32763" w:rsidRPr="00C32763" w:rsidRDefault="00A87F46" w:rsidP="00C32763">
            <w:pPr>
              <w:spacing w:after="0" w:line="260" w:lineRule="atLeast"/>
              <w:jc w:val="center"/>
              <w:rPr>
                <w:rFonts w:ascii="Calibri" w:eastAsia="Times New Roman" w:hAnsi="Calibri" w:cs="Times New Roman"/>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NP</w:t>
            </w:r>
          </w:p>
        </w:tc>
      </w:tr>
      <w:tr w:rsidR="00C32763" w:rsidRPr="00C32763" w:rsidTr="00C32763">
        <w:tc>
          <w:tcPr>
            <w:tcW w:w="2572" w:type="pct"/>
            <w:tcBorders>
              <w:bottom w:val="single" w:sz="4" w:space="0" w:color="0094B3"/>
            </w:tcBorders>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 xml:space="preserve">NFX Henry Hub Penultimate Financial Futures – 10,000 </w:t>
            </w:r>
          </w:p>
        </w:tc>
        <w:tc>
          <w:tcPr>
            <w:tcW w:w="465"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HPQ</w:t>
            </w:r>
          </w:p>
        </w:tc>
        <w:tc>
          <w:tcPr>
            <w:tcW w:w="849"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10,000mmBtu</w:t>
            </w:r>
          </w:p>
        </w:tc>
        <w:tc>
          <w:tcPr>
            <w:tcW w:w="526" w:type="pct"/>
            <w:tcBorders>
              <w:bottom w:val="single" w:sz="4" w:space="0" w:color="0094B3"/>
            </w:tcBorders>
          </w:tcPr>
          <w:p w:rsidR="00C32763" w:rsidRPr="00C32763" w:rsidRDefault="00A87F46" w:rsidP="00C32763">
            <w:pPr>
              <w:spacing w:after="0" w:line="260" w:lineRule="atLeast"/>
              <w:jc w:val="center"/>
              <w:rPr>
                <w:rFonts w:ascii="Calibri" w:eastAsia="Times New Roman" w:hAnsi="Calibri" w:cs="Times New Roman"/>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HP</w:t>
            </w:r>
          </w:p>
        </w:tc>
      </w:tr>
      <w:tr w:rsidR="00C32763"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Borders>
              <w:bottom w:val="single" w:sz="4" w:space="0" w:color="0094B3"/>
            </w:tcBorders>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NFX Options on NFX Henry Hub Penultimate Financial Futures - 10,000</w:t>
            </w:r>
          </w:p>
        </w:tc>
        <w:tc>
          <w:tcPr>
            <w:tcW w:w="465"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LNQ</w:t>
            </w:r>
          </w:p>
        </w:tc>
        <w:tc>
          <w:tcPr>
            <w:tcW w:w="849"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10,000mmBtu</w:t>
            </w:r>
          </w:p>
        </w:tc>
        <w:tc>
          <w:tcPr>
            <w:tcW w:w="526" w:type="pct"/>
            <w:tcBorders>
              <w:bottom w:val="single" w:sz="4" w:space="0" w:color="0094B3"/>
            </w:tcBorders>
          </w:tcPr>
          <w:p w:rsidR="00C32763" w:rsidRPr="00C32763" w:rsidRDefault="00A87F46"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NYMEX</w:t>
            </w:r>
          </w:p>
        </w:tc>
        <w:tc>
          <w:tcPr>
            <w:tcW w:w="588" w:type="pct"/>
            <w:tcBorders>
              <w:bottom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LN</w:t>
            </w:r>
          </w:p>
        </w:tc>
      </w:tr>
      <w:tr w:rsidR="00C32763" w:rsidRPr="00C32763" w:rsidTr="00C32763">
        <w:tc>
          <w:tcPr>
            <w:tcW w:w="2572" w:type="pct"/>
            <w:tcBorders>
              <w:top w:val="single" w:sz="4" w:space="0" w:color="0094B3"/>
            </w:tcBorders>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t>NFX Brent Crude Financial Futures</w:t>
            </w:r>
          </w:p>
        </w:tc>
        <w:tc>
          <w:tcPr>
            <w:tcW w:w="465" w:type="pct"/>
            <w:tcBorders>
              <w:top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BFQ</w:t>
            </w:r>
          </w:p>
        </w:tc>
        <w:tc>
          <w:tcPr>
            <w:tcW w:w="849" w:type="pct"/>
            <w:tcBorders>
              <w:top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1,000bbl</w:t>
            </w:r>
          </w:p>
        </w:tc>
        <w:tc>
          <w:tcPr>
            <w:tcW w:w="526" w:type="pct"/>
            <w:tcBorders>
              <w:top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ICE</w:t>
            </w:r>
          </w:p>
        </w:tc>
        <w:tc>
          <w:tcPr>
            <w:tcW w:w="588" w:type="pct"/>
            <w:tcBorders>
              <w:top w:val="single" w:sz="4" w:space="0" w:color="0094B3"/>
            </w:tcBorders>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B</w:t>
            </w:r>
          </w:p>
        </w:tc>
      </w:tr>
      <w:tr w:rsidR="00C32763"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C32763" w:rsidRPr="00C32763" w:rsidRDefault="00C32763" w:rsidP="00C32763">
            <w:pPr>
              <w:spacing w:after="0" w:line="260" w:lineRule="atLeast"/>
              <w:rPr>
                <w:rFonts w:ascii="Calibri" w:eastAsia="Times New Roman" w:hAnsi="Calibri" w:cs="Times New Roman"/>
                <w:i/>
                <w:iCs/>
                <w:color w:val="000000"/>
                <w:sz w:val="18"/>
                <w:szCs w:val="18"/>
                <w:lang w:eastAsia="sv-SE"/>
              </w:rPr>
            </w:pPr>
            <w:r w:rsidRPr="00C32763">
              <w:rPr>
                <w:rFonts w:ascii="Calibri" w:eastAsia="Times New Roman" w:hAnsi="Calibri" w:cs="Times New Roman"/>
                <w:color w:val="000000"/>
                <w:sz w:val="18"/>
                <w:szCs w:val="18"/>
                <w:lang w:eastAsia="sv-SE"/>
              </w:rPr>
              <w:t>NFX Low Sulphur Gasoil Financial Futures</w:t>
            </w:r>
          </w:p>
        </w:tc>
        <w:tc>
          <w:tcPr>
            <w:tcW w:w="465"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GOQ</w:t>
            </w:r>
          </w:p>
        </w:tc>
        <w:tc>
          <w:tcPr>
            <w:tcW w:w="849"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100mT</w:t>
            </w:r>
          </w:p>
        </w:tc>
        <w:tc>
          <w:tcPr>
            <w:tcW w:w="526"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ICE</w:t>
            </w:r>
          </w:p>
        </w:tc>
        <w:tc>
          <w:tcPr>
            <w:tcW w:w="588"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G</w:t>
            </w:r>
          </w:p>
        </w:tc>
      </w:tr>
      <w:tr w:rsidR="00C32763" w:rsidRPr="00C32763" w:rsidTr="00C32763">
        <w:tc>
          <w:tcPr>
            <w:tcW w:w="2572" w:type="pct"/>
          </w:tcPr>
          <w:p w:rsidR="00C32763" w:rsidRPr="00C32763" w:rsidRDefault="00C32763" w:rsidP="00C32763">
            <w:pPr>
              <w:spacing w:after="0" w:line="260" w:lineRule="atLeast"/>
              <w:rPr>
                <w:rFonts w:ascii="Calibri" w:eastAsia="Times New Roman" w:hAnsi="Calibri" w:cs="Times New Roman"/>
                <w:i/>
                <w:iCs/>
                <w:color w:val="000000"/>
                <w:sz w:val="18"/>
                <w:szCs w:val="18"/>
                <w:lang w:eastAsia="sv-SE"/>
              </w:rPr>
            </w:pPr>
            <w:r w:rsidRPr="00C32763">
              <w:rPr>
                <w:rFonts w:ascii="Calibri" w:eastAsia="Times New Roman" w:hAnsi="Calibri" w:cs="Times New Roman"/>
                <w:color w:val="000000"/>
                <w:sz w:val="18"/>
                <w:szCs w:val="18"/>
                <w:lang w:eastAsia="sv-SE"/>
              </w:rPr>
              <w:t>NFX Options on Brent Crude Financial Futures</w:t>
            </w:r>
          </w:p>
        </w:tc>
        <w:tc>
          <w:tcPr>
            <w:tcW w:w="465"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BCQ</w:t>
            </w:r>
          </w:p>
        </w:tc>
        <w:tc>
          <w:tcPr>
            <w:tcW w:w="849"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1,000bbl</w:t>
            </w:r>
          </w:p>
        </w:tc>
        <w:tc>
          <w:tcPr>
            <w:tcW w:w="526"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ICE</w:t>
            </w:r>
          </w:p>
        </w:tc>
        <w:tc>
          <w:tcPr>
            <w:tcW w:w="588"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B</w:t>
            </w:r>
          </w:p>
        </w:tc>
      </w:tr>
      <w:tr w:rsidR="00C32763"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C32763" w:rsidRPr="00C32763" w:rsidRDefault="00C32763" w:rsidP="00C32763">
            <w:pPr>
              <w:spacing w:after="0" w:line="260" w:lineRule="atLeast"/>
              <w:rPr>
                <w:rFonts w:ascii="Calibri" w:eastAsia="Times New Roman" w:hAnsi="Calibri" w:cs="Times New Roman"/>
                <w:i/>
                <w:iCs/>
                <w:color w:val="000000"/>
                <w:sz w:val="18"/>
                <w:szCs w:val="18"/>
                <w:lang w:eastAsia="sv-SE"/>
              </w:rPr>
            </w:pPr>
            <w:r w:rsidRPr="00C32763">
              <w:rPr>
                <w:rFonts w:ascii="Calibri" w:eastAsia="Times New Roman" w:hAnsi="Calibri" w:cs="Times New Roman"/>
                <w:color w:val="000000"/>
                <w:sz w:val="18"/>
                <w:szCs w:val="18"/>
                <w:lang w:eastAsia="sv-SE"/>
              </w:rPr>
              <w:t>NFX Options on NFX WTI Crude Penultimate Financial Futures</w:t>
            </w:r>
          </w:p>
        </w:tc>
        <w:tc>
          <w:tcPr>
            <w:tcW w:w="465"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TOQ</w:t>
            </w:r>
          </w:p>
        </w:tc>
        <w:tc>
          <w:tcPr>
            <w:tcW w:w="849"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1,000bbl</w:t>
            </w:r>
          </w:p>
        </w:tc>
        <w:tc>
          <w:tcPr>
            <w:tcW w:w="526" w:type="pct"/>
          </w:tcPr>
          <w:p w:rsidR="00C32763" w:rsidRPr="00C32763" w:rsidRDefault="00A87F46" w:rsidP="00C32763">
            <w:pPr>
              <w:spacing w:after="0" w:line="260" w:lineRule="atLeast"/>
              <w:jc w:val="center"/>
              <w:rPr>
                <w:rFonts w:ascii="Calibri" w:eastAsia="Times New Roman" w:hAnsi="Calibri" w:cs="Times New Roman"/>
                <w:i/>
                <w:iCs/>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Pr>
          <w:p w:rsidR="00C32763" w:rsidRPr="00C32763" w:rsidRDefault="00C32763" w:rsidP="00C32763">
            <w:pPr>
              <w:spacing w:after="0" w:line="260" w:lineRule="atLeast"/>
              <w:jc w:val="center"/>
              <w:rPr>
                <w:rFonts w:ascii="Calibri" w:eastAsia="Times New Roman" w:hAnsi="Calibri" w:cs="Times New Roman"/>
                <w:i/>
                <w:iCs/>
                <w:color w:val="000000"/>
                <w:sz w:val="14"/>
                <w:szCs w:val="18"/>
                <w:lang w:eastAsia="sv-SE"/>
              </w:rPr>
            </w:pPr>
            <w:r w:rsidRPr="00C32763">
              <w:rPr>
                <w:rFonts w:ascii="Calibri" w:eastAsia="Times New Roman" w:hAnsi="Calibri" w:cs="Times New Roman"/>
                <w:color w:val="000000"/>
                <w:sz w:val="18"/>
                <w:szCs w:val="18"/>
                <w:lang w:eastAsia="sv-SE"/>
              </w:rPr>
              <w:t>LO</w:t>
            </w:r>
          </w:p>
        </w:tc>
      </w:tr>
      <w:tr w:rsidR="00C32763" w:rsidRPr="00C32763" w:rsidTr="00C32763">
        <w:tc>
          <w:tcPr>
            <w:tcW w:w="2572" w:type="pct"/>
          </w:tcPr>
          <w:p w:rsidR="00C32763" w:rsidRPr="00C32763" w:rsidRDefault="00C32763" w:rsidP="00C32763">
            <w:pPr>
              <w:spacing w:after="0" w:line="260" w:lineRule="atLeast"/>
              <w:rPr>
                <w:rFonts w:ascii="Calibri" w:eastAsia="Times New Roman" w:hAnsi="Calibri" w:cs="Times New Roman"/>
                <w:color w:val="000000"/>
                <w:sz w:val="18"/>
                <w:szCs w:val="18"/>
                <w:lang w:eastAsia="sv-SE"/>
              </w:rPr>
            </w:pPr>
            <w:r w:rsidRPr="00C32763">
              <w:rPr>
                <w:rFonts w:ascii="Calibri" w:eastAsia="Times New Roman" w:hAnsi="Calibri" w:cs="Times New Roman"/>
                <w:color w:val="000000"/>
                <w:sz w:val="18"/>
                <w:szCs w:val="18"/>
                <w:lang w:eastAsia="sv-SE"/>
              </w:rPr>
              <w:lastRenderedPageBreak/>
              <w:t>NFX WTI Crude Penultimate Financial Futures</w:t>
            </w:r>
          </w:p>
        </w:tc>
        <w:tc>
          <w:tcPr>
            <w:tcW w:w="465"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TQ</w:t>
            </w:r>
          </w:p>
        </w:tc>
        <w:tc>
          <w:tcPr>
            <w:tcW w:w="849"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1,000bbl</w:t>
            </w:r>
          </w:p>
        </w:tc>
        <w:tc>
          <w:tcPr>
            <w:tcW w:w="526" w:type="pct"/>
          </w:tcPr>
          <w:p w:rsidR="00C32763" w:rsidRPr="00C32763" w:rsidRDefault="00A87F46" w:rsidP="00C32763">
            <w:pPr>
              <w:spacing w:after="0" w:line="260" w:lineRule="atLeast"/>
              <w:jc w:val="center"/>
              <w:rPr>
                <w:rFonts w:ascii="Calibri" w:eastAsia="Times New Roman" w:hAnsi="Calibri" w:cs="Times New Roman"/>
                <w:color w:val="000000"/>
                <w:sz w:val="14"/>
                <w:szCs w:val="18"/>
                <w:lang w:eastAsia="sv-SE"/>
              </w:rPr>
            </w:pPr>
            <w:r>
              <w:rPr>
                <w:rFonts w:ascii="Calibri" w:eastAsia="Times New Roman" w:hAnsi="Calibri" w:cs="Times New Roman"/>
                <w:color w:val="000000"/>
                <w:sz w:val="18"/>
                <w:szCs w:val="18"/>
                <w:lang w:eastAsia="sv-SE"/>
              </w:rPr>
              <w:t>NYMEX</w:t>
            </w:r>
          </w:p>
        </w:tc>
        <w:tc>
          <w:tcPr>
            <w:tcW w:w="588" w:type="pct"/>
          </w:tcPr>
          <w:p w:rsidR="00C32763" w:rsidRPr="00C32763" w:rsidRDefault="00C32763" w:rsidP="00C32763">
            <w:pPr>
              <w:spacing w:after="0" w:line="260" w:lineRule="atLeast"/>
              <w:jc w:val="center"/>
              <w:rPr>
                <w:rFonts w:ascii="Calibri" w:eastAsia="Times New Roman" w:hAnsi="Calibri" w:cs="Times New Roman"/>
                <w:color w:val="000000"/>
                <w:sz w:val="14"/>
                <w:szCs w:val="18"/>
                <w:lang w:eastAsia="sv-SE"/>
              </w:rPr>
            </w:pPr>
            <w:r w:rsidRPr="00C32763">
              <w:rPr>
                <w:rFonts w:ascii="Calibri" w:eastAsia="Times New Roman" w:hAnsi="Calibri" w:cs="Times New Roman"/>
                <w:color w:val="000000"/>
                <w:sz w:val="18"/>
                <w:szCs w:val="18"/>
                <w:lang w:eastAsia="sv-SE"/>
              </w:rPr>
              <w:t>CL</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Brent 1st Line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IBQ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w:t>
            </w:r>
          </w:p>
        </w:tc>
      </w:tr>
      <w:tr w:rsidR="00253B2F" w:rsidRPr="00C32763" w:rsidTr="00C32763">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Brent 1st Line Mini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IMMQ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IMM</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WTI 1st Line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RTIQ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w:t>
            </w:r>
          </w:p>
        </w:tc>
      </w:tr>
      <w:tr w:rsidR="00253B2F" w:rsidRPr="00C32763" w:rsidTr="00C32763">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WTI 1st Line Mini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RMMQ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RMM</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Low Sulphur Gasoil 1st Line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ULAQ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ULA</w:t>
            </w:r>
          </w:p>
        </w:tc>
      </w:tr>
      <w:tr w:rsidR="00253B2F" w:rsidRPr="00C32763" w:rsidTr="00C32763">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hAnsi="Calibri"/>
                <w:sz w:val="18"/>
                <w:u w:val="single"/>
              </w:rPr>
              <w:t>NFX Gasoil Crack Financial Futures (in BBLS) - Low Sulphur Gasoil 1st Line vs Brent 1st Line</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GZQ</w:t>
            </w:r>
          </w:p>
        </w:tc>
        <w:tc>
          <w:tcPr>
            <w:tcW w:w="849"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hAnsi="Calibri"/>
                <w:sz w:val="18"/>
                <w:u w:val="single"/>
              </w:rPr>
              <w:t>1000</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NYMEX</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GZ</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C32763" w:rsidRDefault="00253B2F" w:rsidP="00C32763">
            <w:pPr>
              <w:spacing w:after="0" w:line="260" w:lineRule="atLeast"/>
              <w:rPr>
                <w:rFonts w:ascii="Calibri" w:eastAsia="Times New Roman" w:hAnsi="Calibri" w:cs="Times New Roman"/>
                <w:color w:val="000000"/>
                <w:sz w:val="18"/>
                <w:szCs w:val="18"/>
                <w:lang w:eastAsia="sv-SE"/>
              </w:rPr>
            </w:pPr>
            <w:r w:rsidRPr="00A87F46">
              <w:rPr>
                <w:rFonts w:ascii="Calibri" w:eastAsia="Times New Roman" w:hAnsi="Calibri" w:cs="Times New Roman"/>
                <w:color w:val="000000"/>
                <w:sz w:val="18"/>
                <w:szCs w:val="18"/>
                <w:lang w:eastAsia="sv-SE"/>
              </w:rPr>
              <w:t>NFX Heating Oil Penultimate Financial Futures</w:t>
            </w:r>
          </w:p>
        </w:tc>
        <w:tc>
          <w:tcPr>
            <w:tcW w:w="465"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OQ</w:t>
            </w:r>
          </w:p>
        </w:tc>
        <w:tc>
          <w:tcPr>
            <w:tcW w:w="849" w:type="pct"/>
          </w:tcPr>
          <w:p w:rsidR="00253B2F" w:rsidRPr="00C32763" w:rsidRDefault="00253B2F" w:rsidP="00A87F46">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42,000gal</w:t>
            </w:r>
          </w:p>
        </w:tc>
        <w:tc>
          <w:tcPr>
            <w:tcW w:w="526"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NYMEX</w:t>
            </w:r>
          </w:p>
        </w:tc>
        <w:tc>
          <w:tcPr>
            <w:tcW w:w="588"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HO</w:t>
            </w:r>
          </w:p>
        </w:tc>
      </w:tr>
      <w:tr w:rsidR="00253B2F" w:rsidRPr="00C32763" w:rsidTr="00C32763">
        <w:tc>
          <w:tcPr>
            <w:tcW w:w="2572" w:type="pct"/>
          </w:tcPr>
          <w:p w:rsidR="00253B2F" w:rsidRPr="00E25247" w:rsidRDefault="00253B2F"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NFX Heating Oil 1st Line Financial Futures</w:t>
            </w:r>
          </w:p>
        </w:tc>
        <w:tc>
          <w:tcPr>
            <w:tcW w:w="465"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HOFQ</w:t>
            </w:r>
          </w:p>
        </w:tc>
        <w:tc>
          <w:tcPr>
            <w:tcW w:w="849" w:type="pct"/>
          </w:tcPr>
          <w:p w:rsidR="00253B2F" w:rsidRPr="00E25247" w:rsidRDefault="00253B2F" w:rsidP="00A87F46">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42,000gal</w:t>
            </w:r>
          </w:p>
        </w:tc>
        <w:tc>
          <w:tcPr>
            <w:tcW w:w="526"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NYMEX</w:t>
            </w:r>
          </w:p>
        </w:tc>
        <w:tc>
          <w:tcPr>
            <w:tcW w:w="588" w:type="pct"/>
          </w:tcPr>
          <w:p w:rsidR="00253B2F" w:rsidRPr="00E25247" w:rsidRDefault="00253B2F"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HOF</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C32763" w:rsidRDefault="00253B2F" w:rsidP="00C32763">
            <w:pPr>
              <w:spacing w:after="0" w:line="260" w:lineRule="atLeast"/>
              <w:rPr>
                <w:rFonts w:ascii="Calibri" w:eastAsia="Times New Roman" w:hAnsi="Calibri" w:cs="Times New Roman"/>
                <w:color w:val="000000"/>
                <w:sz w:val="18"/>
                <w:szCs w:val="18"/>
                <w:lang w:eastAsia="sv-SE"/>
              </w:rPr>
            </w:pPr>
            <w:r w:rsidRPr="00512F31">
              <w:rPr>
                <w:rFonts w:ascii="Calibri" w:eastAsia="Times New Roman" w:hAnsi="Calibri" w:cs="Times New Roman"/>
                <w:color w:val="000000"/>
                <w:sz w:val="18"/>
                <w:szCs w:val="18"/>
                <w:lang w:eastAsia="sv-SE"/>
              </w:rPr>
              <w:t>NFX RBOB Gasoline Penultimate Financial Futures</w:t>
            </w:r>
          </w:p>
        </w:tc>
        <w:tc>
          <w:tcPr>
            <w:tcW w:w="465"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RQ</w:t>
            </w:r>
          </w:p>
        </w:tc>
        <w:tc>
          <w:tcPr>
            <w:tcW w:w="849"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42,000gal</w:t>
            </w:r>
          </w:p>
        </w:tc>
        <w:tc>
          <w:tcPr>
            <w:tcW w:w="526"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NYMEX</w:t>
            </w:r>
          </w:p>
        </w:tc>
        <w:tc>
          <w:tcPr>
            <w:tcW w:w="588" w:type="pct"/>
          </w:tcPr>
          <w:p w:rsidR="00253B2F" w:rsidRPr="00C32763" w:rsidRDefault="00253B2F" w:rsidP="00C32763">
            <w:pPr>
              <w:spacing w:after="0" w:line="260" w:lineRule="atLeast"/>
              <w:jc w:val="center"/>
              <w:rPr>
                <w:rFonts w:ascii="Calibri" w:eastAsia="Times New Roman" w:hAnsi="Calibri" w:cs="Times New Roman"/>
                <w:color w:val="000000"/>
                <w:sz w:val="18"/>
                <w:szCs w:val="18"/>
                <w:lang w:eastAsia="sv-SE"/>
              </w:rPr>
            </w:pPr>
            <w:r>
              <w:rPr>
                <w:rFonts w:ascii="Calibri" w:eastAsia="Times New Roman" w:hAnsi="Calibri" w:cs="Times New Roman"/>
                <w:color w:val="000000"/>
                <w:sz w:val="18"/>
                <w:szCs w:val="18"/>
                <w:lang w:eastAsia="sv-SE"/>
              </w:rPr>
              <w:t>RB</w:t>
            </w:r>
          </w:p>
        </w:tc>
      </w:tr>
      <w:tr w:rsidR="00253B2F" w:rsidRPr="00C32763" w:rsidTr="00C32763">
        <w:tc>
          <w:tcPr>
            <w:tcW w:w="2572" w:type="pct"/>
          </w:tcPr>
          <w:p w:rsidR="00253B2F" w:rsidRPr="00E25247" w:rsidRDefault="0027064A"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NFX RBOB Gasoline 1st Line Financial Futures</w:t>
            </w:r>
          </w:p>
        </w:tc>
        <w:tc>
          <w:tcPr>
            <w:tcW w:w="465" w:type="pct"/>
          </w:tcPr>
          <w:p w:rsidR="00253B2F" w:rsidRPr="00E25247" w:rsidRDefault="0027064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RBSQ</w:t>
            </w:r>
          </w:p>
        </w:tc>
        <w:tc>
          <w:tcPr>
            <w:tcW w:w="849" w:type="pct"/>
          </w:tcPr>
          <w:p w:rsidR="00253B2F" w:rsidRPr="00E25247" w:rsidRDefault="0027064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42,000gal</w:t>
            </w:r>
          </w:p>
        </w:tc>
        <w:tc>
          <w:tcPr>
            <w:tcW w:w="526" w:type="pct"/>
          </w:tcPr>
          <w:p w:rsidR="00253B2F" w:rsidRPr="00E25247" w:rsidRDefault="006C028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6C028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RBS</w:t>
            </w:r>
          </w:p>
        </w:tc>
      </w:tr>
      <w:tr w:rsidR="00253B2F" w:rsidRPr="00C32763" w:rsidTr="00C32763">
        <w:trPr>
          <w:cnfStyle w:val="000000100000" w:firstRow="0" w:lastRow="0" w:firstColumn="0" w:lastColumn="0" w:oddVBand="0" w:evenVBand="0" w:oddHBand="1" w:evenHBand="0" w:firstRowFirstColumn="0" w:firstRowLastColumn="0" w:lastRowFirstColumn="0" w:lastRowLastColumn="0"/>
        </w:trPr>
        <w:tc>
          <w:tcPr>
            <w:tcW w:w="2572" w:type="pct"/>
          </w:tcPr>
          <w:p w:rsidR="00253B2F" w:rsidRPr="00E25247" w:rsidRDefault="0027064A" w:rsidP="00C32763">
            <w:pPr>
              <w:spacing w:after="0" w:line="260" w:lineRule="atLeast"/>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NFX Gasoline Crack Financial Futures (in BBLS) - RBOB Gasoline 1st Line vs Brent 1st Line</w:t>
            </w:r>
          </w:p>
        </w:tc>
        <w:tc>
          <w:tcPr>
            <w:tcW w:w="465" w:type="pct"/>
          </w:tcPr>
          <w:p w:rsidR="00253B2F" w:rsidRPr="00E25247" w:rsidRDefault="0027064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RBRQ</w:t>
            </w:r>
          </w:p>
        </w:tc>
        <w:tc>
          <w:tcPr>
            <w:tcW w:w="849" w:type="pct"/>
          </w:tcPr>
          <w:p w:rsidR="00253B2F" w:rsidRPr="00E25247" w:rsidRDefault="0027064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42,000gal</w:t>
            </w:r>
          </w:p>
        </w:tc>
        <w:tc>
          <w:tcPr>
            <w:tcW w:w="526" w:type="pct"/>
          </w:tcPr>
          <w:p w:rsidR="00253B2F" w:rsidRPr="00E25247" w:rsidRDefault="006C028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ICE</w:t>
            </w:r>
          </w:p>
        </w:tc>
        <w:tc>
          <w:tcPr>
            <w:tcW w:w="588" w:type="pct"/>
          </w:tcPr>
          <w:p w:rsidR="00253B2F" w:rsidRPr="00E25247" w:rsidRDefault="006C028A" w:rsidP="00C32763">
            <w:pPr>
              <w:spacing w:after="0" w:line="260" w:lineRule="atLeast"/>
              <w:jc w:val="center"/>
              <w:rPr>
                <w:rFonts w:ascii="Calibri" w:eastAsia="Times New Roman" w:hAnsi="Calibri" w:cs="Times New Roman"/>
                <w:color w:val="000000"/>
                <w:sz w:val="18"/>
                <w:szCs w:val="18"/>
                <w:u w:val="single"/>
                <w:lang w:eastAsia="sv-SE"/>
              </w:rPr>
            </w:pPr>
            <w:r w:rsidRPr="00E25247">
              <w:rPr>
                <w:rFonts w:ascii="Calibri" w:eastAsia="Times New Roman" w:hAnsi="Calibri" w:cs="Times New Roman"/>
                <w:color w:val="000000"/>
                <w:sz w:val="18"/>
                <w:szCs w:val="18"/>
                <w:u w:val="single"/>
                <w:lang w:eastAsia="sv-SE"/>
              </w:rPr>
              <w:t>RBR</w:t>
            </w:r>
          </w:p>
        </w:tc>
      </w:tr>
    </w:tbl>
    <w:p w:rsidR="00C32763" w:rsidRDefault="00C32763" w:rsidP="003D65F8">
      <w:pPr>
        <w:spacing w:after="0" w:line="240" w:lineRule="auto"/>
        <w:rPr>
          <w:rFonts w:ascii="Times New Roman" w:eastAsia="Calibri" w:hAnsi="Times New Roman" w:cs="Times New Roman"/>
          <w:b/>
          <w:sz w:val="24"/>
          <w:szCs w:val="24"/>
          <w:u w:val="single"/>
        </w:rPr>
      </w:pPr>
    </w:p>
    <w:p w:rsidR="009825A6" w:rsidRDefault="009825A6">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br w:type="page"/>
      </w:r>
    </w:p>
    <w:p w:rsidR="003D65F8" w:rsidRPr="00765E44" w:rsidRDefault="003D65F8" w:rsidP="003D65F8">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lastRenderedPageBreak/>
        <w:t>Eligible Participants</w:t>
      </w:r>
    </w:p>
    <w:p w:rsidR="003D65F8" w:rsidRDefault="003D65F8" w:rsidP="003D65F8">
      <w:pPr>
        <w:spacing w:after="0" w:line="240" w:lineRule="auto"/>
        <w:rPr>
          <w:rFonts w:ascii="Times New Roman" w:eastAsia="Calibri" w:hAnsi="Times New Roman" w:cs="Times New Roman"/>
          <w:sz w:val="24"/>
          <w:szCs w:val="24"/>
        </w:rPr>
      </w:pPr>
    </w:p>
    <w:p w:rsidR="003D65F8" w:rsidRDefault="00593B78" w:rsidP="003D65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Any Futures Commission Merchant </w:t>
      </w:r>
      <w:r w:rsidR="00D94689">
        <w:rPr>
          <w:rFonts w:ascii="Times New Roman" w:eastAsia="Calibri" w:hAnsi="Times New Roman" w:cs="Times New Roman"/>
          <w:sz w:val="24"/>
          <w:szCs w:val="24"/>
        </w:rPr>
        <w:t xml:space="preserve">who is authorized to do business as such who is </w:t>
      </w:r>
      <w:r w:rsidR="00D94689" w:rsidRPr="00D94689">
        <w:rPr>
          <w:rFonts w:ascii="Times New Roman" w:eastAsia="Calibri" w:hAnsi="Times New Roman" w:cs="Times New Roman"/>
          <w:sz w:val="24"/>
          <w:szCs w:val="24"/>
        </w:rPr>
        <w:t>located in an Asia-Pacific country</w:t>
      </w:r>
      <w:r w:rsidR="00D94689">
        <w:rPr>
          <w:rFonts w:ascii="Times New Roman" w:eastAsia="Calibri" w:hAnsi="Times New Roman" w:cs="Times New Roman"/>
          <w:sz w:val="24"/>
          <w:szCs w:val="24"/>
        </w:rPr>
        <w:t xml:space="preserve">, and who is not already a NFX Futures Participant or NFX Clearing Futures Participant, but who does have </w:t>
      </w:r>
      <w:r w:rsidR="00D94689" w:rsidRPr="00D94689">
        <w:rPr>
          <w:rFonts w:ascii="Times New Roman" w:eastAsia="Calibri" w:hAnsi="Times New Roman" w:cs="Times New Roman"/>
          <w:sz w:val="24"/>
          <w:szCs w:val="24"/>
        </w:rPr>
        <w:t xml:space="preserve">a relationship with a NFX </w:t>
      </w:r>
      <w:r w:rsidR="00D94689">
        <w:rPr>
          <w:rFonts w:ascii="Times New Roman" w:eastAsia="Calibri" w:hAnsi="Times New Roman" w:cs="Times New Roman"/>
          <w:sz w:val="24"/>
          <w:szCs w:val="24"/>
        </w:rPr>
        <w:t xml:space="preserve">Clearing </w:t>
      </w:r>
      <w:r w:rsidR="00D94689" w:rsidRPr="00D94689">
        <w:rPr>
          <w:rFonts w:ascii="Times New Roman" w:eastAsia="Calibri" w:hAnsi="Times New Roman" w:cs="Times New Roman"/>
          <w:sz w:val="24"/>
          <w:szCs w:val="24"/>
        </w:rPr>
        <w:t>Futures Participant</w:t>
      </w:r>
      <w:r w:rsidR="00D94689">
        <w:rPr>
          <w:rFonts w:ascii="Times New Roman" w:eastAsia="Calibri" w:hAnsi="Times New Roman" w:cs="Times New Roman"/>
          <w:sz w:val="24"/>
          <w:szCs w:val="24"/>
        </w:rPr>
        <w:t xml:space="preserve"> </w:t>
      </w:r>
      <w:r>
        <w:rPr>
          <w:rFonts w:ascii="Times New Roman" w:eastAsia="Calibri" w:hAnsi="Times New Roman" w:cs="Times New Roman"/>
          <w:sz w:val="24"/>
          <w:szCs w:val="24"/>
        </w:rPr>
        <w:t>is eligible to a</w:t>
      </w:r>
      <w:r w:rsidR="00D94689">
        <w:rPr>
          <w:rFonts w:ascii="Times New Roman" w:eastAsia="Calibri" w:hAnsi="Times New Roman" w:cs="Times New Roman"/>
          <w:sz w:val="24"/>
          <w:szCs w:val="24"/>
        </w:rPr>
        <w:t>pply for the Energy AP Program.</w:t>
      </w:r>
    </w:p>
    <w:p w:rsidR="003D65F8" w:rsidRDefault="003D65F8" w:rsidP="003D65F8">
      <w:pPr>
        <w:spacing w:after="0" w:line="240" w:lineRule="auto"/>
        <w:rPr>
          <w:rFonts w:ascii="Times New Roman" w:eastAsia="Calibri" w:hAnsi="Times New Roman" w:cs="Times New Roman"/>
          <w:b/>
          <w:sz w:val="24"/>
          <w:szCs w:val="24"/>
          <w:u w:val="single"/>
        </w:rPr>
      </w:pPr>
    </w:p>
    <w:p w:rsidR="003D65F8" w:rsidRPr="00765E44" w:rsidRDefault="003D65F8" w:rsidP="003D65F8">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 xml:space="preserve">Program Term </w:t>
      </w:r>
    </w:p>
    <w:p w:rsidR="003D65F8" w:rsidRDefault="003D65F8" w:rsidP="003D65F8">
      <w:pPr>
        <w:spacing w:after="0" w:line="240" w:lineRule="auto"/>
        <w:rPr>
          <w:rFonts w:ascii="Times New Roman" w:eastAsia="Calibri" w:hAnsi="Times New Roman" w:cs="Times New Roman"/>
          <w:sz w:val="24"/>
          <w:szCs w:val="24"/>
        </w:rPr>
      </w:pPr>
    </w:p>
    <w:p w:rsidR="003D65F8" w:rsidRDefault="003D65F8" w:rsidP="003D65F8">
      <w:pPr>
        <w:spacing w:after="0" w:line="240" w:lineRule="auto"/>
        <w:rPr>
          <w:rFonts w:ascii="Times New Roman" w:eastAsia="Calibri" w:hAnsi="Times New Roman" w:cs="Times New Roman"/>
          <w:sz w:val="24"/>
          <w:szCs w:val="24"/>
        </w:rPr>
      </w:pPr>
      <w:r w:rsidRPr="00E06DC8">
        <w:rPr>
          <w:rFonts w:ascii="Times New Roman" w:eastAsia="Calibri" w:hAnsi="Times New Roman" w:cs="Times New Roman"/>
          <w:sz w:val="24"/>
          <w:szCs w:val="24"/>
        </w:rPr>
        <w:t xml:space="preserve">The Energy </w:t>
      </w:r>
      <w:r w:rsidR="00004FC4" w:rsidRPr="00911853">
        <w:rPr>
          <w:rFonts w:ascii="Times New Roman" w:eastAsia="Calibri" w:hAnsi="Times New Roman" w:cs="Times New Roman"/>
          <w:sz w:val="24"/>
          <w:szCs w:val="24"/>
        </w:rPr>
        <w:t>AP</w:t>
      </w:r>
      <w:r w:rsidR="00004FC4">
        <w:rPr>
          <w:rFonts w:ascii="Times New Roman" w:eastAsia="Calibri" w:hAnsi="Times New Roman" w:cs="Times New Roman"/>
          <w:sz w:val="24"/>
          <w:szCs w:val="24"/>
        </w:rPr>
        <w:t xml:space="preserve"> </w:t>
      </w:r>
      <w:r w:rsidRPr="00E06DC8">
        <w:rPr>
          <w:rFonts w:ascii="Times New Roman" w:eastAsia="Calibri" w:hAnsi="Times New Roman" w:cs="Times New Roman"/>
          <w:sz w:val="24"/>
          <w:szCs w:val="24"/>
        </w:rPr>
        <w:t xml:space="preserve">Program will </w:t>
      </w:r>
      <w:r w:rsidR="001B3F5B">
        <w:rPr>
          <w:rFonts w:ascii="Times New Roman" w:eastAsia="Calibri" w:hAnsi="Times New Roman" w:cs="Times New Roman"/>
          <w:sz w:val="24"/>
          <w:szCs w:val="24"/>
        </w:rPr>
        <w:t>[</w:t>
      </w:r>
      <w:r w:rsidR="00C71ADA" w:rsidRPr="00E06DC8">
        <w:rPr>
          <w:rFonts w:ascii="Times New Roman" w:eastAsia="Calibri" w:hAnsi="Times New Roman" w:cs="Times New Roman"/>
          <w:sz w:val="24"/>
          <w:szCs w:val="24"/>
        </w:rPr>
        <w:t xml:space="preserve">commence on July </w:t>
      </w:r>
      <w:r w:rsidR="00E06DC8" w:rsidRPr="00E06DC8">
        <w:rPr>
          <w:rFonts w:ascii="Times New Roman" w:eastAsia="Calibri" w:hAnsi="Times New Roman" w:cs="Times New Roman"/>
          <w:sz w:val="24"/>
          <w:szCs w:val="24"/>
        </w:rPr>
        <w:t>8</w:t>
      </w:r>
      <w:r w:rsidR="00C71ADA" w:rsidRPr="00E06DC8">
        <w:rPr>
          <w:rFonts w:ascii="Times New Roman" w:eastAsia="Calibri" w:hAnsi="Times New Roman" w:cs="Times New Roman"/>
          <w:sz w:val="24"/>
          <w:szCs w:val="24"/>
        </w:rPr>
        <w:t xml:space="preserve">, 2016 </w:t>
      </w:r>
      <w:proofErr w:type="gramStart"/>
      <w:r w:rsidR="00C71ADA" w:rsidRPr="00E06DC8">
        <w:rPr>
          <w:rFonts w:ascii="Times New Roman" w:eastAsia="Calibri" w:hAnsi="Times New Roman" w:cs="Times New Roman"/>
          <w:sz w:val="24"/>
          <w:szCs w:val="24"/>
        </w:rPr>
        <w:t xml:space="preserve">and </w:t>
      </w:r>
      <w:r w:rsidR="001B3F5B">
        <w:rPr>
          <w:rFonts w:ascii="Times New Roman" w:eastAsia="Calibri" w:hAnsi="Times New Roman" w:cs="Times New Roman"/>
          <w:sz w:val="24"/>
          <w:szCs w:val="24"/>
        </w:rPr>
        <w:t>]</w:t>
      </w:r>
      <w:r w:rsidRPr="00E06DC8">
        <w:rPr>
          <w:rFonts w:ascii="Times New Roman" w:eastAsia="Calibri" w:hAnsi="Times New Roman" w:cs="Times New Roman"/>
          <w:sz w:val="24"/>
          <w:szCs w:val="24"/>
        </w:rPr>
        <w:t>expire</w:t>
      </w:r>
      <w:proofErr w:type="gramEnd"/>
      <w:r w:rsidRPr="00E06DC8">
        <w:rPr>
          <w:rFonts w:ascii="Times New Roman" w:eastAsia="Calibri" w:hAnsi="Times New Roman" w:cs="Times New Roman"/>
          <w:sz w:val="24"/>
          <w:szCs w:val="24"/>
        </w:rPr>
        <w:t xml:space="preserve"> on </w:t>
      </w:r>
      <w:r w:rsidR="005846B1" w:rsidRPr="00911853">
        <w:rPr>
          <w:rFonts w:ascii="Times New Roman" w:eastAsia="Calibri" w:hAnsi="Times New Roman" w:cs="Times New Roman"/>
          <w:sz w:val="24"/>
          <w:szCs w:val="24"/>
        </w:rPr>
        <w:t>June 30</w:t>
      </w:r>
      <w:r w:rsidRPr="00E06DC8">
        <w:rPr>
          <w:rFonts w:ascii="Times New Roman" w:eastAsia="Calibri" w:hAnsi="Times New Roman" w:cs="Times New Roman"/>
          <w:sz w:val="24"/>
          <w:szCs w:val="24"/>
        </w:rPr>
        <w:t>, 201</w:t>
      </w:r>
      <w:r w:rsidR="001B3F5B">
        <w:rPr>
          <w:rFonts w:ascii="Times New Roman" w:eastAsia="Calibri" w:hAnsi="Times New Roman" w:cs="Times New Roman"/>
          <w:sz w:val="24"/>
          <w:szCs w:val="24"/>
        </w:rPr>
        <w:t>[</w:t>
      </w:r>
      <w:r w:rsidR="003E42E3" w:rsidRPr="00E06DC8">
        <w:rPr>
          <w:rFonts w:ascii="Times New Roman" w:eastAsia="Calibri" w:hAnsi="Times New Roman" w:cs="Times New Roman"/>
          <w:sz w:val="24"/>
          <w:szCs w:val="24"/>
        </w:rPr>
        <w:t>7</w:t>
      </w:r>
      <w:r w:rsidR="001B3F5B">
        <w:rPr>
          <w:rFonts w:ascii="Times New Roman" w:eastAsia="Calibri" w:hAnsi="Times New Roman" w:cs="Times New Roman"/>
          <w:sz w:val="24"/>
          <w:szCs w:val="24"/>
        </w:rPr>
        <w:t>]</w:t>
      </w:r>
      <w:r w:rsidR="001B3F5B" w:rsidRPr="001B3F5B">
        <w:rPr>
          <w:rFonts w:ascii="Times New Roman" w:eastAsia="Calibri" w:hAnsi="Times New Roman" w:cs="Times New Roman"/>
          <w:sz w:val="24"/>
          <w:szCs w:val="24"/>
          <w:u w:val="single"/>
        </w:rPr>
        <w:t>8</w:t>
      </w:r>
      <w:r w:rsidRPr="00E06DC8">
        <w:rPr>
          <w:rFonts w:ascii="Times New Roman" w:eastAsia="Calibri" w:hAnsi="Times New Roman" w:cs="Times New Roman"/>
          <w:sz w:val="24"/>
          <w:szCs w:val="24"/>
        </w:rPr>
        <w:t>.</w:t>
      </w:r>
    </w:p>
    <w:p w:rsidR="003D65F8" w:rsidRDefault="003D65F8" w:rsidP="003D65F8">
      <w:pPr>
        <w:spacing w:after="0" w:line="240" w:lineRule="auto"/>
        <w:rPr>
          <w:rFonts w:ascii="Times New Roman" w:eastAsia="Calibri" w:hAnsi="Times New Roman" w:cs="Times New Roman"/>
          <w:sz w:val="24"/>
          <w:szCs w:val="24"/>
        </w:rPr>
      </w:pPr>
    </w:p>
    <w:p w:rsidR="003D65F8" w:rsidRPr="00765E44" w:rsidRDefault="00DA5E8D" w:rsidP="003D65F8">
      <w:pPr>
        <w:spacing w:after="0" w:line="240" w:lineRule="auto"/>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Activity Threshold</w:t>
      </w:r>
      <w:r w:rsidR="003D65F8" w:rsidRPr="00765E44">
        <w:rPr>
          <w:rFonts w:ascii="Times New Roman" w:eastAsia="Calibri" w:hAnsi="Times New Roman" w:cs="Times New Roman"/>
          <w:b/>
          <w:sz w:val="24"/>
          <w:szCs w:val="24"/>
          <w:u w:val="single"/>
        </w:rPr>
        <w:t xml:space="preserve"> </w:t>
      </w:r>
    </w:p>
    <w:p w:rsidR="003D65F8" w:rsidRDefault="003D65F8" w:rsidP="003D65F8">
      <w:pPr>
        <w:spacing w:after="0" w:line="240" w:lineRule="auto"/>
        <w:rPr>
          <w:rFonts w:ascii="Times New Roman" w:eastAsia="Calibri" w:hAnsi="Times New Roman" w:cs="Times New Roman"/>
          <w:sz w:val="24"/>
          <w:szCs w:val="24"/>
        </w:rPr>
      </w:pPr>
    </w:p>
    <w:p w:rsidR="003D65F8" w:rsidRPr="00C71ADA" w:rsidRDefault="00C71ADA" w:rsidP="00C71ADA">
      <w:pPr>
        <w:spacing w:after="0" w:line="240" w:lineRule="auto"/>
        <w:jc w:val="center"/>
        <w:rPr>
          <w:rFonts w:ascii="Times New Roman" w:eastAsia="Calibri" w:hAnsi="Times New Roman" w:cs="Times New Roman"/>
          <w:b/>
          <w:sz w:val="24"/>
          <w:szCs w:val="24"/>
        </w:rPr>
      </w:pPr>
      <w:r w:rsidRPr="00C71ADA">
        <w:rPr>
          <w:rFonts w:ascii="Times New Roman" w:eastAsia="Calibri" w:hAnsi="Times New Roman" w:cs="Times New Roman"/>
          <w:b/>
          <w:sz w:val="24"/>
          <w:szCs w:val="24"/>
        </w:rPr>
        <w:t>REDACTED</w:t>
      </w:r>
    </w:p>
    <w:p w:rsidR="003D65F8" w:rsidRDefault="003D65F8" w:rsidP="003D65F8">
      <w:pPr>
        <w:spacing w:after="0" w:line="240" w:lineRule="auto"/>
        <w:rPr>
          <w:rFonts w:ascii="Times New Roman" w:eastAsia="Calibri" w:hAnsi="Times New Roman" w:cs="Times New Roman"/>
          <w:sz w:val="24"/>
          <w:szCs w:val="24"/>
        </w:rPr>
      </w:pPr>
    </w:p>
    <w:p w:rsidR="003D65F8" w:rsidRPr="00765E44" w:rsidRDefault="003D65F8" w:rsidP="003D65F8">
      <w:pPr>
        <w:spacing w:after="0" w:line="240" w:lineRule="auto"/>
        <w:rPr>
          <w:rFonts w:ascii="Times New Roman" w:eastAsia="Calibri" w:hAnsi="Times New Roman" w:cs="Times New Roman"/>
          <w:b/>
          <w:sz w:val="24"/>
          <w:szCs w:val="24"/>
          <w:u w:val="single"/>
        </w:rPr>
      </w:pPr>
      <w:r w:rsidRPr="00765E44">
        <w:rPr>
          <w:rFonts w:ascii="Times New Roman" w:eastAsia="Calibri" w:hAnsi="Times New Roman" w:cs="Times New Roman"/>
          <w:b/>
          <w:sz w:val="24"/>
          <w:szCs w:val="24"/>
          <w:u w:val="single"/>
        </w:rPr>
        <w:t>Incentives</w:t>
      </w:r>
    </w:p>
    <w:p w:rsidR="003D65F8" w:rsidRDefault="003D65F8" w:rsidP="003D65F8">
      <w:pPr>
        <w:spacing w:after="0" w:line="240" w:lineRule="auto"/>
        <w:rPr>
          <w:rFonts w:ascii="Times New Roman" w:eastAsia="Calibri" w:hAnsi="Times New Roman" w:cs="Times New Roman"/>
          <w:sz w:val="24"/>
          <w:szCs w:val="24"/>
        </w:rPr>
      </w:pPr>
    </w:p>
    <w:p w:rsidR="003D65F8" w:rsidRPr="00C71ADA" w:rsidRDefault="00C71ADA" w:rsidP="00C71ADA">
      <w:pPr>
        <w:spacing w:after="0" w:line="240" w:lineRule="auto"/>
        <w:jc w:val="center"/>
        <w:rPr>
          <w:rFonts w:ascii="Times New Roman" w:eastAsia="Calibri" w:hAnsi="Times New Roman" w:cs="Times New Roman"/>
          <w:b/>
          <w:sz w:val="24"/>
          <w:szCs w:val="24"/>
        </w:rPr>
      </w:pPr>
      <w:r w:rsidRPr="00C71ADA">
        <w:rPr>
          <w:rFonts w:ascii="Times New Roman" w:eastAsia="Calibri" w:hAnsi="Times New Roman" w:cs="Times New Roman"/>
          <w:b/>
          <w:sz w:val="24"/>
          <w:szCs w:val="24"/>
        </w:rPr>
        <w:t>REDACTED</w:t>
      </w:r>
    </w:p>
    <w:p w:rsidR="003D65F8" w:rsidRDefault="003D65F8" w:rsidP="003D65F8">
      <w:pPr>
        <w:spacing w:after="0" w:line="240" w:lineRule="auto"/>
        <w:rPr>
          <w:rFonts w:ascii="Times New Roman" w:eastAsia="Calibri" w:hAnsi="Times New Roman" w:cs="Times New Roman"/>
          <w:sz w:val="24"/>
          <w:szCs w:val="24"/>
        </w:rPr>
      </w:pPr>
    </w:p>
    <w:p w:rsidR="003E42E3" w:rsidRDefault="003E42E3">
      <w:pPr>
        <w:spacing w:after="0" w:line="240" w:lineRule="auto"/>
        <w:rPr>
          <w:rFonts w:ascii="Times New Roman" w:eastAsia="Calibri" w:hAnsi="Times New Roman" w:cs="Times New Roman"/>
          <w:b/>
          <w:sz w:val="24"/>
          <w:szCs w:val="24"/>
          <w:u w:val="single"/>
        </w:rPr>
      </w:pPr>
    </w:p>
    <w:p w:rsidR="003D65F8" w:rsidRDefault="003D65F8" w:rsidP="003D65F8">
      <w:pPr>
        <w:spacing w:after="0" w:line="240" w:lineRule="auto"/>
        <w:rPr>
          <w:rFonts w:ascii="Times New Roman" w:eastAsia="Calibri" w:hAnsi="Times New Roman" w:cs="Times New Roman"/>
          <w:sz w:val="24"/>
          <w:szCs w:val="24"/>
        </w:rPr>
      </w:pPr>
      <w:r w:rsidRPr="00765E44">
        <w:rPr>
          <w:rFonts w:ascii="Times New Roman" w:eastAsia="Calibri" w:hAnsi="Times New Roman" w:cs="Times New Roman"/>
          <w:b/>
          <w:sz w:val="24"/>
          <w:szCs w:val="24"/>
          <w:u w:val="single"/>
        </w:rPr>
        <w:t>Monitoring and Termination of Status</w:t>
      </w:r>
    </w:p>
    <w:p w:rsidR="003D65F8" w:rsidRDefault="003D65F8" w:rsidP="003D65F8">
      <w:pPr>
        <w:spacing w:after="0" w:line="240" w:lineRule="auto"/>
        <w:rPr>
          <w:rFonts w:ascii="Times New Roman" w:eastAsia="Calibri" w:hAnsi="Times New Roman" w:cs="Times New Roman"/>
          <w:sz w:val="24"/>
          <w:szCs w:val="24"/>
        </w:rPr>
      </w:pPr>
    </w:p>
    <w:p w:rsidR="00DA5E8D" w:rsidRDefault="003D65F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NFX shall monitor trading activity and shall retain the right to revoke Energy </w:t>
      </w:r>
      <w:r w:rsidR="006116F1">
        <w:rPr>
          <w:rFonts w:ascii="Times New Roman" w:eastAsia="Calibri" w:hAnsi="Times New Roman" w:cs="Times New Roman"/>
          <w:sz w:val="24"/>
          <w:szCs w:val="24"/>
        </w:rPr>
        <w:t>AP</w:t>
      </w:r>
      <w:r>
        <w:rPr>
          <w:rFonts w:ascii="Times New Roman" w:eastAsia="Calibri" w:hAnsi="Times New Roman" w:cs="Times New Roman"/>
          <w:sz w:val="24"/>
          <w:szCs w:val="24"/>
        </w:rPr>
        <w:t xml:space="preserve"> Program participant status if it concludes </w:t>
      </w:r>
      <w:r w:rsidRPr="00C26C74">
        <w:rPr>
          <w:rFonts w:ascii="Times New Roman" w:eastAsia="Calibri" w:hAnsi="Times New Roman" w:cs="Times New Roman"/>
          <w:sz w:val="24"/>
          <w:szCs w:val="24"/>
        </w:rPr>
        <w:t>after</w:t>
      </w:r>
      <w:r>
        <w:rPr>
          <w:rFonts w:ascii="Times New Roman" w:eastAsia="Calibri" w:hAnsi="Times New Roman" w:cs="Times New Roman"/>
          <w:sz w:val="24"/>
          <w:szCs w:val="24"/>
        </w:rPr>
        <w:t xml:space="preserve"> review that a participant has </w:t>
      </w:r>
      <w:r w:rsidR="00DA5E8D">
        <w:rPr>
          <w:rFonts w:ascii="Times New Roman" w:eastAsia="Calibri" w:hAnsi="Times New Roman" w:cs="Times New Roman"/>
          <w:sz w:val="24"/>
          <w:szCs w:val="24"/>
        </w:rPr>
        <w:t xml:space="preserve">continually </w:t>
      </w:r>
      <w:r>
        <w:rPr>
          <w:rFonts w:ascii="Times New Roman" w:eastAsia="Calibri" w:hAnsi="Times New Roman" w:cs="Times New Roman"/>
          <w:sz w:val="24"/>
          <w:szCs w:val="24"/>
        </w:rPr>
        <w:t xml:space="preserve">failed to meet </w:t>
      </w:r>
      <w:r w:rsidR="00DA5E8D">
        <w:rPr>
          <w:rFonts w:ascii="Times New Roman" w:eastAsia="Calibri" w:hAnsi="Times New Roman" w:cs="Times New Roman"/>
          <w:sz w:val="24"/>
          <w:szCs w:val="24"/>
        </w:rPr>
        <w:t>the activity thresholds</w:t>
      </w:r>
      <w:r>
        <w:rPr>
          <w:rFonts w:ascii="Times New Roman" w:eastAsia="Calibri" w:hAnsi="Times New Roman" w:cs="Times New Roman"/>
          <w:sz w:val="24"/>
          <w:szCs w:val="24"/>
        </w:rPr>
        <w:t xml:space="preserve"> or no longer meets the eligibility requirements of the Energy </w:t>
      </w:r>
      <w:r w:rsidR="006116F1">
        <w:rPr>
          <w:rFonts w:ascii="Times New Roman" w:eastAsia="Calibri" w:hAnsi="Times New Roman" w:cs="Times New Roman"/>
          <w:sz w:val="24"/>
          <w:szCs w:val="24"/>
        </w:rPr>
        <w:t>AP</w:t>
      </w:r>
      <w:r>
        <w:rPr>
          <w:rFonts w:ascii="Times New Roman" w:eastAsia="Calibri" w:hAnsi="Times New Roman" w:cs="Times New Roman"/>
          <w:sz w:val="24"/>
          <w:szCs w:val="24"/>
        </w:rPr>
        <w:t xml:space="preserve"> Program.</w:t>
      </w:r>
    </w:p>
    <w:sectPr w:rsidR="00DA5E8D" w:rsidSect="005444C0">
      <w:headerReference w:type="default" r:id="rId14"/>
      <w:headerReference w:type="first" r:id="rId15"/>
      <w:footerReference w:type="first" r:id="rId16"/>
      <w:pgSz w:w="12242" w:h="15842" w:code="1"/>
      <w:pgMar w:top="760" w:right="1393" w:bottom="709" w:left="1503"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D6D" w:rsidRDefault="00A36D6D">
      <w:r>
        <w:separator/>
      </w:r>
    </w:p>
  </w:endnote>
  <w:endnote w:type="continuationSeparator" w:id="0">
    <w:p w:rsidR="00A36D6D" w:rsidRDefault="00A36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embedRegular r:id="rId1" w:fontKey="{57D75B98-1D8C-43F1-9FEB-D3F65637B50F}"/>
    <w:embedBold r:id="rId2" w:fontKey="{D7182272-30FB-4868-8AC2-017996242E55}"/>
    <w:embedItalic r:id="rId3" w:fontKey="{1E9BBD07-1A60-4473-93BB-BE99F1A020CD}"/>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4" w:fontKey="{82FE3A58-0599-4C12-BED1-8FD139621AC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Default="00B67098" w:rsidP="00F06CCD">
    <w:pPr>
      <w:pStyle w:val="Footer"/>
      <w:spacing w:before="6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D6D" w:rsidRDefault="00A36D6D">
      <w:r>
        <w:separator/>
      </w:r>
    </w:p>
  </w:footnote>
  <w:footnote w:type="continuationSeparator" w:id="0">
    <w:p w:rsidR="00A36D6D" w:rsidRDefault="00A36D6D">
      <w:r>
        <w:continuationSeparator/>
      </w:r>
    </w:p>
  </w:footnote>
  <w:footnote w:id="1">
    <w:p w:rsidR="003F519A" w:rsidRPr="003F519A" w:rsidRDefault="003F519A">
      <w:pPr>
        <w:pStyle w:val="FootnoteText"/>
        <w:rPr>
          <w:rFonts w:ascii="Times New Roman" w:hAnsi="Times New Roman" w:cs="Times New Roman"/>
        </w:rPr>
      </w:pPr>
      <w:r w:rsidRPr="003F519A">
        <w:rPr>
          <w:rStyle w:val="FootnoteReference"/>
          <w:rFonts w:ascii="Times New Roman" w:hAnsi="Times New Roman" w:cs="Times New Roman"/>
          <w:sz w:val="24"/>
        </w:rPr>
        <w:footnoteRef/>
      </w:r>
      <w:r w:rsidRPr="003F519A">
        <w:rPr>
          <w:rFonts w:ascii="Times New Roman" w:hAnsi="Times New Roman" w:cs="Times New Roman"/>
          <w:sz w:val="24"/>
        </w:rPr>
        <w:t xml:space="preserve"> </w:t>
      </w:r>
      <w:hyperlink r:id="rId1" w:history="1">
        <w:r w:rsidRPr="00F06109">
          <w:rPr>
            <w:rStyle w:val="Hyperlink"/>
            <w:rFonts w:ascii="Times New Roman" w:hAnsi="Times New Roman" w:cs="Times New Roman"/>
            <w:color w:val="auto"/>
            <w:sz w:val="24"/>
          </w:rPr>
          <w:t>See</w:t>
        </w:r>
      </w:hyperlink>
      <w:r>
        <w:rPr>
          <w:rFonts w:ascii="Times New Roman" w:hAnsi="Times New Roman" w:cs="Times New Roman"/>
          <w:sz w:val="24"/>
        </w:rPr>
        <w:t xml:space="preserve"> SR-NFX-2016-61</w:t>
      </w:r>
    </w:p>
  </w:footnote>
  <w:footnote w:id="2">
    <w:p w:rsidR="004E0D16" w:rsidRPr="009C04FC" w:rsidRDefault="004E0D16" w:rsidP="004E0D16">
      <w:pPr>
        <w:pStyle w:val="FootnoteText"/>
        <w:rPr>
          <w:rFonts w:ascii="Times New Roman" w:hAnsi="Times New Roman" w:cs="Times New Roman"/>
          <w:sz w:val="24"/>
          <w:szCs w:val="24"/>
        </w:rPr>
      </w:pPr>
      <w:r w:rsidRPr="009C04FC">
        <w:rPr>
          <w:rStyle w:val="FootnoteReference"/>
          <w:rFonts w:ascii="Times New Roman" w:hAnsi="Times New Roman" w:cs="Times New Roman"/>
          <w:sz w:val="24"/>
          <w:szCs w:val="24"/>
        </w:rPr>
        <w:footnoteRef/>
      </w:r>
      <w:r w:rsidRPr="009C04FC">
        <w:rPr>
          <w:rFonts w:ascii="Times New Roman" w:hAnsi="Times New Roman" w:cs="Times New Roman"/>
          <w:sz w:val="24"/>
          <w:szCs w:val="24"/>
        </w:rPr>
        <w:t xml:space="preserve"> </w:t>
      </w:r>
      <w:r w:rsidRPr="009C04FC">
        <w:rPr>
          <w:rFonts w:ascii="Times New Roman" w:hAnsi="Times New Roman" w:cs="Times New Roman"/>
          <w:sz w:val="24"/>
          <w:szCs w:val="24"/>
          <w:u w:val="single"/>
        </w:rPr>
        <w:t>See</w:t>
      </w:r>
      <w:r w:rsidRPr="002B3578">
        <w:rPr>
          <w:rFonts w:ascii="Times New Roman" w:hAnsi="Times New Roman" w:cs="Times New Roman"/>
          <w:sz w:val="24"/>
          <w:szCs w:val="24"/>
        </w:rPr>
        <w:t xml:space="preserve"> </w:t>
      </w:r>
      <w:hyperlink r:id="rId2" w:history="1">
        <w:r w:rsidR="007824A2" w:rsidRPr="002B3578">
          <w:rPr>
            <w:rFonts w:ascii="Times New Roman" w:hAnsi="Times New Roman" w:cs="Times New Roman"/>
            <w:sz w:val="24"/>
            <w:szCs w:val="24"/>
          </w:rPr>
          <w:t>NFX Rulebook Appendix A – Listed Contracts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98" w:rsidRPr="00B67098" w:rsidRDefault="00B67098" w:rsidP="005E244B">
    <w:pPr>
      <w:pStyle w:val="NoSpacing"/>
      <w:rPr>
        <w:rFonts w:ascii="Times New Roman" w:eastAsia="Calibri" w:hAnsi="Times New Roman" w:cs="Times New Roman"/>
        <w:sz w:val="20"/>
        <w:szCs w:val="20"/>
      </w:rPr>
    </w:pPr>
    <w:r w:rsidRPr="00B67098">
      <w:rPr>
        <w:rFonts w:ascii="Times New Roman" w:eastAsia="Calibri" w:hAnsi="Times New Roman" w:cs="Times New Roman"/>
        <w:sz w:val="20"/>
        <w:szCs w:val="20"/>
      </w:rPr>
      <w:t>Commodity Futures Trading Commission</w:t>
    </w:r>
  </w:p>
  <w:p w:rsidR="00371610" w:rsidRPr="00C26B7B" w:rsidRDefault="00911853" w:rsidP="00B67098">
    <w:pPr>
      <w:spacing w:after="0" w:line="240" w:lineRule="auto"/>
      <w:rPr>
        <w:rFonts w:ascii="Times New Roman" w:hAnsi="Times New Roman" w:cs="Times New Roman"/>
        <w:sz w:val="20"/>
        <w:szCs w:val="20"/>
      </w:rPr>
    </w:pPr>
    <w:r>
      <w:rPr>
        <w:rFonts w:ascii="Times New Roman" w:hAnsi="Times New Roman" w:cs="Times New Roman"/>
        <w:sz w:val="20"/>
        <w:szCs w:val="20"/>
      </w:rPr>
      <w:t>June 16</w:t>
    </w:r>
    <w:r w:rsidR="008225AC" w:rsidRPr="00C26B7B">
      <w:rPr>
        <w:rFonts w:ascii="Times New Roman" w:hAnsi="Times New Roman" w:cs="Times New Roman"/>
        <w:sz w:val="20"/>
        <w:szCs w:val="20"/>
      </w:rPr>
      <w:t>, 201</w:t>
    </w:r>
    <w:r>
      <w:rPr>
        <w:rFonts w:ascii="Times New Roman" w:hAnsi="Times New Roman" w:cs="Times New Roman"/>
        <w:sz w:val="20"/>
        <w:szCs w:val="20"/>
      </w:rPr>
      <w:t>7</w:t>
    </w:r>
  </w:p>
  <w:p w:rsidR="005444C0" w:rsidRDefault="008225AC" w:rsidP="00B67098">
    <w:pPr>
      <w:spacing w:after="0" w:line="240" w:lineRule="auto"/>
      <w:rPr>
        <w:rFonts w:ascii="Times New Roman" w:hAnsi="Times New Roman" w:cs="Times New Roman"/>
        <w:sz w:val="20"/>
        <w:szCs w:val="20"/>
      </w:rPr>
    </w:pPr>
    <w:r w:rsidRPr="00C26B7B">
      <w:rPr>
        <w:rFonts w:ascii="Times New Roman" w:hAnsi="Times New Roman" w:cs="Times New Roman"/>
        <w:sz w:val="20"/>
        <w:szCs w:val="20"/>
      </w:rPr>
      <w:t>SR-NFX-201</w:t>
    </w:r>
    <w:r w:rsidR="00911853">
      <w:rPr>
        <w:rFonts w:ascii="Times New Roman" w:hAnsi="Times New Roman" w:cs="Times New Roman"/>
        <w:sz w:val="20"/>
        <w:szCs w:val="20"/>
      </w:rPr>
      <w:t>7</w:t>
    </w:r>
    <w:r w:rsidR="00371610" w:rsidRPr="00C26B7B">
      <w:rPr>
        <w:rFonts w:ascii="Times New Roman" w:hAnsi="Times New Roman" w:cs="Times New Roman"/>
        <w:sz w:val="20"/>
        <w:szCs w:val="20"/>
      </w:rPr>
      <w:t>-</w:t>
    </w:r>
    <w:r w:rsidR="00911853">
      <w:rPr>
        <w:rFonts w:ascii="Times New Roman" w:hAnsi="Times New Roman" w:cs="Times New Roman"/>
        <w:sz w:val="20"/>
        <w:szCs w:val="20"/>
      </w:rPr>
      <w:t>26</w:t>
    </w:r>
  </w:p>
  <w:p w:rsidR="00B67098" w:rsidRPr="00B67098" w:rsidRDefault="00B67098" w:rsidP="00B67098">
    <w:pPr>
      <w:spacing w:after="0" w:line="240" w:lineRule="auto"/>
      <w:rPr>
        <w:rFonts w:ascii="Times New Roman" w:hAnsi="Times New Roman" w:cs="Times New Roman"/>
        <w:sz w:val="20"/>
        <w:szCs w:val="20"/>
      </w:rPr>
    </w:pPr>
    <w:r w:rsidRPr="00B67098">
      <w:rPr>
        <w:rFonts w:ascii="Times New Roman" w:hAnsi="Times New Roman" w:cs="Times New Roman"/>
        <w:sz w:val="20"/>
        <w:szCs w:val="20"/>
      </w:rPr>
      <w:t xml:space="preserve">Page </w:t>
    </w:r>
    <w:r w:rsidRPr="00B67098">
      <w:rPr>
        <w:rFonts w:ascii="Times New Roman" w:hAnsi="Times New Roman" w:cs="Times New Roman"/>
        <w:sz w:val="20"/>
        <w:szCs w:val="20"/>
      </w:rPr>
      <w:fldChar w:fldCharType="begin"/>
    </w:r>
    <w:r w:rsidRPr="00B67098">
      <w:rPr>
        <w:rFonts w:ascii="Times New Roman" w:hAnsi="Times New Roman" w:cs="Times New Roman"/>
        <w:sz w:val="20"/>
        <w:szCs w:val="20"/>
      </w:rPr>
      <w:instrText xml:space="preserve"> PAGE   \* MERGEFORMAT </w:instrText>
    </w:r>
    <w:r w:rsidRPr="00B67098">
      <w:rPr>
        <w:rFonts w:ascii="Times New Roman" w:hAnsi="Times New Roman" w:cs="Times New Roman"/>
        <w:sz w:val="20"/>
        <w:szCs w:val="20"/>
      </w:rPr>
      <w:fldChar w:fldCharType="separate"/>
    </w:r>
    <w:r w:rsidR="00D02E4D">
      <w:rPr>
        <w:rFonts w:ascii="Times New Roman" w:hAnsi="Times New Roman" w:cs="Times New Roman"/>
        <w:noProof/>
        <w:sz w:val="20"/>
        <w:szCs w:val="20"/>
      </w:rPr>
      <w:t>2</w:t>
    </w:r>
    <w:r w:rsidRPr="00B67098">
      <w:rPr>
        <w:rFonts w:ascii="Times New Roman" w:hAnsi="Times New Roman" w:cs="Times New Roman"/>
        <w:sz w:val="20"/>
        <w:szCs w:val="20"/>
      </w:rPr>
      <w:fldChar w:fldCharType="end"/>
    </w:r>
  </w:p>
  <w:p w:rsidR="00B67098" w:rsidRPr="00B67098" w:rsidRDefault="00B67098" w:rsidP="00B67098">
    <w:pPr>
      <w:spacing w:after="0" w:line="240" w:lineRule="auto"/>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ADA" w:rsidRDefault="001B6ADA">
    <w:pPr>
      <w:spacing w:after="960"/>
    </w:pPr>
  </w:p>
  <w:p w:rsidR="001B6ADA" w:rsidRPr="00CF4B16" w:rsidRDefault="001B6ADA" w:rsidP="001B6ADA">
    <w:pPr>
      <w:pStyle w:val="LetterheadAddress"/>
      <w:ind w:left="6550"/>
      <w:rPr>
        <w:sz w:val="20"/>
      </w:rPr>
    </w:pPr>
    <w:r w:rsidRPr="00CF4B16">
      <w:rPr>
        <w:sz w:val="20"/>
      </w:rPr>
      <w:t>N</w:t>
    </w:r>
    <w:r w:rsidR="00D02E4D">
      <w:rPr>
        <w:sz w:val="20"/>
      </w:rPr>
      <w:t>ASDAQ</w:t>
    </w:r>
    <w:r w:rsidRPr="00CF4B16">
      <w:rPr>
        <w:sz w:val="20"/>
      </w:rPr>
      <w:t xml:space="preserve"> Futures, Inc.</w:t>
    </w:r>
  </w:p>
  <w:p w:rsidR="001B6ADA" w:rsidRPr="00CF4B16" w:rsidRDefault="00911853" w:rsidP="001B6ADA">
    <w:pPr>
      <w:pStyle w:val="LetterheadAddress"/>
      <w:ind w:left="6550"/>
      <w:rPr>
        <w:sz w:val="20"/>
      </w:rPr>
    </w:pPr>
    <w:r>
      <w:rPr>
        <w:sz w:val="20"/>
      </w:rPr>
      <w:t>2929 Walnut</w:t>
    </w:r>
    <w:r w:rsidR="001B6ADA" w:rsidRPr="00CF4B16">
      <w:rPr>
        <w:sz w:val="20"/>
      </w:rPr>
      <w:t xml:space="preserve"> Street</w:t>
    </w:r>
  </w:p>
  <w:p w:rsidR="001B6ADA" w:rsidRPr="00CF4B16" w:rsidRDefault="001B6ADA" w:rsidP="001B6ADA">
    <w:pPr>
      <w:pStyle w:val="LetterheadAddress"/>
      <w:ind w:left="6550"/>
      <w:rPr>
        <w:sz w:val="20"/>
      </w:rPr>
    </w:pPr>
    <w:r w:rsidRPr="00CF4B16">
      <w:rPr>
        <w:sz w:val="20"/>
      </w:rPr>
      <w:t>Philadelphia, PA 1910</w:t>
    </w:r>
    <w:r w:rsidR="00911853">
      <w:rPr>
        <w:sz w:val="20"/>
      </w:rPr>
      <w:t>4</w:t>
    </w:r>
    <w:r w:rsidRPr="00CF4B16">
      <w:rPr>
        <w:sz w:val="20"/>
      </w:rPr>
      <w:t xml:space="preserve"> / USA</w:t>
    </w:r>
  </w:p>
  <w:p w:rsidR="00300E44" w:rsidRPr="0032079E" w:rsidRDefault="001B6ADA" w:rsidP="0032079E">
    <w:pPr>
      <w:spacing w:before="120" w:after="0"/>
      <w:ind w:left="6550"/>
      <w:rPr>
        <w:rFonts w:asciiTheme="majorHAnsi" w:hAnsiTheme="majorHAnsi" w:cs="Times New Roman"/>
        <w:sz w:val="20"/>
        <w:szCs w:val="18"/>
      </w:rPr>
    </w:pPr>
    <w:r w:rsidRPr="00CF4B16">
      <w:rPr>
        <w:rFonts w:asciiTheme="majorHAnsi" w:hAnsiTheme="majorHAnsi" w:cs="Times New Roman"/>
        <w:sz w:val="20"/>
        <w:szCs w:val="18"/>
      </w:rPr>
      <w:t>business.nasdaq.com/futures</w:t>
    </w:r>
    <w:r w:rsidRPr="002E383E">
      <w:rPr>
        <w:noProof/>
      </w:rPr>
      <w:drawing>
        <wp:anchor distT="0" distB="0" distL="114300" distR="114300" simplePos="0" relativeHeight="251662336" behindDoc="0" locked="1" layoutInCell="1" allowOverlap="1" wp14:anchorId="70D673D4" wp14:editId="6E26840C">
          <wp:simplePos x="0" y="0"/>
          <wp:positionH relativeFrom="column">
            <wp:posOffset>3569335</wp:posOffset>
          </wp:positionH>
          <wp:positionV relativeFrom="page">
            <wp:posOffset>689610</wp:posOffset>
          </wp:positionV>
          <wp:extent cx="1724025" cy="481965"/>
          <wp:effectExtent l="0" t="0" r="9525" b="0"/>
          <wp:wrapNone/>
          <wp:docPr id="5" name="Picture 5" descr="Macintosh HD:Users:2005-2010:Desktop:NDAQ_Letterhead_2014:ndaq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05-2010:Desktop:NDAQ_Letterhead_2014:ndaq_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4819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3B4CF16"/>
    <w:lvl w:ilvl="0">
      <w:start w:val="1"/>
      <w:numFmt w:val="decimal"/>
      <w:lvlText w:val="%1."/>
      <w:lvlJc w:val="left"/>
      <w:pPr>
        <w:tabs>
          <w:tab w:val="num" w:pos="1492"/>
        </w:tabs>
        <w:ind w:left="1492" w:hanging="360"/>
      </w:pPr>
    </w:lvl>
  </w:abstractNum>
  <w:abstractNum w:abstractNumId="1">
    <w:nsid w:val="FFFFFF7D"/>
    <w:multiLevelType w:val="singleLevel"/>
    <w:tmpl w:val="77AEB836"/>
    <w:lvl w:ilvl="0">
      <w:start w:val="1"/>
      <w:numFmt w:val="decimal"/>
      <w:lvlText w:val="%1."/>
      <w:lvlJc w:val="left"/>
      <w:pPr>
        <w:tabs>
          <w:tab w:val="num" w:pos="1209"/>
        </w:tabs>
        <w:ind w:left="1209" w:hanging="360"/>
      </w:pPr>
    </w:lvl>
  </w:abstractNum>
  <w:abstractNum w:abstractNumId="2">
    <w:nsid w:val="FFFFFF7E"/>
    <w:multiLevelType w:val="singleLevel"/>
    <w:tmpl w:val="1180C9F8"/>
    <w:lvl w:ilvl="0">
      <w:start w:val="1"/>
      <w:numFmt w:val="decimal"/>
      <w:lvlText w:val="%1."/>
      <w:lvlJc w:val="left"/>
      <w:pPr>
        <w:tabs>
          <w:tab w:val="num" w:pos="926"/>
        </w:tabs>
        <w:ind w:left="926" w:hanging="360"/>
      </w:pPr>
    </w:lvl>
  </w:abstractNum>
  <w:abstractNum w:abstractNumId="3">
    <w:nsid w:val="FFFFFF7F"/>
    <w:multiLevelType w:val="singleLevel"/>
    <w:tmpl w:val="BF8292E6"/>
    <w:lvl w:ilvl="0">
      <w:start w:val="1"/>
      <w:numFmt w:val="decimal"/>
      <w:lvlText w:val="%1."/>
      <w:lvlJc w:val="left"/>
      <w:pPr>
        <w:tabs>
          <w:tab w:val="num" w:pos="643"/>
        </w:tabs>
        <w:ind w:left="643" w:hanging="360"/>
      </w:pPr>
    </w:lvl>
  </w:abstractNum>
  <w:abstractNum w:abstractNumId="4">
    <w:nsid w:val="FFFFFF80"/>
    <w:multiLevelType w:val="singleLevel"/>
    <w:tmpl w:val="382E88F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E8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182A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A2E3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E545526"/>
    <w:lvl w:ilvl="0">
      <w:start w:val="1"/>
      <w:numFmt w:val="decimal"/>
      <w:lvlText w:val="%1."/>
      <w:lvlJc w:val="left"/>
      <w:pPr>
        <w:tabs>
          <w:tab w:val="num" w:pos="360"/>
        </w:tabs>
        <w:ind w:left="360" w:hanging="360"/>
      </w:pPr>
    </w:lvl>
  </w:abstractNum>
  <w:abstractNum w:abstractNumId="9">
    <w:nsid w:val="FFFFFF89"/>
    <w:multiLevelType w:val="singleLevel"/>
    <w:tmpl w:val="EC82E8BA"/>
    <w:lvl w:ilvl="0">
      <w:start w:val="1"/>
      <w:numFmt w:val="bullet"/>
      <w:lvlText w:val=""/>
      <w:lvlJc w:val="left"/>
      <w:pPr>
        <w:tabs>
          <w:tab w:val="num" w:pos="113"/>
        </w:tabs>
        <w:ind w:left="113" w:hanging="113"/>
      </w:pPr>
      <w:rPr>
        <w:rFonts w:ascii="Symbol" w:hAnsi="Symbol" w:hint="default"/>
      </w:rPr>
    </w:lvl>
  </w:abstractNum>
  <w:abstractNum w:abstractNumId="10">
    <w:nsid w:val="23FD4CE7"/>
    <w:multiLevelType w:val="hybridMultilevel"/>
    <w:tmpl w:val="D430CF0A"/>
    <w:lvl w:ilvl="0" w:tplc="2744AE76">
      <w:start w:val="1"/>
      <w:numFmt w:val="bullet"/>
      <w:pStyle w:val="TableBulletlist"/>
      <w:lvlText w:val=""/>
      <w:lvlJc w:val="left"/>
      <w:pPr>
        <w:tabs>
          <w:tab w:val="num" w:pos="360"/>
        </w:tabs>
        <w:ind w:left="227" w:hanging="227"/>
      </w:pPr>
      <w:rPr>
        <w:rFonts w:ascii="Symbol" w:hAnsi="Symbol" w:hint="default"/>
      </w:rPr>
    </w:lvl>
    <w:lvl w:ilvl="1" w:tplc="968E48EE" w:tentative="1">
      <w:start w:val="1"/>
      <w:numFmt w:val="bullet"/>
      <w:lvlText w:val="o"/>
      <w:lvlJc w:val="left"/>
      <w:pPr>
        <w:tabs>
          <w:tab w:val="num" w:pos="1440"/>
        </w:tabs>
        <w:ind w:left="1440" w:hanging="360"/>
      </w:pPr>
      <w:rPr>
        <w:rFonts w:ascii="Courier New" w:hAnsi="Courier New" w:hint="default"/>
      </w:rPr>
    </w:lvl>
    <w:lvl w:ilvl="2" w:tplc="37005992" w:tentative="1">
      <w:start w:val="1"/>
      <w:numFmt w:val="bullet"/>
      <w:lvlText w:val=""/>
      <w:lvlJc w:val="left"/>
      <w:pPr>
        <w:tabs>
          <w:tab w:val="num" w:pos="2160"/>
        </w:tabs>
        <w:ind w:left="2160" w:hanging="360"/>
      </w:pPr>
      <w:rPr>
        <w:rFonts w:ascii="Wingdings" w:hAnsi="Wingdings" w:hint="default"/>
      </w:rPr>
    </w:lvl>
    <w:lvl w:ilvl="3" w:tplc="89C6ED42" w:tentative="1">
      <w:start w:val="1"/>
      <w:numFmt w:val="bullet"/>
      <w:lvlText w:val=""/>
      <w:lvlJc w:val="left"/>
      <w:pPr>
        <w:tabs>
          <w:tab w:val="num" w:pos="2880"/>
        </w:tabs>
        <w:ind w:left="2880" w:hanging="360"/>
      </w:pPr>
      <w:rPr>
        <w:rFonts w:ascii="Symbol" w:hAnsi="Symbol" w:hint="default"/>
      </w:rPr>
    </w:lvl>
    <w:lvl w:ilvl="4" w:tplc="8624A132" w:tentative="1">
      <w:start w:val="1"/>
      <w:numFmt w:val="bullet"/>
      <w:lvlText w:val="o"/>
      <w:lvlJc w:val="left"/>
      <w:pPr>
        <w:tabs>
          <w:tab w:val="num" w:pos="3600"/>
        </w:tabs>
        <w:ind w:left="3600" w:hanging="360"/>
      </w:pPr>
      <w:rPr>
        <w:rFonts w:ascii="Courier New" w:hAnsi="Courier New" w:hint="default"/>
      </w:rPr>
    </w:lvl>
    <w:lvl w:ilvl="5" w:tplc="98E6431E" w:tentative="1">
      <w:start w:val="1"/>
      <w:numFmt w:val="bullet"/>
      <w:lvlText w:val=""/>
      <w:lvlJc w:val="left"/>
      <w:pPr>
        <w:tabs>
          <w:tab w:val="num" w:pos="4320"/>
        </w:tabs>
        <w:ind w:left="4320" w:hanging="360"/>
      </w:pPr>
      <w:rPr>
        <w:rFonts w:ascii="Wingdings" w:hAnsi="Wingdings" w:hint="default"/>
      </w:rPr>
    </w:lvl>
    <w:lvl w:ilvl="6" w:tplc="49F24316" w:tentative="1">
      <w:start w:val="1"/>
      <w:numFmt w:val="bullet"/>
      <w:lvlText w:val=""/>
      <w:lvlJc w:val="left"/>
      <w:pPr>
        <w:tabs>
          <w:tab w:val="num" w:pos="5040"/>
        </w:tabs>
        <w:ind w:left="5040" w:hanging="360"/>
      </w:pPr>
      <w:rPr>
        <w:rFonts w:ascii="Symbol" w:hAnsi="Symbol" w:hint="default"/>
      </w:rPr>
    </w:lvl>
    <w:lvl w:ilvl="7" w:tplc="28DAA0A4" w:tentative="1">
      <w:start w:val="1"/>
      <w:numFmt w:val="bullet"/>
      <w:lvlText w:val="o"/>
      <w:lvlJc w:val="left"/>
      <w:pPr>
        <w:tabs>
          <w:tab w:val="num" w:pos="5760"/>
        </w:tabs>
        <w:ind w:left="5760" w:hanging="360"/>
      </w:pPr>
      <w:rPr>
        <w:rFonts w:ascii="Courier New" w:hAnsi="Courier New" w:hint="default"/>
      </w:rPr>
    </w:lvl>
    <w:lvl w:ilvl="8" w:tplc="27901D4C" w:tentative="1">
      <w:start w:val="1"/>
      <w:numFmt w:val="bullet"/>
      <w:lvlText w:val=""/>
      <w:lvlJc w:val="left"/>
      <w:pPr>
        <w:tabs>
          <w:tab w:val="num" w:pos="6480"/>
        </w:tabs>
        <w:ind w:left="6480" w:hanging="360"/>
      </w:pPr>
      <w:rPr>
        <w:rFonts w:ascii="Wingdings" w:hAnsi="Wingdings" w:hint="default"/>
      </w:rPr>
    </w:lvl>
  </w:abstractNum>
  <w:abstractNum w:abstractNumId="11">
    <w:nsid w:val="2859297E"/>
    <w:multiLevelType w:val="hybridMultilevel"/>
    <w:tmpl w:val="08B8C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9112F3C"/>
    <w:multiLevelType w:val="hybridMultilevel"/>
    <w:tmpl w:val="D054DE18"/>
    <w:lvl w:ilvl="0" w:tplc="C1B827F4">
      <w:start w:val="1"/>
      <w:numFmt w:val="decimal"/>
      <w:pStyle w:val="TableNumberlist"/>
      <w:lvlText w:val="%1."/>
      <w:lvlJc w:val="left"/>
      <w:pPr>
        <w:tabs>
          <w:tab w:val="num" w:pos="227"/>
        </w:tabs>
        <w:ind w:left="227" w:hanging="227"/>
      </w:pPr>
      <w:rPr>
        <w:rFonts w:hint="default"/>
      </w:rPr>
    </w:lvl>
    <w:lvl w:ilvl="1" w:tplc="1180B532" w:tentative="1">
      <w:start w:val="1"/>
      <w:numFmt w:val="lowerLetter"/>
      <w:lvlText w:val="%2."/>
      <w:lvlJc w:val="left"/>
      <w:pPr>
        <w:tabs>
          <w:tab w:val="num" w:pos="1440"/>
        </w:tabs>
        <w:ind w:left="1440" w:hanging="360"/>
      </w:pPr>
    </w:lvl>
    <w:lvl w:ilvl="2" w:tplc="B00AEB3C" w:tentative="1">
      <w:start w:val="1"/>
      <w:numFmt w:val="lowerRoman"/>
      <w:lvlText w:val="%3."/>
      <w:lvlJc w:val="right"/>
      <w:pPr>
        <w:tabs>
          <w:tab w:val="num" w:pos="2160"/>
        </w:tabs>
        <w:ind w:left="2160" w:hanging="180"/>
      </w:pPr>
    </w:lvl>
    <w:lvl w:ilvl="3" w:tplc="F3AEDB98" w:tentative="1">
      <w:start w:val="1"/>
      <w:numFmt w:val="decimal"/>
      <w:lvlText w:val="%4."/>
      <w:lvlJc w:val="left"/>
      <w:pPr>
        <w:tabs>
          <w:tab w:val="num" w:pos="2880"/>
        </w:tabs>
        <w:ind w:left="2880" w:hanging="360"/>
      </w:pPr>
    </w:lvl>
    <w:lvl w:ilvl="4" w:tplc="D2823C06" w:tentative="1">
      <w:start w:val="1"/>
      <w:numFmt w:val="lowerLetter"/>
      <w:lvlText w:val="%5."/>
      <w:lvlJc w:val="left"/>
      <w:pPr>
        <w:tabs>
          <w:tab w:val="num" w:pos="3600"/>
        </w:tabs>
        <w:ind w:left="3600" w:hanging="360"/>
      </w:pPr>
    </w:lvl>
    <w:lvl w:ilvl="5" w:tplc="26DE8158" w:tentative="1">
      <w:start w:val="1"/>
      <w:numFmt w:val="lowerRoman"/>
      <w:lvlText w:val="%6."/>
      <w:lvlJc w:val="right"/>
      <w:pPr>
        <w:tabs>
          <w:tab w:val="num" w:pos="4320"/>
        </w:tabs>
        <w:ind w:left="4320" w:hanging="180"/>
      </w:pPr>
    </w:lvl>
    <w:lvl w:ilvl="6" w:tplc="6AACC0B4" w:tentative="1">
      <w:start w:val="1"/>
      <w:numFmt w:val="decimal"/>
      <w:lvlText w:val="%7."/>
      <w:lvlJc w:val="left"/>
      <w:pPr>
        <w:tabs>
          <w:tab w:val="num" w:pos="5040"/>
        </w:tabs>
        <w:ind w:left="5040" w:hanging="360"/>
      </w:pPr>
    </w:lvl>
    <w:lvl w:ilvl="7" w:tplc="36DAC50A" w:tentative="1">
      <w:start w:val="1"/>
      <w:numFmt w:val="lowerLetter"/>
      <w:lvlText w:val="%8."/>
      <w:lvlJc w:val="left"/>
      <w:pPr>
        <w:tabs>
          <w:tab w:val="num" w:pos="5760"/>
        </w:tabs>
        <w:ind w:left="5760" w:hanging="360"/>
      </w:pPr>
    </w:lvl>
    <w:lvl w:ilvl="8" w:tplc="B442C618" w:tentative="1">
      <w:start w:val="1"/>
      <w:numFmt w:val="lowerRoman"/>
      <w:lvlText w:val="%9."/>
      <w:lvlJc w:val="right"/>
      <w:pPr>
        <w:tabs>
          <w:tab w:val="num" w:pos="6480"/>
        </w:tabs>
        <w:ind w:left="6480" w:hanging="180"/>
      </w:pPr>
    </w:lvl>
  </w:abstractNum>
  <w:abstractNum w:abstractNumId="13">
    <w:nsid w:val="343D3681"/>
    <w:multiLevelType w:val="multilevel"/>
    <w:tmpl w:val="202445AA"/>
    <w:lvl w:ilvl="0">
      <w:start w:val="1"/>
      <w:numFmt w:val="decimal"/>
      <w:lvlText w:val="%1."/>
      <w:lvlJc w:val="left"/>
      <w:pPr>
        <w:tabs>
          <w:tab w:val="num" w:pos="170"/>
        </w:tabs>
        <w:ind w:left="170" w:hanging="170"/>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AA115A"/>
    <w:multiLevelType w:val="multilevel"/>
    <w:tmpl w:val="E0F25DB4"/>
    <w:lvl w:ilvl="0">
      <w:start w:val="1"/>
      <w:numFmt w:val="decimal"/>
      <w:lvlText w:val="%1."/>
      <w:lvlJc w:val="left"/>
      <w:pPr>
        <w:tabs>
          <w:tab w:val="num" w:pos="113"/>
        </w:tabs>
        <w:ind w:left="113" w:hanging="113"/>
      </w:pPr>
      <w:rPr>
        <w:rFonts w:ascii="Verdana" w:hAnsi="Verdana"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9064EB1"/>
    <w:multiLevelType w:val="hybridMultilevel"/>
    <w:tmpl w:val="6A20D2A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9DF6C5E"/>
    <w:multiLevelType w:val="hybridMultilevel"/>
    <w:tmpl w:val="D8B8C1DE"/>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nsid w:val="42113548"/>
    <w:multiLevelType w:val="multilevel"/>
    <w:tmpl w:val="4F3AB414"/>
    <w:lvl w:ilvl="0">
      <w:start w:val="1"/>
      <w:numFmt w:val="decimal"/>
      <w:lvlText w:val="%1."/>
      <w:lvlJc w:val="left"/>
      <w:pPr>
        <w:tabs>
          <w:tab w:val="num" w:pos="360"/>
        </w:tabs>
        <w:ind w:left="227" w:hanging="22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4581E9B"/>
    <w:multiLevelType w:val="hybridMultilevel"/>
    <w:tmpl w:val="C1487580"/>
    <w:lvl w:ilvl="0" w:tplc="4DC86C3A">
      <w:start w:val="1"/>
      <w:numFmt w:val="bullet"/>
      <w:pStyle w:val="Bullets"/>
      <w:lvlText w:val=""/>
      <w:lvlJc w:val="left"/>
      <w:pPr>
        <w:ind w:left="0" w:hanging="360"/>
      </w:pPr>
      <w:rPr>
        <w:rFonts w:ascii="Symbol" w:hAnsi="Symbol" w:hint="default"/>
        <w:color w:val="009FC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D832AE"/>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A8234D"/>
    <w:multiLevelType w:val="hybridMultilevel"/>
    <w:tmpl w:val="1B18AF3E"/>
    <w:lvl w:ilvl="0" w:tplc="95BE270A">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nsid w:val="565E25CF"/>
    <w:multiLevelType w:val="hybridMultilevel"/>
    <w:tmpl w:val="5A284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2A22C9"/>
    <w:multiLevelType w:val="hybridMultilevel"/>
    <w:tmpl w:val="31A278F2"/>
    <w:lvl w:ilvl="0" w:tplc="71CE46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8E32A7"/>
    <w:multiLevelType w:val="singleLevel"/>
    <w:tmpl w:val="26364A84"/>
    <w:lvl w:ilvl="0">
      <w:start w:val="1"/>
      <w:numFmt w:val="bullet"/>
      <w:pStyle w:val="ListBullet"/>
      <w:lvlText w:val=""/>
      <w:lvlJc w:val="left"/>
      <w:pPr>
        <w:tabs>
          <w:tab w:val="num" w:pos="113"/>
        </w:tabs>
        <w:ind w:left="113" w:hanging="113"/>
      </w:pPr>
      <w:rPr>
        <w:rFonts w:ascii="Symbol" w:hAnsi="Symbol" w:hint="default"/>
      </w:rPr>
    </w:lvl>
  </w:abstractNum>
  <w:abstractNum w:abstractNumId="24">
    <w:nsid w:val="721D1FF7"/>
    <w:multiLevelType w:val="hybridMultilevel"/>
    <w:tmpl w:val="51327A2A"/>
    <w:lvl w:ilvl="0" w:tplc="040822AA">
      <w:numFmt w:val="bullet"/>
      <w:lvlText w:val=""/>
      <w:lvlJc w:val="left"/>
      <w:pPr>
        <w:ind w:left="1530" w:hanging="360"/>
      </w:pPr>
      <w:rPr>
        <w:rFonts w:ascii="Symbol" w:eastAsia="Times New Roman" w:hAnsi="Symbol" w:cs="Times New Roman"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7505087F"/>
    <w:multiLevelType w:val="hybridMultilevel"/>
    <w:tmpl w:val="A71C790C"/>
    <w:lvl w:ilvl="0" w:tplc="578622CE">
      <w:start w:val="1"/>
      <w:numFmt w:val="decimal"/>
      <w:pStyle w:val="ListNumber"/>
      <w:lvlText w:val="%1."/>
      <w:lvlJc w:val="left"/>
      <w:pPr>
        <w:tabs>
          <w:tab w:val="num" w:pos="227"/>
        </w:tabs>
        <w:ind w:left="227" w:hanging="227"/>
      </w:pPr>
      <w:rPr>
        <w:rFonts w:ascii="Verdana" w:hAnsi="Verdana" w:hint="default"/>
        <w:b w:val="0"/>
        <w:i w:val="0"/>
        <w:sz w:val="18"/>
        <w:szCs w:val="18"/>
      </w:rPr>
    </w:lvl>
    <w:lvl w:ilvl="1" w:tplc="8446E1B6" w:tentative="1">
      <w:start w:val="1"/>
      <w:numFmt w:val="lowerLetter"/>
      <w:lvlText w:val="%2."/>
      <w:lvlJc w:val="left"/>
      <w:pPr>
        <w:tabs>
          <w:tab w:val="num" w:pos="1440"/>
        </w:tabs>
        <w:ind w:left="1440" w:hanging="360"/>
      </w:pPr>
    </w:lvl>
    <w:lvl w:ilvl="2" w:tplc="8E6EAE62" w:tentative="1">
      <w:start w:val="1"/>
      <w:numFmt w:val="lowerRoman"/>
      <w:lvlText w:val="%3."/>
      <w:lvlJc w:val="right"/>
      <w:pPr>
        <w:tabs>
          <w:tab w:val="num" w:pos="2160"/>
        </w:tabs>
        <w:ind w:left="2160" w:hanging="180"/>
      </w:pPr>
    </w:lvl>
    <w:lvl w:ilvl="3" w:tplc="726C1FFE" w:tentative="1">
      <w:start w:val="1"/>
      <w:numFmt w:val="decimal"/>
      <w:lvlText w:val="%4."/>
      <w:lvlJc w:val="left"/>
      <w:pPr>
        <w:tabs>
          <w:tab w:val="num" w:pos="2880"/>
        </w:tabs>
        <w:ind w:left="2880" w:hanging="360"/>
      </w:pPr>
    </w:lvl>
    <w:lvl w:ilvl="4" w:tplc="B95A299C" w:tentative="1">
      <w:start w:val="1"/>
      <w:numFmt w:val="lowerLetter"/>
      <w:lvlText w:val="%5."/>
      <w:lvlJc w:val="left"/>
      <w:pPr>
        <w:tabs>
          <w:tab w:val="num" w:pos="3600"/>
        </w:tabs>
        <w:ind w:left="3600" w:hanging="360"/>
      </w:pPr>
    </w:lvl>
    <w:lvl w:ilvl="5" w:tplc="C25A9F24" w:tentative="1">
      <w:start w:val="1"/>
      <w:numFmt w:val="lowerRoman"/>
      <w:lvlText w:val="%6."/>
      <w:lvlJc w:val="right"/>
      <w:pPr>
        <w:tabs>
          <w:tab w:val="num" w:pos="4320"/>
        </w:tabs>
        <w:ind w:left="4320" w:hanging="180"/>
      </w:pPr>
    </w:lvl>
    <w:lvl w:ilvl="6" w:tplc="BFE696AE" w:tentative="1">
      <w:start w:val="1"/>
      <w:numFmt w:val="decimal"/>
      <w:lvlText w:val="%7."/>
      <w:lvlJc w:val="left"/>
      <w:pPr>
        <w:tabs>
          <w:tab w:val="num" w:pos="5040"/>
        </w:tabs>
        <w:ind w:left="5040" w:hanging="360"/>
      </w:pPr>
    </w:lvl>
    <w:lvl w:ilvl="7" w:tplc="385A2734" w:tentative="1">
      <w:start w:val="1"/>
      <w:numFmt w:val="lowerLetter"/>
      <w:lvlText w:val="%8."/>
      <w:lvlJc w:val="left"/>
      <w:pPr>
        <w:tabs>
          <w:tab w:val="num" w:pos="5760"/>
        </w:tabs>
        <w:ind w:left="5760" w:hanging="360"/>
      </w:pPr>
    </w:lvl>
    <w:lvl w:ilvl="8" w:tplc="72C43CD0" w:tentative="1">
      <w:start w:val="1"/>
      <w:numFmt w:val="lowerRoman"/>
      <w:lvlText w:val="%9."/>
      <w:lvlJc w:val="right"/>
      <w:pPr>
        <w:tabs>
          <w:tab w:val="num" w:pos="6480"/>
        </w:tabs>
        <w:ind w:left="6480" w:hanging="180"/>
      </w:pPr>
    </w:lvl>
  </w:abstractNum>
  <w:abstractNum w:abstractNumId="26">
    <w:nsid w:val="7D835EC7"/>
    <w:multiLevelType w:val="hybridMultilevel"/>
    <w:tmpl w:val="8A569372"/>
    <w:lvl w:ilvl="0" w:tplc="AB521192">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25"/>
  </w:num>
  <w:num w:numId="5">
    <w:abstractNumId w:val="17"/>
  </w:num>
  <w:num w:numId="6">
    <w:abstractNumId w:val="14"/>
  </w:num>
  <w:num w:numId="7">
    <w:abstractNumId w:val="13"/>
  </w:num>
  <w:num w:numId="8">
    <w:abstractNumId w:val="3"/>
  </w:num>
  <w:num w:numId="9">
    <w:abstractNumId w:val="2"/>
  </w:num>
  <w:num w:numId="10">
    <w:abstractNumId w:val="1"/>
  </w:num>
  <w:num w:numId="11">
    <w:abstractNumId w:val="0"/>
  </w:num>
  <w:num w:numId="12">
    <w:abstractNumId w:val="7"/>
  </w:num>
  <w:num w:numId="13">
    <w:abstractNumId w:val="6"/>
  </w:num>
  <w:num w:numId="14">
    <w:abstractNumId w:val="5"/>
  </w:num>
  <w:num w:numId="15">
    <w:abstractNumId w:val="4"/>
  </w:num>
  <w:num w:numId="16">
    <w:abstractNumId w:val="8"/>
  </w:num>
  <w:num w:numId="17">
    <w:abstractNumId w:val="25"/>
  </w:num>
  <w:num w:numId="18">
    <w:abstractNumId w:val="9"/>
  </w:num>
  <w:num w:numId="19">
    <w:abstractNumId w:val="12"/>
  </w:num>
  <w:num w:numId="20">
    <w:abstractNumId w:val="10"/>
  </w:num>
  <w:num w:numId="21">
    <w:abstractNumId w:val="25"/>
  </w:num>
  <w:num w:numId="22">
    <w:abstractNumId w:val="9"/>
  </w:num>
  <w:num w:numId="23">
    <w:abstractNumId w:val="12"/>
  </w:num>
  <w:num w:numId="24">
    <w:abstractNumId w:val="10"/>
  </w:num>
  <w:num w:numId="25">
    <w:abstractNumId w:val="25"/>
  </w:num>
  <w:num w:numId="26">
    <w:abstractNumId w:val="23"/>
  </w:num>
  <w:num w:numId="27">
    <w:abstractNumId w:val="25"/>
  </w:num>
  <w:num w:numId="28">
    <w:abstractNumId w:val="23"/>
  </w:num>
  <w:num w:numId="29">
    <w:abstractNumId w:val="22"/>
  </w:num>
  <w:num w:numId="30">
    <w:abstractNumId w:val="24"/>
  </w:num>
  <w:num w:numId="31">
    <w:abstractNumId w:val="1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1"/>
  </w:num>
  <w:num w:numId="35">
    <w:abstractNumId w:val="18"/>
  </w:num>
  <w:num w:numId="36">
    <w:abstractNumId w:val="1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saveSubsetFonts/>
  <w:proofState w:spelling="clean" w:grammar="clean"/>
  <w:attachedTemplate r:id="rId1"/>
  <w:doNotTrackFormatting/>
  <w:defaultTabStop w:val="1310"/>
  <w:hyphenationZone w:val="425"/>
  <w:drawingGridHorizontalSpacing w:val="195"/>
  <w:drawingGridVerticalSpacing w:val="136"/>
  <w:displayHorizontalDrawingGridEvery w:val="0"/>
  <w:displayVerticalDrawingGridEvery w:val="2"/>
  <w:noPunctuationKerning/>
  <w:characterSpacingControl w:val="doNotCompress"/>
  <w:hdrShapeDefaults>
    <o:shapedefaults v:ext="edit" spidmax="4097">
      <o:colormru v:ext="edit" colors="#3d007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538"/>
    <w:rsid w:val="000049A2"/>
    <w:rsid w:val="00004FC4"/>
    <w:rsid w:val="00010152"/>
    <w:rsid w:val="000141C6"/>
    <w:rsid w:val="000277E6"/>
    <w:rsid w:val="000313E1"/>
    <w:rsid w:val="00035AE7"/>
    <w:rsid w:val="00043BF8"/>
    <w:rsid w:val="000467B2"/>
    <w:rsid w:val="00051023"/>
    <w:rsid w:val="00053A94"/>
    <w:rsid w:val="00053DDB"/>
    <w:rsid w:val="00054E16"/>
    <w:rsid w:val="000718CD"/>
    <w:rsid w:val="000764FA"/>
    <w:rsid w:val="00095F3F"/>
    <w:rsid w:val="000A0FF7"/>
    <w:rsid w:val="000A3874"/>
    <w:rsid w:val="000B0B22"/>
    <w:rsid w:val="000B0F2E"/>
    <w:rsid w:val="000B5E2C"/>
    <w:rsid w:val="000D02B9"/>
    <w:rsid w:val="000D1939"/>
    <w:rsid w:val="000D4A76"/>
    <w:rsid w:val="000D6BF4"/>
    <w:rsid w:val="000F3BC3"/>
    <w:rsid w:val="0011314A"/>
    <w:rsid w:val="001265C8"/>
    <w:rsid w:val="00135BE1"/>
    <w:rsid w:val="00153179"/>
    <w:rsid w:val="00165602"/>
    <w:rsid w:val="001746B9"/>
    <w:rsid w:val="0018088D"/>
    <w:rsid w:val="00197F73"/>
    <w:rsid w:val="001A2BBF"/>
    <w:rsid w:val="001B3F5B"/>
    <w:rsid w:val="001B4FAC"/>
    <w:rsid w:val="001B6ADA"/>
    <w:rsid w:val="001C4306"/>
    <w:rsid w:val="001D4C1F"/>
    <w:rsid w:val="001E53F3"/>
    <w:rsid w:val="002230A7"/>
    <w:rsid w:val="00232FFF"/>
    <w:rsid w:val="00242C21"/>
    <w:rsid w:val="00243744"/>
    <w:rsid w:val="00252BCC"/>
    <w:rsid w:val="00253B2F"/>
    <w:rsid w:val="00261A57"/>
    <w:rsid w:val="0027064A"/>
    <w:rsid w:val="00273392"/>
    <w:rsid w:val="00286B9C"/>
    <w:rsid w:val="002A147E"/>
    <w:rsid w:val="002A4EC6"/>
    <w:rsid w:val="002A70DC"/>
    <w:rsid w:val="002B0DB3"/>
    <w:rsid w:val="002B3578"/>
    <w:rsid w:val="002B56C0"/>
    <w:rsid w:val="002C4559"/>
    <w:rsid w:val="002C775B"/>
    <w:rsid w:val="002D1A0E"/>
    <w:rsid w:val="002D5608"/>
    <w:rsid w:val="002E0658"/>
    <w:rsid w:val="002F7A01"/>
    <w:rsid w:val="00300E44"/>
    <w:rsid w:val="003017B3"/>
    <w:rsid w:val="00304F17"/>
    <w:rsid w:val="00310833"/>
    <w:rsid w:val="00314DE6"/>
    <w:rsid w:val="0031546D"/>
    <w:rsid w:val="0032079E"/>
    <w:rsid w:val="0033684D"/>
    <w:rsid w:val="00337B63"/>
    <w:rsid w:val="003511C9"/>
    <w:rsid w:val="00351407"/>
    <w:rsid w:val="00352533"/>
    <w:rsid w:val="003579D4"/>
    <w:rsid w:val="00363601"/>
    <w:rsid w:val="003658B4"/>
    <w:rsid w:val="00371610"/>
    <w:rsid w:val="00372973"/>
    <w:rsid w:val="003742C7"/>
    <w:rsid w:val="00385EB8"/>
    <w:rsid w:val="00392A1B"/>
    <w:rsid w:val="00394142"/>
    <w:rsid w:val="003A1E6B"/>
    <w:rsid w:val="003D071F"/>
    <w:rsid w:val="003D6045"/>
    <w:rsid w:val="003D65F8"/>
    <w:rsid w:val="003D7D45"/>
    <w:rsid w:val="003E42E3"/>
    <w:rsid w:val="003F1332"/>
    <w:rsid w:val="003F5035"/>
    <w:rsid w:val="003F519A"/>
    <w:rsid w:val="00400D58"/>
    <w:rsid w:val="0041155D"/>
    <w:rsid w:val="004166F5"/>
    <w:rsid w:val="00420946"/>
    <w:rsid w:val="00425E24"/>
    <w:rsid w:val="004416D1"/>
    <w:rsid w:val="004446AE"/>
    <w:rsid w:val="00444B42"/>
    <w:rsid w:val="004468C6"/>
    <w:rsid w:val="00451810"/>
    <w:rsid w:val="004520D0"/>
    <w:rsid w:val="004623F3"/>
    <w:rsid w:val="00471651"/>
    <w:rsid w:val="00472FE5"/>
    <w:rsid w:val="004B4800"/>
    <w:rsid w:val="004C1038"/>
    <w:rsid w:val="004C595C"/>
    <w:rsid w:val="004E0359"/>
    <w:rsid w:val="004E0D16"/>
    <w:rsid w:val="004F42A5"/>
    <w:rsid w:val="004F4A5F"/>
    <w:rsid w:val="004F4E47"/>
    <w:rsid w:val="004F6A14"/>
    <w:rsid w:val="005101CA"/>
    <w:rsid w:val="005112E4"/>
    <w:rsid w:val="0051190A"/>
    <w:rsid w:val="00512F31"/>
    <w:rsid w:val="005179CB"/>
    <w:rsid w:val="00517EAC"/>
    <w:rsid w:val="00521FB4"/>
    <w:rsid w:val="00522259"/>
    <w:rsid w:val="00543FF5"/>
    <w:rsid w:val="005444C0"/>
    <w:rsid w:val="00550D5C"/>
    <w:rsid w:val="0055465F"/>
    <w:rsid w:val="0055547F"/>
    <w:rsid w:val="00557005"/>
    <w:rsid w:val="0056301F"/>
    <w:rsid w:val="00566AD7"/>
    <w:rsid w:val="00575375"/>
    <w:rsid w:val="005846B1"/>
    <w:rsid w:val="00593B78"/>
    <w:rsid w:val="005948D5"/>
    <w:rsid w:val="0059608D"/>
    <w:rsid w:val="005B121C"/>
    <w:rsid w:val="005B3A86"/>
    <w:rsid w:val="005C2E8D"/>
    <w:rsid w:val="005C4063"/>
    <w:rsid w:val="005C40E6"/>
    <w:rsid w:val="005D46A7"/>
    <w:rsid w:val="005D6916"/>
    <w:rsid w:val="005E244B"/>
    <w:rsid w:val="005E4060"/>
    <w:rsid w:val="005E518E"/>
    <w:rsid w:val="005F1A38"/>
    <w:rsid w:val="005F6EC0"/>
    <w:rsid w:val="00600988"/>
    <w:rsid w:val="006116F1"/>
    <w:rsid w:val="00613FF8"/>
    <w:rsid w:val="00615BE5"/>
    <w:rsid w:val="0061772D"/>
    <w:rsid w:val="00623F3F"/>
    <w:rsid w:val="006315B9"/>
    <w:rsid w:val="0064234D"/>
    <w:rsid w:val="00642894"/>
    <w:rsid w:val="00642E1A"/>
    <w:rsid w:val="00645538"/>
    <w:rsid w:val="006505E1"/>
    <w:rsid w:val="006532B0"/>
    <w:rsid w:val="006626EB"/>
    <w:rsid w:val="00662BF1"/>
    <w:rsid w:val="00672BD3"/>
    <w:rsid w:val="00674E96"/>
    <w:rsid w:val="0067686C"/>
    <w:rsid w:val="00682E52"/>
    <w:rsid w:val="00687FED"/>
    <w:rsid w:val="006974BA"/>
    <w:rsid w:val="006A23F0"/>
    <w:rsid w:val="006A2E0C"/>
    <w:rsid w:val="006A58E9"/>
    <w:rsid w:val="006B55A4"/>
    <w:rsid w:val="006C028A"/>
    <w:rsid w:val="006C2BD3"/>
    <w:rsid w:val="006C7C6D"/>
    <w:rsid w:val="006D0516"/>
    <w:rsid w:val="006D62EB"/>
    <w:rsid w:val="006D7316"/>
    <w:rsid w:val="006E620B"/>
    <w:rsid w:val="006F78A0"/>
    <w:rsid w:val="00702046"/>
    <w:rsid w:val="00704A07"/>
    <w:rsid w:val="00706F55"/>
    <w:rsid w:val="00723F8E"/>
    <w:rsid w:val="00746658"/>
    <w:rsid w:val="00746EFF"/>
    <w:rsid w:val="007525F5"/>
    <w:rsid w:val="00752A6A"/>
    <w:rsid w:val="007667BD"/>
    <w:rsid w:val="007824A2"/>
    <w:rsid w:val="0079548F"/>
    <w:rsid w:val="00796FBD"/>
    <w:rsid w:val="007B39B4"/>
    <w:rsid w:val="007B4445"/>
    <w:rsid w:val="007C6C99"/>
    <w:rsid w:val="007D48A6"/>
    <w:rsid w:val="007F6B89"/>
    <w:rsid w:val="00803051"/>
    <w:rsid w:val="008225AC"/>
    <w:rsid w:val="00822AF5"/>
    <w:rsid w:val="00823846"/>
    <w:rsid w:val="0083294B"/>
    <w:rsid w:val="00832D54"/>
    <w:rsid w:val="00837955"/>
    <w:rsid w:val="008406B1"/>
    <w:rsid w:val="00840E13"/>
    <w:rsid w:val="00845388"/>
    <w:rsid w:val="00847210"/>
    <w:rsid w:val="008504E3"/>
    <w:rsid w:val="008601E9"/>
    <w:rsid w:val="00862FB8"/>
    <w:rsid w:val="00880D85"/>
    <w:rsid w:val="008A5035"/>
    <w:rsid w:val="008A6F33"/>
    <w:rsid w:val="008C5FC0"/>
    <w:rsid w:val="008D0EA0"/>
    <w:rsid w:val="008D2006"/>
    <w:rsid w:val="008D3674"/>
    <w:rsid w:val="008D3A95"/>
    <w:rsid w:val="008D575B"/>
    <w:rsid w:val="008D6B68"/>
    <w:rsid w:val="008E113C"/>
    <w:rsid w:val="008E5622"/>
    <w:rsid w:val="008F114C"/>
    <w:rsid w:val="008F2A00"/>
    <w:rsid w:val="008F34CB"/>
    <w:rsid w:val="008F39CF"/>
    <w:rsid w:val="008F696F"/>
    <w:rsid w:val="00901585"/>
    <w:rsid w:val="00911853"/>
    <w:rsid w:val="009159EA"/>
    <w:rsid w:val="009325A9"/>
    <w:rsid w:val="00934BB8"/>
    <w:rsid w:val="00937130"/>
    <w:rsid w:val="00940AE9"/>
    <w:rsid w:val="00944D95"/>
    <w:rsid w:val="00962C60"/>
    <w:rsid w:val="0096505D"/>
    <w:rsid w:val="00977F03"/>
    <w:rsid w:val="009825A6"/>
    <w:rsid w:val="00993F41"/>
    <w:rsid w:val="009A2490"/>
    <w:rsid w:val="009C7C2A"/>
    <w:rsid w:val="009D691D"/>
    <w:rsid w:val="009D7164"/>
    <w:rsid w:val="009D7434"/>
    <w:rsid w:val="009F7A70"/>
    <w:rsid w:val="00A01B4B"/>
    <w:rsid w:val="00A03815"/>
    <w:rsid w:val="00A06C10"/>
    <w:rsid w:val="00A137D7"/>
    <w:rsid w:val="00A3596F"/>
    <w:rsid w:val="00A35B1F"/>
    <w:rsid w:val="00A36D6D"/>
    <w:rsid w:val="00A3713A"/>
    <w:rsid w:val="00A43066"/>
    <w:rsid w:val="00A568CC"/>
    <w:rsid w:val="00A62A66"/>
    <w:rsid w:val="00A85786"/>
    <w:rsid w:val="00A863E3"/>
    <w:rsid w:val="00A87D38"/>
    <w:rsid w:val="00A87F46"/>
    <w:rsid w:val="00AB3F9C"/>
    <w:rsid w:val="00AB4A64"/>
    <w:rsid w:val="00AB5353"/>
    <w:rsid w:val="00AB6119"/>
    <w:rsid w:val="00AB649F"/>
    <w:rsid w:val="00AC119B"/>
    <w:rsid w:val="00AC6B1F"/>
    <w:rsid w:val="00AD07B6"/>
    <w:rsid w:val="00AD646A"/>
    <w:rsid w:val="00AD784F"/>
    <w:rsid w:val="00AE2FAF"/>
    <w:rsid w:val="00AE604B"/>
    <w:rsid w:val="00AF47D9"/>
    <w:rsid w:val="00B01B83"/>
    <w:rsid w:val="00B03D03"/>
    <w:rsid w:val="00B040FC"/>
    <w:rsid w:val="00B04429"/>
    <w:rsid w:val="00B15314"/>
    <w:rsid w:val="00B16521"/>
    <w:rsid w:val="00B34650"/>
    <w:rsid w:val="00B41733"/>
    <w:rsid w:val="00B45B23"/>
    <w:rsid w:val="00B46E8E"/>
    <w:rsid w:val="00B5273F"/>
    <w:rsid w:val="00B569C1"/>
    <w:rsid w:val="00B61518"/>
    <w:rsid w:val="00B65CC7"/>
    <w:rsid w:val="00B67098"/>
    <w:rsid w:val="00B679D2"/>
    <w:rsid w:val="00B75523"/>
    <w:rsid w:val="00B817A8"/>
    <w:rsid w:val="00B8408C"/>
    <w:rsid w:val="00B90BF8"/>
    <w:rsid w:val="00BA7A8A"/>
    <w:rsid w:val="00BB1623"/>
    <w:rsid w:val="00BB22FB"/>
    <w:rsid w:val="00BC704D"/>
    <w:rsid w:val="00BC7B09"/>
    <w:rsid w:val="00BD5978"/>
    <w:rsid w:val="00BD66AD"/>
    <w:rsid w:val="00BD6EEC"/>
    <w:rsid w:val="00BF0157"/>
    <w:rsid w:val="00BF2D2F"/>
    <w:rsid w:val="00BF3818"/>
    <w:rsid w:val="00C03127"/>
    <w:rsid w:val="00C0680F"/>
    <w:rsid w:val="00C2091F"/>
    <w:rsid w:val="00C22DCB"/>
    <w:rsid w:val="00C26B7B"/>
    <w:rsid w:val="00C32763"/>
    <w:rsid w:val="00C32D24"/>
    <w:rsid w:val="00C34EC0"/>
    <w:rsid w:val="00C42A1F"/>
    <w:rsid w:val="00C43D2B"/>
    <w:rsid w:val="00C45B43"/>
    <w:rsid w:val="00C628A0"/>
    <w:rsid w:val="00C654A6"/>
    <w:rsid w:val="00C70A44"/>
    <w:rsid w:val="00C71ADA"/>
    <w:rsid w:val="00CA65E5"/>
    <w:rsid w:val="00CB1969"/>
    <w:rsid w:val="00CB2F87"/>
    <w:rsid w:val="00CB6A80"/>
    <w:rsid w:val="00CD6D2F"/>
    <w:rsid w:val="00CE4500"/>
    <w:rsid w:val="00CF7C6B"/>
    <w:rsid w:val="00D02E4D"/>
    <w:rsid w:val="00D05049"/>
    <w:rsid w:val="00D1196E"/>
    <w:rsid w:val="00D138C3"/>
    <w:rsid w:val="00D31404"/>
    <w:rsid w:val="00D33F34"/>
    <w:rsid w:val="00D44C87"/>
    <w:rsid w:val="00D527EA"/>
    <w:rsid w:val="00D61EDD"/>
    <w:rsid w:val="00D63C25"/>
    <w:rsid w:val="00D645BA"/>
    <w:rsid w:val="00D70163"/>
    <w:rsid w:val="00D86D6F"/>
    <w:rsid w:val="00D94689"/>
    <w:rsid w:val="00D97F5B"/>
    <w:rsid w:val="00DA1AFC"/>
    <w:rsid w:val="00DA5E8D"/>
    <w:rsid w:val="00DA6428"/>
    <w:rsid w:val="00DB1B21"/>
    <w:rsid w:val="00DC305C"/>
    <w:rsid w:val="00DD1BF4"/>
    <w:rsid w:val="00DD389D"/>
    <w:rsid w:val="00E00A30"/>
    <w:rsid w:val="00E0574E"/>
    <w:rsid w:val="00E05D32"/>
    <w:rsid w:val="00E06DC8"/>
    <w:rsid w:val="00E07DDC"/>
    <w:rsid w:val="00E149BA"/>
    <w:rsid w:val="00E25247"/>
    <w:rsid w:val="00E31039"/>
    <w:rsid w:val="00E360CB"/>
    <w:rsid w:val="00E36D1C"/>
    <w:rsid w:val="00E4044A"/>
    <w:rsid w:val="00E418B5"/>
    <w:rsid w:val="00E453F6"/>
    <w:rsid w:val="00E462DD"/>
    <w:rsid w:val="00E50F10"/>
    <w:rsid w:val="00E6256F"/>
    <w:rsid w:val="00E67374"/>
    <w:rsid w:val="00E7260C"/>
    <w:rsid w:val="00E74ECF"/>
    <w:rsid w:val="00E81CD4"/>
    <w:rsid w:val="00E87C9F"/>
    <w:rsid w:val="00E90BCF"/>
    <w:rsid w:val="00E92A82"/>
    <w:rsid w:val="00EA57C7"/>
    <w:rsid w:val="00EB2B05"/>
    <w:rsid w:val="00EC12B3"/>
    <w:rsid w:val="00EC1F98"/>
    <w:rsid w:val="00EE0EE5"/>
    <w:rsid w:val="00EE6AFD"/>
    <w:rsid w:val="00F06109"/>
    <w:rsid w:val="00F06CCD"/>
    <w:rsid w:val="00F10F71"/>
    <w:rsid w:val="00F12343"/>
    <w:rsid w:val="00F16B3B"/>
    <w:rsid w:val="00F16EA3"/>
    <w:rsid w:val="00F17C44"/>
    <w:rsid w:val="00F255EE"/>
    <w:rsid w:val="00F25FF4"/>
    <w:rsid w:val="00F2689F"/>
    <w:rsid w:val="00F46C4F"/>
    <w:rsid w:val="00F535EB"/>
    <w:rsid w:val="00F609A9"/>
    <w:rsid w:val="00F978A6"/>
    <w:rsid w:val="00FB317B"/>
    <w:rsid w:val="00FB5305"/>
    <w:rsid w:val="00FD25EA"/>
    <w:rsid w:val="00FE61BC"/>
    <w:rsid w:val="00FF6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3d0073"/>
    </o:shapedefaults>
    <o:shapelayout v:ext="edit">
      <o:idmap v:ext="edit" data="1"/>
    </o:shapelayout>
  </w:shapeDefaults>
  <w:decimalSymbol w:val="."/>
  <w:listSeparator w:val=","/>
  <w15:docId w15:val="{F47AADB5-413B-4F82-AE2D-9DE356FFB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F98"/>
    <w:pPr>
      <w:spacing w:after="200" w:line="276" w:lineRule="auto"/>
    </w:pPr>
    <w:rPr>
      <w:rFonts w:asciiTheme="minorHAnsi" w:eastAsiaTheme="minorHAnsi" w:hAnsiTheme="minorHAnsi" w:cstheme="minorBidi"/>
      <w:sz w:val="22"/>
      <w:szCs w:val="22"/>
    </w:rPr>
  </w:style>
  <w:style w:type="paragraph" w:styleId="Heading1">
    <w:name w:val="heading 1"/>
    <w:basedOn w:val="Normal"/>
    <w:next w:val="BodyText"/>
    <w:qFormat/>
    <w:rsid w:val="00697E92"/>
    <w:pPr>
      <w:keepNext/>
      <w:keepLines/>
      <w:spacing w:before="240" w:after="240" w:line="320" w:lineRule="exact"/>
      <w:outlineLvl w:val="0"/>
    </w:pPr>
    <w:rPr>
      <w:rFonts w:ascii="Verdana" w:eastAsia="Times New Roman" w:hAnsi="Verdana" w:cs="Times New Roman"/>
      <w:kern w:val="20"/>
      <w:sz w:val="32"/>
      <w:szCs w:val="20"/>
      <w:lang w:eastAsia="sv-SE"/>
    </w:rPr>
  </w:style>
  <w:style w:type="paragraph" w:styleId="Heading2">
    <w:name w:val="heading 2"/>
    <w:basedOn w:val="Normal"/>
    <w:next w:val="BodyText"/>
    <w:qFormat/>
    <w:rsid w:val="00697E92"/>
    <w:pPr>
      <w:keepNext/>
      <w:keepLines/>
      <w:spacing w:before="240" w:after="120" w:line="260" w:lineRule="atLeast"/>
      <w:outlineLvl w:val="1"/>
    </w:pPr>
    <w:rPr>
      <w:rFonts w:ascii="Verdana" w:eastAsia="Times New Roman" w:hAnsi="Verdana" w:cs="Times New Roman"/>
      <w:b/>
      <w:kern w:val="20"/>
      <w:szCs w:val="20"/>
      <w:lang w:eastAsia="sv-SE"/>
    </w:rPr>
  </w:style>
  <w:style w:type="paragraph" w:styleId="Heading3">
    <w:name w:val="heading 3"/>
    <w:basedOn w:val="Normal"/>
    <w:next w:val="BodyText"/>
    <w:link w:val="Heading3Char"/>
    <w:qFormat/>
    <w:rsid w:val="00697E92"/>
    <w:pPr>
      <w:keepNext/>
      <w:keepLines/>
      <w:spacing w:before="240" w:after="60" w:line="220" w:lineRule="exact"/>
      <w:outlineLvl w:val="2"/>
    </w:pPr>
    <w:rPr>
      <w:rFonts w:ascii="Verdana" w:eastAsia="Times New Roman" w:hAnsi="Verdana" w:cs="Times New Roman"/>
      <w:b/>
      <w:kern w:val="20"/>
      <w:sz w:val="18"/>
      <w:szCs w:val="20"/>
      <w:lang w:eastAsia="sv-SE"/>
    </w:rPr>
  </w:style>
  <w:style w:type="paragraph" w:styleId="Heading4">
    <w:name w:val="heading 4"/>
    <w:basedOn w:val="Normal"/>
    <w:next w:val="BodyText"/>
    <w:qFormat/>
    <w:rsid w:val="00697E92"/>
    <w:pPr>
      <w:keepNext/>
      <w:keepLines/>
      <w:spacing w:before="240" w:after="60" w:line="220" w:lineRule="exact"/>
      <w:outlineLvl w:val="3"/>
    </w:pPr>
    <w:rPr>
      <w:rFonts w:ascii="Verdana" w:eastAsia="Times New Roman" w:hAnsi="Verdana" w:cs="Times New Roman"/>
      <w:kern w:val="20"/>
      <w:sz w:val="18"/>
      <w:szCs w:val="20"/>
      <w:lang w:eastAsia="sv-SE"/>
    </w:rPr>
  </w:style>
  <w:style w:type="paragraph" w:styleId="Heading5">
    <w:name w:val="heading 5"/>
    <w:basedOn w:val="Heading4"/>
    <w:next w:val="BodyText"/>
    <w:qFormat/>
    <w:rsid w:val="00697E92"/>
    <w:pPr>
      <w:spacing w:line="200" w:lineRule="exact"/>
      <w:outlineLvl w:val="4"/>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F721FB"/>
    <w:pPr>
      <w:autoSpaceDE w:val="0"/>
      <w:autoSpaceDN w:val="0"/>
      <w:adjustRightInd w:val="0"/>
      <w:spacing w:line="288" w:lineRule="auto"/>
      <w:textAlignment w:val="center"/>
    </w:pPr>
    <w:rPr>
      <w:color w:val="000000"/>
      <w:sz w:val="24"/>
      <w:lang w:eastAsia="sv-SE"/>
    </w:rPr>
  </w:style>
  <w:style w:type="paragraph" w:styleId="BodyText">
    <w:name w:val="Body Text"/>
    <w:basedOn w:val="Normal"/>
    <w:rsid w:val="00D944B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0" w:line="260" w:lineRule="atLeast"/>
    </w:pPr>
    <w:rPr>
      <w:rFonts w:ascii="Arial Narrow" w:eastAsia="Times New Roman" w:hAnsi="Arial Narrow" w:cs="Times New Roman"/>
      <w:szCs w:val="20"/>
      <w:lang w:eastAsia="sv-SE"/>
    </w:rPr>
  </w:style>
  <w:style w:type="character" w:styleId="Hyperlink">
    <w:name w:val="Hyperlink"/>
    <w:basedOn w:val="DefaultParagraphFont"/>
    <w:uiPriority w:val="99"/>
    <w:rsid w:val="00697E92"/>
    <w:rPr>
      <w:color w:val="808080"/>
      <w:spacing w:val="0"/>
      <w:u w:val="single"/>
    </w:rPr>
  </w:style>
  <w:style w:type="paragraph" w:customStyle="1" w:styleId="ImageText">
    <w:name w:val="Image Text"/>
    <w:basedOn w:val="BodyText"/>
    <w:rsid w:val="00697E92"/>
    <w:pPr>
      <w:keepNext/>
      <w:spacing w:after="60" w:line="200" w:lineRule="exact"/>
    </w:pPr>
    <w:rPr>
      <w:rFonts w:ascii="Verdana" w:hAnsi="Verdana"/>
      <w:sz w:val="16"/>
    </w:rPr>
  </w:style>
  <w:style w:type="paragraph" w:styleId="Index1">
    <w:name w:val="index 1"/>
    <w:basedOn w:val="Normal"/>
    <w:next w:val="Normal"/>
    <w:autoRedefine/>
    <w:semiHidden/>
    <w:rsid w:val="00697E92"/>
    <w:pPr>
      <w:spacing w:after="0" w:line="260" w:lineRule="atLeast"/>
      <w:ind w:left="200" w:hanging="200"/>
    </w:pPr>
    <w:rPr>
      <w:rFonts w:ascii="Arial Narrow" w:eastAsia="Times New Roman" w:hAnsi="Arial Narrow" w:cs="Times New Roman"/>
      <w:szCs w:val="20"/>
      <w:lang w:eastAsia="sv-SE"/>
    </w:rPr>
  </w:style>
  <w:style w:type="paragraph" w:styleId="Index2">
    <w:name w:val="index 2"/>
    <w:basedOn w:val="Normal"/>
    <w:next w:val="Normal"/>
    <w:autoRedefine/>
    <w:semiHidden/>
    <w:rsid w:val="00697E92"/>
    <w:pPr>
      <w:spacing w:after="0" w:line="260" w:lineRule="atLeast"/>
      <w:ind w:left="400" w:hanging="200"/>
    </w:pPr>
    <w:rPr>
      <w:rFonts w:ascii="Arial Narrow" w:eastAsia="Times New Roman" w:hAnsi="Arial Narrow" w:cs="Times New Roman"/>
      <w:szCs w:val="20"/>
      <w:lang w:eastAsia="sv-SE"/>
    </w:rPr>
  </w:style>
  <w:style w:type="paragraph" w:styleId="Index3">
    <w:name w:val="index 3"/>
    <w:basedOn w:val="Normal"/>
    <w:next w:val="Normal"/>
    <w:autoRedefine/>
    <w:semiHidden/>
    <w:rsid w:val="00697E92"/>
    <w:pPr>
      <w:spacing w:after="0" w:line="260" w:lineRule="atLeast"/>
      <w:ind w:left="600" w:hanging="200"/>
    </w:pPr>
    <w:rPr>
      <w:rFonts w:ascii="Arial Narrow" w:eastAsia="Times New Roman" w:hAnsi="Arial Narrow" w:cs="Times New Roman"/>
      <w:szCs w:val="20"/>
      <w:lang w:eastAsia="sv-SE"/>
    </w:rPr>
  </w:style>
  <w:style w:type="paragraph" w:styleId="Index4">
    <w:name w:val="index 4"/>
    <w:basedOn w:val="Normal"/>
    <w:next w:val="Normal"/>
    <w:autoRedefine/>
    <w:semiHidden/>
    <w:rsid w:val="00697E92"/>
    <w:pPr>
      <w:spacing w:after="0" w:line="260" w:lineRule="atLeast"/>
      <w:ind w:left="800" w:hanging="200"/>
    </w:pPr>
    <w:rPr>
      <w:rFonts w:ascii="Arial Narrow" w:eastAsia="Times New Roman" w:hAnsi="Arial Narrow" w:cs="Times New Roman"/>
      <w:szCs w:val="20"/>
      <w:lang w:eastAsia="sv-SE"/>
    </w:rPr>
  </w:style>
  <w:style w:type="paragraph" w:styleId="Index5">
    <w:name w:val="index 5"/>
    <w:basedOn w:val="Normal"/>
    <w:next w:val="Normal"/>
    <w:autoRedefine/>
    <w:semiHidden/>
    <w:rsid w:val="00697E92"/>
    <w:pPr>
      <w:spacing w:after="0" w:line="260" w:lineRule="atLeast"/>
      <w:ind w:left="1000" w:hanging="200"/>
    </w:pPr>
    <w:rPr>
      <w:rFonts w:ascii="Arial Narrow" w:eastAsia="Times New Roman" w:hAnsi="Arial Narrow" w:cs="Times New Roman"/>
      <w:szCs w:val="20"/>
      <w:lang w:eastAsia="sv-SE"/>
    </w:rPr>
  </w:style>
  <w:style w:type="paragraph" w:styleId="IndexHeading">
    <w:name w:val="index heading"/>
    <w:basedOn w:val="Heading2"/>
    <w:next w:val="Index1"/>
    <w:semiHidden/>
    <w:rsid w:val="00697E92"/>
  </w:style>
  <w:style w:type="paragraph" w:styleId="TOC1">
    <w:name w:val="toc 1"/>
    <w:basedOn w:val="Normal"/>
    <w:next w:val="Normal"/>
    <w:autoRedefine/>
    <w:semiHidden/>
    <w:rsid w:val="00697E92"/>
    <w:pPr>
      <w:spacing w:after="0" w:line="260" w:lineRule="atLeast"/>
    </w:pPr>
    <w:rPr>
      <w:rFonts w:ascii="Verdana" w:eastAsia="Times New Roman" w:hAnsi="Verdana" w:cs="Times New Roman"/>
      <w:sz w:val="18"/>
      <w:szCs w:val="20"/>
      <w:lang w:eastAsia="sv-SE"/>
    </w:rPr>
  </w:style>
  <w:style w:type="paragraph" w:styleId="TOC2">
    <w:name w:val="toc 2"/>
    <w:basedOn w:val="TOC1"/>
    <w:next w:val="Normal"/>
    <w:autoRedefine/>
    <w:semiHidden/>
    <w:rsid w:val="00697E92"/>
    <w:pPr>
      <w:ind w:left="220"/>
    </w:pPr>
  </w:style>
  <w:style w:type="paragraph" w:styleId="TOC3">
    <w:name w:val="toc 3"/>
    <w:basedOn w:val="TOC1"/>
    <w:next w:val="Normal"/>
    <w:autoRedefine/>
    <w:semiHidden/>
    <w:rsid w:val="00697E92"/>
    <w:pPr>
      <w:ind w:left="440"/>
    </w:pPr>
    <w:rPr>
      <w:sz w:val="16"/>
    </w:rPr>
  </w:style>
  <w:style w:type="paragraph" w:styleId="TOC4">
    <w:name w:val="toc 4"/>
    <w:basedOn w:val="TOC1"/>
    <w:next w:val="Normal"/>
    <w:autoRedefine/>
    <w:semiHidden/>
    <w:rsid w:val="00697E92"/>
    <w:pPr>
      <w:ind w:left="660"/>
    </w:pPr>
    <w:rPr>
      <w:sz w:val="16"/>
    </w:rPr>
  </w:style>
  <w:style w:type="paragraph" w:styleId="TOC5">
    <w:name w:val="toc 5"/>
    <w:basedOn w:val="TOC1"/>
    <w:next w:val="Normal"/>
    <w:autoRedefine/>
    <w:semiHidden/>
    <w:rsid w:val="00697E92"/>
    <w:pPr>
      <w:ind w:left="880"/>
    </w:pPr>
    <w:rPr>
      <w:sz w:val="16"/>
    </w:rPr>
  </w:style>
  <w:style w:type="paragraph" w:styleId="TOC6">
    <w:name w:val="toc 6"/>
    <w:basedOn w:val="TOC1"/>
    <w:next w:val="Normal"/>
    <w:autoRedefine/>
    <w:semiHidden/>
    <w:rsid w:val="00697E92"/>
    <w:pPr>
      <w:ind w:left="1100"/>
    </w:pPr>
    <w:rPr>
      <w:sz w:val="16"/>
    </w:rPr>
  </w:style>
  <w:style w:type="paragraph" w:styleId="TOC7">
    <w:name w:val="toc 7"/>
    <w:basedOn w:val="TOC1"/>
    <w:next w:val="Normal"/>
    <w:autoRedefine/>
    <w:semiHidden/>
    <w:rsid w:val="00697E92"/>
    <w:pPr>
      <w:ind w:left="1320"/>
    </w:pPr>
    <w:rPr>
      <w:sz w:val="16"/>
    </w:rPr>
  </w:style>
  <w:style w:type="paragraph" w:styleId="TOC8">
    <w:name w:val="toc 8"/>
    <w:basedOn w:val="TOC1"/>
    <w:next w:val="Normal"/>
    <w:autoRedefine/>
    <w:semiHidden/>
    <w:rsid w:val="00697E92"/>
    <w:pPr>
      <w:ind w:left="1540"/>
    </w:pPr>
    <w:rPr>
      <w:sz w:val="16"/>
    </w:rPr>
  </w:style>
  <w:style w:type="paragraph" w:styleId="TOC9">
    <w:name w:val="toc 9"/>
    <w:basedOn w:val="TOC1"/>
    <w:next w:val="Normal"/>
    <w:autoRedefine/>
    <w:semiHidden/>
    <w:rsid w:val="00697E92"/>
    <w:pPr>
      <w:ind w:left="1760"/>
    </w:pPr>
    <w:rPr>
      <w:sz w:val="16"/>
    </w:rPr>
  </w:style>
  <w:style w:type="paragraph" w:styleId="ListNumber">
    <w:name w:val="List Number"/>
    <w:basedOn w:val="BodyText"/>
    <w:rsid w:val="00F721FB"/>
    <w:pPr>
      <w:numPr>
        <w:numId w:val="27"/>
      </w:numPr>
      <w:tabs>
        <w:tab w:val="clear" w:pos="227"/>
        <w:tab w:val="clear" w:pos="567"/>
        <w:tab w:val="left" w:pos="280"/>
        <w:tab w:val="left" w:pos="585"/>
      </w:tabs>
      <w:spacing w:after="120" w:line="240" w:lineRule="atLeast"/>
      <w:ind w:left="280" w:hanging="280"/>
    </w:pPr>
  </w:style>
  <w:style w:type="paragraph" w:styleId="ListBullet">
    <w:name w:val="List Bullet"/>
    <w:basedOn w:val="ListNumber"/>
    <w:autoRedefine/>
    <w:rsid w:val="00697E92"/>
    <w:pPr>
      <w:numPr>
        <w:numId w:val="28"/>
      </w:numPr>
      <w:tabs>
        <w:tab w:val="clear" w:pos="113"/>
        <w:tab w:val="num" w:pos="195"/>
      </w:tabs>
      <w:ind w:left="195" w:hanging="195"/>
    </w:pPr>
  </w:style>
  <w:style w:type="paragraph" w:styleId="Footer">
    <w:name w:val="footer"/>
    <w:basedOn w:val="Normal"/>
    <w:rsid w:val="005B0FA8"/>
    <w:pPr>
      <w:tabs>
        <w:tab w:val="center" w:pos="4459"/>
        <w:tab w:val="right" w:pos="8901"/>
      </w:tabs>
      <w:spacing w:before="240" w:after="0" w:line="260" w:lineRule="atLeast"/>
    </w:pPr>
    <w:rPr>
      <w:rFonts w:ascii="Arial Narrow" w:eastAsia="Times New Roman" w:hAnsi="Arial Narrow" w:cs="Times New Roman"/>
      <w:szCs w:val="20"/>
      <w:lang w:eastAsia="sv-SE"/>
    </w:rPr>
  </w:style>
  <w:style w:type="paragraph" w:styleId="Header">
    <w:name w:val="header"/>
    <w:basedOn w:val="Footer"/>
    <w:rsid w:val="00697E92"/>
    <w:pPr>
      <w:tabs>
        <w:tab w:val="center" w:pos="4536"/>
        <w:tab w:val="right" w:pos="9072"/>
      </w:tabs>
      <w:ind w:right="1134"/>
    </w:pPr>
    <w:rPr>
      <w:noProof/>
    </w:rPr>
  </w:style>
  <w:style w:type="character" w:styleId="PageNumber">
    <w:name w:val="page number"/>
    <w:basedOn w:val="DefaultParagraphFont"/>
    <w:rsid w:val="00697E92"/>
    <w:rPr>
      <w:rFonts w:ascii="Times New Roman" w:hAnsi="Times New Roman"/>
      <w:color w:val="000000"/>
      <w:spacing w:val="0"/>
      <w:sz w:val="22"/>
      <w:bdr w:val="none" w:sz="0" w:space="0" w:color="auto"/>
      <w:shd w:val="clear" w:color="auto" w:fill="auto"/>
    </w:rPr>
  </w:style>
  <w:style w:type="paragraph" w:customStyle="1" w:styleId="TableHeading1">
    <w:name w:val="Table Heading1"/>
    <w:next w:val="Normal"/>
    <w:rsid w:val="00697E92"/>
    <w:pPr>
      <w:spacing w:before="240" w:after="120" w:line="200" w:lineRule="exact"/>
    </w:pPr>
    <w:rPr>
      <w:rFonts w:ascii="Verdana" w:hAnsi="Verdana"/>
      <w:caps/>
      <w:sz w:val="16"/>
      <w:lang w:eastAsia="sv-SE"/>
    </w:rPr>
  </w:style>
  <w:style w:type="paragraph" w:customStyle="1" w:styleId="TableBodytext">
    <w:name w:val="Table Bodytext"/>
    <w:basedOn w:val="TableHeading1"/>
    <w:rsid w:val="00697E92"/>
    <w:pPr>
      <w:spacing w:before="0" w:after="40"/>
    </w:pPr>
    <w:rPr>
      <w:caps w:val="0"/>
    </w:rPr>
  </w:style>
  <w:style w:type="paragraph" w:customStyle="1" w:styleId="TableNumberlist">
    <w:name w:val="Table Numberlist"/>
    <w:basedOn w:val="Normal"/>
    <w:rsid w:val="00697E92"/>
    <w:pPr>
      <w:numPr>
        <w:numId w:val="23"/>
      </w:numPr>
      <w:tabs>
        <w:tab w:val="clear" w:pos="227"/>
        <w:tab w:val="left" w:pos="308"/>
      </w:tabs>
      <w:spacing w:after="80" w:line="200" w:lineRule="exact"/>
      <w:ind w:left="308" w:hanging="322"/>
    </w:pPr>
    <w:rPr>
      <w:rFonts w:ascii="Verdana" w:eastAsia="Times New Roman" w:hAnsi="Verdana" w:cs="Times New Roman"/>
      <w:sz w:val="16"/>
      <w:szCs w:val="20"/>
      <w:lang w:eastAsia="sv-SE"/>
    </w:rPr>
  </w:style>
  <w:style w:type="paragraph" w:customStyle="1" w:styleId="TableBulletlist">
    <w:name w:val="Table Bulletlist"/>
    <w:basedOn w:val="TableNumberlist"/>
    <w:rsid w:val="00697E92"/>
    <w:pPr>
      <w:numPr>
        <w:numId w:val="24"/>
      </w:numPr>
      <w:tabs>
        <w:tab w:val="clear" w:pos="308"/>
        <w:tab w:val="clear" w:pos="360"/>
      </w:tabs>
      <w:ind w:left="308" w:hanging="294"/>
    </w:pPr>
  </w:style>
  <w:style w:type="paragraph" w:customStyle="1" w:styleId="TableFooter">
    <w:name w:val="Table Footer"/>
    <w:basedOn w:val="BodyText"/>
    <w:rsid w:val="00697E92"/>
    <w:pPr>
      <w:spacing w:before="120" w:line="180" w:lineRule="exact"/>
    </w:pPr>
    <w:rPr>
      <w:rFonts w:ascii="Verdana" w:eastAsia="MS Mincho" w:hAnsi="Verdana"/>
      <w:sz w:val="16"/>
    </w:rPr>
  </w:style>
  <w:style w:type="paragraph" w:customStyle="1" w:styleId="TableHeading2">
    <w:name w:val="Table Heading2"/>
    <w:basedOn w:val="TableHeading1"/>
    <w:rsid w:val="00697E92"/>
    <w:pPr>
      <w:spacing w:before="120" w:after="60" w:line="180" w:lineRule="exact"/>
    </w:pPr>
    <w:rPr>
      <w:sz w:val="14"/>
    </w:rPr>
  </w:style>
  <w:style w:type="paragraph" w:styleId="BalloonText">
    <w:name w:val="Balloon Text"/>
    <w:basedOn w:val="Normal"/>
    <w:link w:val="BalloonTextChar"/>
    <w:rsid w:val="00662BF1"/>
    <w:pPr>
      <w:spacing w:after="0" w:line="240" w:lineRule="auto"/>
    </w:pPr>
    <w:rPr>
      <w:rFonts w:ascii="Lucida Grande" w:eastAsia="Times New Roman" w:hAnsi="Lucida Grande" w:cs="Lucida Grande"/>
      <w:sz w:val="18"/>
      <w:szCs w:val="18"/>
      <w:lang w:eastAsia="sv-SE"/>
    </w:rPr>
  </w:style>
  <w:style w:type="character" w:customStyle="1" w:styleId="BalloonTextChar">
    <w:name w:val="Balloon Text Char"/>
    <w:basedOn w:val="DefaultParagraphFont"/>
    <w:link w:val="BalloonText"/>
    <w:rsid w:val="00662BF1"/>
    <w:rPr>
      <w:rFonts w:ascii="Lucida Grande" w:hAnsi="Lucida Grande" w:cs="Lucida Grande"/>
      <w:sz w:val="18"/>
      <w:szCs w:val="18"/>
      <w:lang w:eastAsia="sv-SE"/>
    </w:rPr>
  </w:style>
  <w:style w:type="paragraph" w:styleId="NoSpacing">
    <w:name w:val="No Spacing"/>
    <w:uiPriority w:val="1"/>
    <w:qFormat/>
    <w:rsid w:val="00EC1F98"/>
    <w:rPr>
      <w:rFonts w:asciiTheme="minorHAnsi" w:eastAsiaTheme="minorHAnsi" w:hAnsiTheme="minorHAnsi" w:cstheme="minorBidi"/>
      <w:sz w:val="22"/>
      <w:szCs w:val="22"/>
    </w:rPr>
  </w:style>
  <w:style w:type="paragraph" w:styleId="NormalWeb">
    <w:name w:val="Normal (Web)"/>
    <w:basedOn w:val="Normal"/>
    <w:uiPriority w:val="99"/>
    <w:unhideWhenUsed/>
    <w:rsid w:val="008F39CF"/>
    <w:pPr>
      <w:spacing w:before="15" w:after="100" w:afterAutospacing="1" w:line="240" w:lineRule="atLeast"/>
    </w:pPr>
    <w:rPr>
      <w:rFonts w:ascii="Verdana" w:eastAsia="Times New Roman" w:hAnsi="Verdana" w:cs="Times New Roman"/>
      <w:sz w:val="18"/>
      <w:szCs w:val="18"/>
    </w:rPr>
  </w:style>
  <w:style w:type="paragraph" w:styleId="ListParagraph">
    <w:name w:val="List Paragraph"/>
    <w:basedOn w:val="Normal"/>
    <w:uiPriority w:val="34"/>
    <w:qFormat/>
    <w:rsid w:val="00D63C25"/>
    <w:pPr>
      <w:ind w:left="720"/>
      <w:contextualSpacing/>
    </w:pPr>
  </w:style>
  <w:style w:type="paragraph" w:styleId="PlainText">
    <w:name w:val="Plain Text"/>
    <w:basedOn w:val="Normal"/>
    <w:link w:val="PlainTextChar"/>
    <w:uiPriority w:val="99"/>
    <w:rsid w:val="005B3A86"/>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B3A86"/>
    <w:rPr>
      <w:rFonts w:ascii="Calibri" w:eastAsiaTheme="minorHAnsi" w:hAnsi="Calibri"/>
      <w:sz w:val="22"/>
      <w:szCs w:val="22"/>
    </w:rPr>
  </w:style>
  <w:style w:type="table" w:styleId="TableGrid">
    <w:name w:val="Table Grid"/>
    <w:basedOn w:val="TableNormal"/>
    <w:uiPriority w:val="59"/>
    <w:rsid w:val="006F78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C22DCB"/>
    <w:pPr>
      <w:spacing w:after="0" w:line="240" w:lineRule="auto"/>
    </w:pPr>
    <w:rPr>
      <w:sz w:val="20"/>
      <w:szCs w:val="20"/>
    </w:rPr>
  </w:style>
  <w:style w:type="character" w:customStyle="1" w:styleId="FootnoteTextChar">
    <w:name w:val="Footnote Text Char"/>
    <w:basedOn w:val="DefaultParagraphFont"/>
    <w:link w:val="FootnoteText"/>
    <w:rsid w:val="00C22DCB"/>
    <w:rPr>
      <w:rFonts w:asciiTheme="minorHAnsi" w:eastAsiaTheme="minorHAnsi" w:hAnsiTheme="minorHAnsi" w:cstheme="minorBidi"/>
    </w:rPr>
  </w:style>
  <w:style w:type="character" w:styleId="FootnoteReference">
    <w:name w:val="footnote reference"/>
    <w:basedOn w:val="DefaultParagraphFont"/>
    <w:rsid w:val="00C22DCB"/>
    <w:rPr>
      <w:vertAlign w:val="superscript"/>
    </w:rPr>
  </w:style>
  <w:style w:type="character" w:styleId="CommentReference">
    <w:name w:val="annotation reference"/>
    <w:basedOn w:val="DefaultParagraphFont"/>
    <w:rsid w:val="000764FA"/>
    <w:rPr>
      <w:sz w:val="16"/>
      <w:szCs w:val="16"/>
    </w:rPr>
  </w:style>
  <w:style w:type="paragraph" w:styleId="CommentText">
    <w:name w:val="annotation text"/>
    <w:basedOn w:val="Normal"/>
    <w:link w:val="CommentTextChar"/>
    <w:rsid w:val="000764FA"/>
    <w:pPr>
      <w:spacing w:line="240" w:lineRule="auto"/>
    </w:pPr>
    <w:rPr>
      <w:sz w:val="20"/>
      <w:szCs w:val="20"/>
    </w:rPr>
  </w:style>
  <w:style w:type="character" w:customStyle="1" w:styleId="CommentTextChar">
    <w:name w:val="Comment Text Char"/>
    <w:basedOn w:val="DefaultParagraphFont"/>
    <w:link w:val="CommentText"/>
    <w:rsid w:val="000764FA"/>
    <w:rPr>
      <w:rFonts w:asciiTheme="minorHAnsi" w:eastAsiaTheme="minorHAnsi" w:hAnsiTheme="minorHAnsi" w:cstheme="minorBidi"/>
    </w:rPr>
  </w:style>
  <w:style w:type="paragraph" w:styleId="CommentSubject">
    <w:name w:val="annotation subject"/>
    <w:basedOn w:val="CommentText"/>
    <w:next w:val="CommentText"/>
    <w:link w:val="CommentSubjectChar"/>
    <w:rsid w:val="000764FA"/>
    <w:rPr>
      <w:b/>
      <w:bCs/>
    </w:rPr>
  </w:style>
  <w:style w:type="character" w:customStyle="1" w:styleId="CommentSubjectChar">
    <w:name w:val="Comment Subject Char"/>
    <w:basedOn w:val="CommentTextChar"/>
    <w:link w:val="CommentSubject"/>
    <w:rsid w:val="000764FA"/>
    <w:rPr>
      <w:rFonts w:asciiTheme="minorHAnsi" w:eastAsiaTheme="minorHAnsi" w:hAnsiTheme="minorHAnsi" w:cstheme="minorBidi"/>
      <w:b/>
      <w:bCs/>
    </w:rPr>
  </w:style>
  <w:style w:type="paragraph" w:customStyle="1" w:styleId="LetterheadAddress">
    <w:name w:val="Letterhead Address"/>
    <w:basedOn w:val="Normal"/>
    <w:qFormat/>
    <w:rsid w:val="001B6ADA"/>
    <w:pPr>
      <w:widowControl w:val="0"/>
      <w:autoSpaceDE w:val="0"/>
      <w:autoSpaceDN w:val="0"/>
      <w:adjustRightInd w:val="0"/>
      <w:spacing w:after="0" w:line="240" w:lineRule="auto"/>
    </w:pPr>
    <w:rPr>
      <w:rFonts w:asciiTheme="majorHAnsi" w:eastAsiaTheme="minorEastAsia" w:hAnsiTheme="majorHAnsi" w:cs="Times New Roman"/>
      <w:sz w:val="18"/>
      <w:szCs w:val="18"/>
      <w:lang w:eastAsia="ja-JP"/>
    </w:rPr>
  </w:style>
  <w:style w:type="paragraph" w:customStyle="1" w:styleId="Default">
    <w:name w:val="Default"/>
    <w:rsid w:val="00B90BF8"/>
    <w:pPr>
      <w:autoSpaceDE w:val="0"/>
      <w:autoSpaceDN w:val="0"/>
      <w:adjustRightInd w:val="0"/>
    </w:pPr>
    <w:rPr>
      <w:color w:val="000000"/>
      <w:sz w:val="24"/>
      <w:szCs w:val="24"/>
    </w:rPr>
  </w:style>
  <w:style w:type="paragraph" w:customStyle="1" w:styleId="Subhead1Style">
    <w:name w:val="Subhead 1 Style"/>
    <w:basedOn w:val="Normal"/>
    <w:qFormat/>
    <w:rsid w:val="0032079E"/>
    <w:pPr>
      <w:spacing w:before="360" w:after="120" w:line="240" w:lineRule="auto"/>
      <w:ind w:left="-720"/>
    </w:pPr>
    <w:rPr>
      <w:rFonts w:ascii="Calibri" w:eastAsia="Arial" w:hAnsi="Calibri" w:cs="Times New Roman"/>
      <w:b/>
      <w:color w:val="009FC3"/>
      <w:spacing w:val="-4"/>
      <w:szCs w:val="20"/>
      <w:lang w:eastAsia="sv-SE"/>
    </w:rPr>
  </w:style>
  <w:style w:type="paragraph" w:customStyle="1" w:styleId="MainText">
    <w:name w:val="Main Text"/>
    <w:basedOn w:val="Normal"/>
    <w:autoRedefine/>
    <w:qFormat/>
    <w:rsid w:val="0032079E"/>
    <w:pPr>
      <w:spacing w:after="0" w:line="260" w:lineRule="atLeast"/>
      <w:ind w:left="-720"/>
      <w:jc w:val="both"/>
    </w:pPr>
    <w:rPr>
      <w:rFonts w:ascii="Calibri" w:eastAsia="Arial" w:hAnsi="Calibri" w:cs="Times New Roman"/>
      <w:color w:val="000000"/>
      <w:spacing w:val="-4"/>
      <w:sz w:val="20"/>
      <w:szCs w:val="20"/>
    </w:rPr>
  </w:style>
  <w:style w:type="paragraph" w:customStyle="1" w:styleId="Bullets">
    <w:name w:val="Bullets"/>
    <w:basedOn w:val="ListParagraph"/>
    <w:qFormat/>
    <w:rsid w:val="0032079E"/>
    <w:pPr>
      <w:numPr>
        <w:numId w:val="35"/>
      </w:numPr>
      <w:spacing w:after="120" w:line="260" w:lineRule="atLeast"/>
      <w:contextualSpacing w:val="0"/>
    </w:pPr>
    <w:rPr>
      <w:rFonts w:ascii="Calibri" w:eastAsia="Arial" w:hAnsi="Calibri" w:cs="Times New Roman"/>
      <w:spacing w:val="-4"/>
      <w:sz w:val="20"/>
      <w:szCs w:val="20"/>
      <w:lang w:eastAsia="sv-SE"/>
    </w:rPr>
  </w:style>
  <w:style w:type="paragraph" w:customStyle="1" w:styleId="Subhead2Style">
    <w:name w:val="Subhead 2 Style"/>
    <w:basedOn w:val="MainText"/>
    <w:qFormat/>
    <w:rsid w:val="0032079E"/>
    <w:rPr>
      <w:b/>
    </w:rPr>
  </w:style>
  <w:style w:type="table" w:customStyle="1" w:styleId="NLXStx">
    <w:name w:val="NLX Stx"/>
    <w:basedOn w:val="TableNormal"/>
    <w:uiPriority w:val="99"/>
    <w:rsid w:val="0032079E"/>
    <w:rPr>
      <w:rFonts w:ascii="Arial Narrow" w:hAnsi="Arial Narrow"/>
      <w:sz w:val="18"/>
      <w:szCs w:val="24"/>
      <w:lang w:eastAsia="zh-CN"/>
    </w:rPr>
    <w:tblPr>
      <w:tblStyleRowBandSize w:val="1"/>
      <w:tblInd w:w="0" w:type="dxa"/>
      <w:tblBorders>
        <w:top w:val="single" w:sz="4" w:space="0" w:color="0094B3"/>
        <w:left w:val="single" w:sz="4" w:space="0" w:color="0094B3"/>
        <w:bottom w:val="single" w:sz="4" w:space="0" w:color="0094B3"/>
        <w:right w:val="single" w:sz="4" w:space="0" w:color="0094B3"/>
        <w:insideH w:val="single" w:sz="4" w:space="0" w:color="0094B3"/>
        <w:insideV w:val="single" w:sz="4" w:space="0" w:color="0094B3"/>
      </w:tblBorders>
      <w:tblCellMar>
        <w:top w:w="0" w:type="dxa"/>
        <w:left w:w="108" w:type="dxa"/>
        <w:bottom w:w="0" w:type="dxa"/>
        <w:right w:w="108" w:type="dxa"/>
      </w:tblCellMar>
    </w:tblPr>
    <w:tcPr>
      <w:vAlign w:val="center"/>
    </w:tcPr>
    <w:tblStylePr w:type="firstRow">
      <w:rPr>
        <w:b/>
        <w:color w:val="FFFFFF" w:themeColor="background1"/>
        <w:sz w:val="20"/>
      </w:rPr>
      <w:tblPr/>
      <w:tcPr>
        <w:shd w:val="clear" w:color="auto" w:fill="0094B3"/>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543FF5"/>
    <w:rPr>
      <w:rFonts w:ascii="Verdana" w:hAnsi="Verdana"/>
      <w:b/>
      <w:kern w:val="20"/>
      <w:sz w:val="18"/>
      <w:lang w:eastAsia="sv-SE"/>
    </w:rPr>
  </w:style>
  <w:style w:type="paragraph" w:customStyle="1" w:styleId="confidentialtext">
    <w:name w:val="confidential text"/>
    <w:basedOn w:val="Normal"/>
    <w:qFormat/>
    <w:rsid w:val="00165602"/>
    <w:pPr>
      <w:spacing w:after="0" w:line="300" w:lineRule="exact"/>
    </w:pPr>
    <w:rPr>
      <w:rFonts w:ascii="Arial Narrow" w:eastAsia="Times New Roman" w:hAnsi="Arial Narrow" w:cs="Arial"/>
      <w:color w:val="000000"/>
      <w:spacing w:val="-3"/>
      <w:sz w:val="20"/>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590">
      <w:bodyDiv w:val="1"/>
      <w:marLeft w:val="0"/>
      <w:marRight w:val="0"/>
      <w:marTop w:val="0"/>
      <w:marBottom w:val="0"/>
      <w:divBdr>
        <w:top w:val="none" w:sz="0" w:space="0" w:color="auto"/>
        <w:left w:val="none" w:sz="0" w:space="0" w:color="auto"/>
        <w:bottom w:val="none" w:sz="0" w:space="0" w:color="auto"/>
        <w:right w:val="none" w:sz="0" w:space="0" w:color="auto"/>
      </w:divBdr>
    </w:div>
    <w:div w:id="136262734">
      <w:bodyDiv w:val="1"/>
      <w:marLeft w:val="0"/>
      <w:marRight w:val="0"/>
      <w:marTop w:val="0"/>
      <w:marBottom w:val="0"/>
      <w:divBdr>
        <w:top w:val="none" w:sz="0" w:space="0" w:color="auto"/>
        <w:left w:val="none" w:sz="0" w:space="0" w:color="auto"/>
        <w:bottom w:val="none" w:sz="0" w:space="0" w:color="auto"/>
        <w:right w:val="none" w:sz="0" w:space="0" w:color="auto"/>
      </w:divBdr>
    </w:div>
    <w:div w:id="186990746">
      <w:bodyDiv w:val="1"/>
      <w:marLeft w:val="0"/>
      <w:marRight w:val="0"/>
      <w:marTop w:val="0"/>
      <w:marBottom w:val="0"/>
      <w:divBdr>
        <w:top w:val="none" w:sz="0" w:space="0" w:color="auto"/>
        <w:left w:val="none" w:sz="0" w:space="0" w:color="auto"/>
        <w:bottom w:val="none" w:sz="0" w:space="0" w:color="auto"/>
        <w:right w:val="none" w:sz="0" w:space="0" w:color="auto"/>
      </w:divBdr>
    </w:div>
    <w:div w:id="255940249">
      <w:bodyDiv w:val="1"/>
      <w:marLeft w:val="0"/>
      <w:marRight w:val="0"/>
      <w:marTop w:val="0"/>
      <w:marBottom w:val="0"/>
      <w:divBdr>
        <w:top w:val="none" w:sz="0" w:space="0" w:color="auto"/>
        <w:left w:val="none" w:sz="0" w:space="0" w:color="auto"/>
        <w:bottom w:val="none" w:sz="0" w:space="0" w:color="auto"/>
        <w:right w:val="none" w:sz="0" w:space="0" w:color="auto"/>
      </w:divBdr>
    </w:div>
    <w:div w:id="404884034">
      <w:bodyDiv w:val="1"/>
      <w:marLeft w:val="0"/>
      <w:marRight w:val="0"/>
      <w:marTop w:val="0"/>
      <w:marBottom w:val="0"/>
      <w:divBdr>
        <w:top w:val="none" w:sz="0" w:space="0" w:color="auto"/>
        <w:left w:val="none" w:sz="0" w:space="0" w:color="auto"/>
        <w:bottom w:val="none" w:sz="0" w:space="0" w:color="auto"/>
        <w:right w:val="none" w:sz="0" w:space="0" w:color="auto"/>
      </w:divBdr>
    </w:div>
    <w:div w:id="502085586">
      <w:bodyDiv w:val="1"/>
      <w:marLeft w:val="0"/>
      <w:marRight w:val="0"/>
      <w:marTop w:val="0"/>
      <w:marBottom w:val="0"/>
      <w:divBdr>
        <w:top w:val="none" w:sz="0" w:space="0" w:color="auto"/>
        <w:left w:val="none" w:sz="0" w:space="0" w:color="auto"/>
        <w:bottom w:val="none" w:sz="0" w:space="0" w:color="auto"/>
        <w:right w:val="none" w:sz="0" w:space="0" w:color="auto"/>
      </w:divBdr>
    </w:div>
    <w:div w:id="576207747">
      <w:bodyDiv w:val="1"/>
      <w:marLeft w:val="0"/>
      <w:marRight w:val="0"/>
      <w:marTop w:val="0"/>
      <w:marBottom w:val="0"/>
      <w:divBdr>
        <w:top w:val="none" w:sz="0" w:space="0" w:color="auto"/>
        <w:left w:val="none" w:sz="0" w:space="0" w:color="auto"/>
        <w:bottom w:val="none" w:sz="0" w:space="0" w:color="auto"/>
        <w:right w:val="none" w:sz="0" w:space="0" w:color="auto"/>
      </w:divBdr>
    </w:div>
    <w:div w:id="701901845">
      <w:bodyDiv w:val="1"/>
      <w:marLeft w:val="0"/>
      <w:marRight w:val="0"/>
      <w:marTop w:val="0"/>
      <w:marBottom w:val="0"/>
      <w:divBdr>
        <w:top w:val="none" w:sz="0" w:space="0" w:color="auto"/>
        <w:left w:val="none" w:sz="0" w:space="0" w:color="auto"/>
        <w:bottom w:val="none" w:sz="0" w:space="0" w:color="auto"/>
        <w:right w:val="none" w:sz="0" w:space="0" w:color="auto"/>
      </w:divBdr>
    </w:div>
    <w:div w:id="718481632">
      <w:bodyDiv w:val="1"/>
      <w:marLeft w:val="0"/>
      <w:marRight w:val="0"/>
      <w:marTop w:val="0"/>
      <w:marBottom w:val="0"/>
      <w:divBdr>
        <w:top w:val="none" w:sz="0" w:space="0" w:color="auto"/>
        <w:left w:val="none" w:sz="0" w:space="0" w:color="auto"/>
        <w:bottom w:val="none" w:sz="0" w:space="0" w:color="auto"/>
        <w:right w:val="none" w:sz="0" w:space="0" w:color="auto"/>
      </w:divBdr>
    </w:div>
    <w:div w:id="740105951">
      <w:bodyDiv w:val="1"/>
      <w:marLeft w:val="0"/>
      <w:marRight w:val="0"/>
      <w:marTop w:val="0"/>
      <w:marBottom w:val="0"/>
      <w:divBdr>
        <w:top w:val="none" w:sz="0" w:space="0" w:color="auto"/>
        <w:left w:val="none" w:sz="0" w:space="0" w:color="auto"/>
        <w:bottom w:val="none" w:sz="0" w:space="0" w:color="auto"/>
        <w:right w:val="none" w:sz="0" w:space="0" w:color="auto"/>
      </w:divBdr>
    </w:div>
    <w:div w:id="918518253">
      <w:bodyDiv w:val="1"/>
      <w:marLeft w:val="0"/>
      <w:marRight w:val="0"/>
      <w:marTop w:val="0"/>
      <w:marBottom w:val="0"/>
      <w:divBdr>
        <w:top w:val="none" w:sz="0" w:space="0" w:color="auto"/>
        <w:left w:val="none" w:sz="0" w:space="0" w:color="auto"/>
        <w:bottom w:val="none" w:sz="0" w:space="0" w:color="auto"/>
        <w:right w:val="none" w:sz="0" w:space="0" w:color="auto"/>
      </w:divBdr>
    </w:div>
    <w:div w:id="1040397108">
      <w:bodyDiv w:val="1"/>
      <w:marLeft w:val="0"/>
      <w:marRight w:val="0"/>
      <w:marTop w:val="0"/>
      <w:marBottom w:val="0"/>
      <w:divBdr>
        <w:top w:val="none" w:sz="0" w:space="0" w:color="auto"/>
        <w:left w:val="none" w:sz="0" w:space="0" w:color="auto"/>
        <w:bottom w:val="none" w:sz="0" w:space="0" w:color="auto"/>
        <w:right w:val="none" w:sz="0" w:space="0" w:color="auto"/>
      </w:divBdr>
    </w:div>
    <w:div w:id="1064916055">
      <w:bodyDiv w:val="1"/>
      <w:marLeft w:val="0"/>
      <w:marRight w:val="0"/>
      <w:marTop w:val="0"/>
      <w:marBottom w:val="0"/>
      <w:divBdr>
        <w:top w:val="none" w:sz="0" w:space="0" w:color="auto"/>
        <w:left w:val="none" w:sz="0" w:space="0" w:color="auto"/>
        <w:bottom w:val="none" w:sz="0" w:space="0" w:color="auto"/>
        <w:right w:val="none" w:sz="0" w:space="0" w:color="auto"/>
      </w:divBdr>
    </w:div>
    <w:div w:id="1155757065">
      <w:bodyDiv w:val="1"/>
      <w:marLeft w:val="0"/>
      <w:marRight w:val="0"/>
      <w:marTop w:val="0"/>
      <w:marBottom w:val="0"/>
      <w:divBdr>
        <w:top w:val="none" w:sz="0" w:space="0" w:color="auto"/>
        <w:left w:val="none" w:sz="0" w:space="0" w:color="auto"/>
        <w:bottom w:val="none" w:sz="0" w:space="0" w:color="auto"/>
        <w:right w:val="none" w:sz="0" w:space="0" w:color="auto"/>
      </w:divBdr>
    </w:div>
    <w:div w:id="1188370540">
      <w:bodyDiv w:val="1"/>
      <w:marLeft w:val="0"/>
      <w:marRight w:val="0"/>
      <w:marTop w:val="0"/>
      <w:marBottom w:val="0"/>
      <w:divBdr>
        <w:top w:val="none" w:sz="0" w:space="0" w:color="auto"/>
        <w:left w:val="none" w:sz="0" w:space="0" w:color="auto"/>
        <w:bottom w:val="none" w:sz="0" w:space="0" w:color="auto"/>
        <w:right w:val="none" w:sz="0" w:space="0" w:color="auto"/>
      </w:divBdr>
    </w:div>
    <w:div w:id="1191643253">
      <w:bodyDiv w:val="1"/>
      <w:marLeft w:val="0"/>
      <w:marRight w:val="0"/>
      <w:marTop w:val="0"/>
      <w:marBottom w:val="0"/>
      <w:divBdr>
        <w:top w:val="none" w:sz="0" w:space="0" w:color="auto"/>
        <w:left w:val="none" w:sz="0" w:space="0" w:color="auto"/>
        <w:bottom w:val="none" w:sz="0" w:space="0" w:color="auto"/>
        <w:right w:val="none" w:sz="0" w:space="0" w:color="auto"/>
      </w:divBdr>
    </w:div>
    <w:div w:id="1698384164">
      <w:bodyDiv w:val="1"/>
      <w:marLeft w:val="0"/>
      <w:marRight w:val="0"/>
      <w:marTop w:val="0"/>
      <w:marBottom w:val="0"/>
      <w:divBdr>
        <w:top w:val="none" w:sz="0" w:space="0" w:color="auto"/>
        <w:left w:val="none" w:sz="0" w:space="0" w:color="auto"/>
        <w:bottom w:val="none" w:sz="0" w:space="0" w:color="auto"/>
        <w:right w:val="none" w:sz="0" w:space="0" w:color="auto"/>
      </w:divBdr>
    </w:div>
    <w:div w:id="1918056627">
      <w:bodyDiv w:val="1"/>
      <w:marLeft w:val="0"/>
      <w:marRight w:val="0"/>
      <w:marTop w:val="0"/>
      <w:marBottom w:val="0"/>
      <w:divBdr>
        <w:top w:val="none" w:sz="0" w:space="0" w:color="auto"/>
        <w:left w:val="none" w:sz="0" w:space="0" w:color="auto"/>
        <w:bottom w:val="none" w:sz="0" w:space="0" w:color="auto"/>
        <w:right w:val="none" w:sz="0" w:space="0" w:color="auto"/>
      </w:divBdr>
    </w:div>
    <w:div w:id="1956446641">
      <w:bodyDiv w:val="1"/>
      <w:marLeft w:val="0"/>
      <w:marRight w:val="0"/>
      <w:marTop w:val="0"/>
      <w:marBottom w:val="0"/>
      <w:divBdr>
        <w:top w:val="none" w:sz="0" w:space="0" w:color="auto"/>
        <w:left w:val="none" w:sz="0" w:space="0" w:color="auto"/>
        <w:bottom w:val="none" w:sz="0" w:space="0" w:color="auto"/>
        <w:right w:val="none" w:sz="0" w:space="0" w:color="auto"/>
      </w:divBdr>
    </w:div>
    <w:div w:id="2005939344">
      <w:bodyDiv w:val="1"/>
      <w:marLeft w:val="0"/>
      <w:marRight w:val="0"/>
      <w:marTop w:val="0"/>
      <w:marBottom w:val="0"/>
      <w:divBdr>
        <w:top w:val="none" w:sz="0" w:space="0" w:color="auto"/>
        <w:left w:val="none" w:sz="0" w:space="0" w:color="auto"/>
        <w:bottom w:val="none" w:sz="0" w:space="0" w:color="auto"/>
        <w:right w:val="none" w:sz="0" w:space="0" w:color="auto"/>
      </w:divBdr>
    </w:div>
    <w:div w:id="2094663255">
      <w:bodyDiv w:val="1"/>
      <w:marLeft w:val="0"/>
      <w:marRight w:val="0"/>
      <w:marTop w:val="0"/>
      <w:marBottom w:val="0"/>
      <w:divBdr>
        <w:top w:val="none" w:sz="0" w:space="0" w:color="auto"/>
        <w:left w:val="none" w:sz="0" w:space="0" w:color="auto"/>
        <w:bottom w:val="none" w:sz="0" w:space="0" w:color="auto"/>
        <w:right w:val="none" w:sz="0" w:space="0" w:color="auto"/>
      </w:divBdr>
    </w:div>
    <w:div w:id="211721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business.nasdaq.com/nasdaq-futures/nfx-marke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usiness.nasdaq.com/nasdaq-futures/nfx-market"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nasdaqomxphlx.cchwallstreet.com/NASDAQOMXPHLX/NFX/" TargetMode="External"/><Relationship Id="rId1" Type="http://schemas.openxmlformats.org/officeDocument/2006/relationships/hyperlink" Target="http://nasdaqphlx.cchwallstreet.com/NASDAQPHLX/pdf/nfx-filings/2016/SR-NFX-2016-6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bradfors\Local%20Settings\Temporary%20Internet%20Files\Content.Outlook\IHSB84SX\NASDAQ%20Futures%20NFX_Philadelphi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CT xmlns="4b47aac5-4c46-444f-8595-ce09b406fc61">false</RCT>
    <DocGuid xmlns="4b47aac5-4c46-444f-8595-ce09b406fc61">2fcb3f15-5211-4cd9-b8b9-6077e5a7a23b</DocGuid>
    <Published xmlns="4b47aac5-4c46-444f-8595-ce09b406fc61">false</Published>
    <Document_x0020_Type xmlns="4b47aac5-4c46-444f-8595-ce09b406fc61">Submission</Document_x0020_Type>
    <Amendment_x0020_No xmlns="4b47aac5-4c46-444f-8595-ce09b406fc61">0</Amendment_x0020_No>
    <Publication_x0020_Url xmlns="4b47aac5-4c46-444f-8595-ce09b406fc61">
      <Url xsi:nil="true"/>
      <Description xsi:nil="true"/>
    </Publication_x0020_Url>
    <Document_x0020_Date xmlns="4b47aac5-4c46-444f-8595-ce09b406fc61">2017-06-16T20:17:39+00:00</Document_x0020_Date>
    <Document_x0020_No xmlns="4b47aac5-4c46-444f-8595-ce09b406fc61">31584</Document_x0020_No>
  </documentManagement>
</p:properties>
</file>

<file path=customXml/item4.xml><?xml version="1.0" encoding="utf-8"?>
<?mso-contentType ?>
<SharedContentType xmlns="Microsoft.SharePoint.Taxonomy.ContentTypeSync" SourceId="f8ddc925-75d6-4761-96b6-1b97e4890734" ContentTypeId="0x01010045B0BEB1BCDC4B408D1662109AEB4638" PreviousValue="false"/>
</file>

<file path=customXml/item5.xml><?xml version="1.0" encoding="utf-8"?>
<ct:contentTypeSchema xmlns:ct="http://schemas.microsoft.com/office/2006/metadata/contentType" xmlns:ma="http://schemas.microsoft.com/office/2006/metadata/properties/metaAttributes" ct:_="" ma:_="" ma:contentTypeName="Submission Document" ma:contentTypeID="0x01010045B0BEB1BCDC4B408D1662109AEB463800F62E73A1F670314296D6E6EFEA0FFF39" ma:contentTypeVersion="0" ma:contentTypeDescription="" ma:contentTypeScope="" ma:versionID="c98075efb68efcbdea0371e3905cca6b">
  <xsd:schema xmlns:xsd="http://www.w3.org/2001/XMLSchema" xmlns:xs="http://www.w3.org/2001/XMLSchema" xmlns:p="http://schemas.microsoft.com/office/2006/metadata/properties" xmlns:ns2="4b47aac5-4c46-444f-8595-ce09b406fc61" targetNamespace="http://schemas.microsoft.com/office/2006/metadata/properties" ma:root="true" ma:fieldsID="cfab141f4ac74c12a3ce95ffcab93f41" ns2:_="">
    <xsd:import namespace="4b47aac5-4c46-444f-8595-ce09b406fc61"/>
    <xsd:element name="properties">
      <xsd:complexType>
        <xsd:sequence>
          <xsd:element name="documentManagement">
            <xsd:complexType>
              <xsd:all>
                <xsd:element ref="ns2:Document_x0020_No" minOccurs="0"/>
                <xsd:element ref="ns2:Document_x0020_Date" minOccurs="0"/>
                <xsd:element ref="ns2:RCT" minOccurs="0"/>
                <xsd:element ref="ns2:Amendment_x0020_No" minOccurs="0"/>
                <xsd:element ref="ns2:Publication_x0020_Url" minOccurs="0"/>
                <xsd:element ref="ns2:Published" minOccurs="0"/>
                <xsd:element ref="ns2:DocGuid" minOccurs="0"/>
                <xsd:element ref="ns2: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7aac5-4c46-444f-8595-ce09b406fc61" elementFormDefault="qualified">
    <xsd:import namespace="http://schemas.microsoft.com/office/2006/documentManagement/types"/>
    <xsd:import namespace="http://schemas.microsoft.com/office/infopath/2007/PartnerControls"/>
    <xsd:element name="Document_x0020_No" ma:index="8" nillable="true" ma:displayName="Document No" ma:internalName="Document_x0020_No">
      <xsd:simpleType>
        <xsd:restriction base="dms:Text">
          <xsd:maxLength value="255"/>
        </xsd:restriction>
      </xsd:simpleType>
    </xsd:element>
    <xsd:element name="Document_x0020_Date" ma:index="9" nillable="true" ma:displayName="Document Date" ma:format="DateOnly" ma:internalName="Document_x0020_Date">
      <xsd:simpleType>
        <xsd:restriction base="dms:DateTime"/>
      </xsd:simpleType>
    </xsd:element>
    <xsd:element name="RCT" ma:index="10" nillable="true" ma:displayName="RCT" ma:default="0" ma:internalName="RCT">
      <xsd:simpleType>
        <xsd:restriction base="dms:Boolean"/>
      </xsd:simpleType>
    </xsd:element>
    <xsd:element name="Amendment_x0020_No" ma:index="11" nillable="true" ma:displayName="Amendment No" ma:internalName="Amendment_x0020_No">
      <xsd:simpleType>
        <xsd:restriction base="dms:Text">
          <xsd:maxLength value="255"/>
        </xsd:restriction>
      </xsd:simpleType>
    </xsd:element>
    <xsd:element name="Publication_x0020_Url" ma:index="12" nillable="true" ma:displayName="Publication Url" ma:format="Hyperlink" ma:internalName="Publication_x0020_Url">
      <xsd:complexType>
        <xsd:complexContent>
          <xsd:extension base="dms:URL">
            <xsd:sequence>
              <xsd:element name="Url" type="dms:ValidUrl" minOccurs="0" nillable="true"/>
              <xsd:element name="Description" type="xsd:string" nillable="true"/>
            </xsd:sequence>
          </xsd:extension>
        </xsd:complexContent>
      </xsd:complexType>
    </xsd:element>
    <xsd:element name="Published" ma:index="13" nillable="true" ma:displayName="Published" ma:default="0" ma:internalName="Published">
      <xsd:simpleType>
        <xsd:restriction base="dms:Boolean"/>
      </xsd:simpleType>
    </xsd:element>
    <xsd:element name="DocGuid" ma:index="14" nillable="true" ma:displayName="DocGuid" ma:internalName="DocGuid">
      <xsd:simpleType>
        <xsd:restriction base="dms:Text">
          <xsd:maxLength value="255"/>
        </xsd:restriction>
      </xsd:simpleType>
    </xsd:element>
    <xsd:element name="Document_x0020_Type" ma:index="15" nillable="true" ma:displayName="Document Type" ma:default="Submission" ma:format="Dropdown" ma:internalName="Document_x0020_Type">
      <xsd:simpleType>
        <xsd:restriction base="dms:Choice">
          <xsd:enumeration value="Cover Sheet"/>
          <xsd:enumeration value="Submission"/>
          <xsd:enumeration value="Confidential Treatment"/>
          <xsd:enumeration value="Syste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533A0-08D4-462F-B53B-6410CC9659B6}"/>
</file>

<file path=customXml/itemProps2.xml><?xml version="1.0" encoding="utf-8"?>
<ds:datastoreItem xmlns:ds="http://schemas.openxmlformats.org/officeDocument/2006/customXml" ds:itemID="{B184A8EE-3483-42B9-B39C-FFC6B1B9097D}"/>
</file>

<file path=customXml/itemProps3.xml><?xml version="1.0" encoding="utf-8"?>
<ds:datastoreItem xmlns:ds="http://schemas.openxmlformats.org/officeDocument/2006/customXml" ds:itemID="{EF15CA83-F73B-409E-94A8-CA292E015980}"/>
</file>

<file path=customXml/itemProps4.xml><?xml version="1.0" encoding="utf-8"?>
<ds:datastoreItem xmlns:ds="http://schemas.openxmlformats.org/officeDocument/2006/customXml" ds:itemID="{3C6F46F8-CE03-4559-9825-FF0B026A3B34}"/>
</file>

<file path=customXml/itemProps5.xml><?xml version="1.0" encoding="utf-8"?>
<ds:datastoreItem xmlns:ds="http://schemas.openxmlformats.org/officeDocument/2006/customXml" ds:itemID="{BD8D5A20-032B-4439-B9DC-3D345332BA8C}"/>
</file>

<file path=docProps/app.xml><?xml version="1.0" encoding="utf-8"?>
<Properties xmlns="http://schemas.openxmlformats.org/officeDocument/2006/extended-properties" xmlns:vt="http://schemas.openxmlformats.org/officeDocument/2006/docPropsVTypes">
  <Template>NASDAQ Futures NFX_Philadelphia letterhead</Template>
  <TotalTime>7</TotalTime>
  <Pages>4</Pages>
  <Words>1029</Words>
  <Characters>5871</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Click here to write Company</vt:lpstr>
    </vt:vector>
  </TitlesOfParts>
  <Company>The Nasdaq OMX Group, Inc.</Company>
  <LinksUpToDate>false</LinksUpToDate>
  <CharactersWithSpaces>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 Certification</dc:title>
  <dc:creator>Shari Bradford</dc:creator>
  <cp:lastModifiedBy>Daniel Carrigan</cp:lastModifiedBy>
  <cp:revision>2</cp:revision>
  <cp:lastPrinted>2016-04-01T15:42:00Z</cp:lastPrinted>
  <dcterms:created xsi:type="dcterms:W3CDTF">2017-06-16T18:33:00Z</dcterms:created>
  <dcterms:modified xsi:type="dcterms:W3CDTF">2017-06-16T18:33:00Z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0x01010045B0BEB1BCDC4B408D1662109AEB463800F62E73A1F670314296D6E6EFEA0FFF39</vt:lpwstr>
  </property>
  <property fmtid="{D5CDD505-2E9C-101B-9397-08002B2CF9AE}" pid="3" name="_CopySource">
    <vt:lpwstr>\Cftc.gov</vt:lpwstr>
  </property>
  <property fmtid="{D5CDD505-2E9C-101B-9397-08002B2CF9AE}" pid="4" name="Order">
    <vt:r8>3950900</vt:r8>
  </property>
  <property fmtid="{D5CDD505-2E9C-101B-9397-08002B2CF9AE}" pid="5" name="TemplateUrl">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y fmtid="{D5CDD505-2E9C-101B-9397-08002B2CF9AE}" pid="9" name="xd_ProgID">
    <vt:lpwstr/>
  </property>
</Properties>
</file>