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3" w:rsidRDefault="00EE5B43" w:rsidP="001B6ADA">
      <w:pPr>
        <w:pStyle w:val="NoSpacing"/>
        <w:ind w:left="2620" w:firstLine="1310"/>
        <w:rPr>
          <w:rFonts w:ascii="Times New Roman" w:eastAsia="Calibri" w:hAnsi="Times New Roman" w:cs="Times New Roman"/>
          <w:b/>
          <w:bCs/>
          <w:color w:val="333333"/>
          <w:sz w:val="24"/>
          <w:szCs w:val="24"/>
        </w:rPr>
      </w:pPr>
      <w:bookmarkStart w:id="0" w:name="_GoBack"/>
      <w:bookmarkEnd w:id="0"/>
    </w:p>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A6E6F"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July 1,</w:t>
      </w:r>
      <w:r w:rsidR="00352533" w:rsidRPr="00990E66">
        <w:rPr>
          <w:rFonts w:ascii="Times New Roman" w:eastAsia="Calibri" w:hAnsi="Times New Roman" w:cs="Times New Roman"/>
          <w:sz w:val="24"/>
          <w:szCs w:val="24"/>
        </w:rPr>
        <w:t xml:space="preserve">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352533" w:rsidRDefault="001501A2"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26072F" w:rsidRPr="001501A2">
        <w:rPr>
          <w:rFonts w:ascii="Times New Roman" w:eastAsia="Calibri" w:hAnsi="Times New Roman" w:cs="Times New Roman"/>
          <w:b/>
          <w:sz w:val="24"/>
          <w:szCs w:val="24"/>
        </w:rPr>
        <w:t>NFX Fee Schedule</w:t>
      </w:r>
      <w:r w:rsidR="00800CC2" w:rsidRPr="001501A2">
        <w:rPr>
          <w:rFonts w:ascii="Times New Roman" w:eastAsia="Calibri" w:hAnsi="Times New Roman" w:cs="Times New Roman"/>
          <w:b/>
          <w:sz w:val="24"/>
          <w:szCs w:val="24"/>
        </w:rPr>
        <w:t xml:space="preserve"> Amendments</w:t>
      </w:r>
      <w:r w:rsidR="00AA6E6F" w:rsidRPr="001501A2">
        <w:rPr>
          <w:rFonts w:ascii="Times New Roman" w:eastAsia="Calibri" w:hAnsi="Times New Roman" w:cs="Times New Roman"/>
          <w:b/>
          <w:sz w:val="24"/>
          <w:szCs w:val="24"/>
        </w:rPr>
        <w:t xml:space="preserve"> for </w:t>
      </w:r>
    </w:p>
    <w:p w:rsidR="00AA6E6F" w:rsidRPr="0026072F" w:rsidRDefault="00EE5B43"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NFX Gasoil and Gasoline </w:t>
      </w:r>
      <w:r w:rsidR="00AA6E6F">
        <w:rPr>
          <w:rFonts w:ascii="Times New Roman" w:eastAsia="Calibri" w:hAnsi="Times New Roman" w:cs="Times New Roman"/>
          <w:b/>
          <w:sz w:val="24"/>
          <w:szCs w:val="24"/>
        </w:rPr>
        <w:t>Crack Spread Contracts</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AA6E6F">
        <w:rPr>
          <w:rFonts w:ascii="Times New Roman" w:eastAsia="Calibri" w:hAnsi="Times New Roman" w:cs="Times New Roman"/>
          <w:b/>
          <w:sz w:val="24"/>
          <w:szCs w:val="24"/>
          <w:u w:val="single"/>
        </w:rPr>
        <w:t>67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EE5B43" w:rsidRDefault="006F47E5" w:rsidP="00B41EA5">
      <w:pPr>
        <w:pStyle w:val="Default"/>
        <w:ind w:firstLine="1310"/>
      </w:pPr>
      <w:r w:rsidRPr="00352533">
        <w:rPr>
          <w:rFonts w:eastAsia="Calibri"/>
        </w:rPr>
        <w:t>Pursuant to Section 5c(c)(1) of the Commodity Exchange Act, as amended (“</w:t>
      </w:r>
      <w:r w:rsidRPr="00352533">
        <w:rPr>
          <w:rFonts w:eastAsia="Calibri"/>
          <w:u w:val="single"/>
        </w:rPr>
        <w:t>Act</w:t>
      </w:r>
      <w:r w:rsidRPr="00352533">
        <w:rPr>
          <w:rFonts w:eastAsia="Calibri"/>
        </w:rPr>
        <w:t xml:space="preserve">”), and </w:t>
      </w:r>
      <w:r w:rsidRPr="009E608F">
        <w:rPr>
          <w:rFonts w:eastAsia="Calibri"/>
        </w:rPr>
        <w:t xml:space="preserve">Section </w:t>
      </w:r>
      <w:r w:rsidRPr="009E608F">
        <w:t xml:space="preserve">40.6 </w:t>
      </w:r>
      <w:r w:rsidRPr="009E608F">
        <w:rPr>
          <w:rFonts w:eastAsia="Calibri"/>
        </w:rPr>
        <w:t>of the Commission’s regulations thereunder, NASDAQ Futures, Inc. (“</w:t>
      </w:r>
      <w:r w:rsidRPr="009E608F">
        <w:rPr>
          <w:rFonts w:eastAsia="Calibri"/>
          <w:u w:val="single"/>
        </w:rPr>
        <w:t>NFX</w:t>
      </w:r>
      <w:r w:rsidRPr="009E608F">
        <w:rPr>
          <w:rFonts w:eastAsia="Calibri"/>
        </w:rPr>
        <w:t>” or “</w:t>
      </w:r>
      <w:r w:rsidRPr="009E608F">
        <w:rPr>
          <w:rFonts w:eastAsia="Calibri"/>
          <w:u w:val="single"/>
        </w:rPr>
        <w:t>Exchange</w:t>
      </w:r>
      <w:r w:rsidRPr="009E608F">
        <w:rPr>
          <w:rFonts w:eastAsia="Calibri"/>
        </w:rPr>
        <w:t xml:space="preserve">”) </w:t>
      </w:r>
      <w:r w:rsidR="00EE5B43">
        <w:rPr>
          <w:rFonts w:eastAsia="Calibri"/>
        </w:rPr>
        <w:t xml:space="preserve">is amending </w:t>
      </w:r>
      <w:r w:rsidR="009E608F" w:rsidRPr="009E608F">
        <w:rPr>
          <w:rFonts w:eastAsia="Calibri"/>
        </w:rPr>
        <w:t>its fee schedule</w:t>
      </w:r>
      <w:r w:rsidR="00B41EA5">
        <w:rPr>
          <w:rFonts w:eastAsia="Calibri"/>
        </w:rPr>
        <w:t xml:space="preserve"> in connection with the listing of  </w:t>
      </w:r>
      <w:r w:rsidR="00B41EA5" w:rsidRPr="003E2E23">
        <w:rPr>
          <w:rFonts w:eastAsia="Calibri"/>
        </w:rPr>
        <w:t xml:space="preserve">NFX Gasoil Crack Financial Futures (in BBLS) - Low Sulphur Gasoil 1st Line vs. Brent 1st </w:t>
      </w:r>
      <w:r w:rsidR="00B41EA5" w:rsidRPr="00B41EA5">
        <w:rPr>
          <w:rFonts w:eastAsia="Calibri"/>
        </w:rPr>
        <w:t>Line (GZQ), and NFX Gasoline Crack Financial Futures (in BBLS) - RBOB Gasoline 1st Line vs Brent 1st Line (RBRQ) (together, the “</w:t>
      </w:r>
      <w:r w:rsidR="00B41EA5" w:rsidRPr="00B41EA5">
        <w:rPr>
          <w:rFonts w:eastAsia="Calibri"/>
          <w:u w:val="single"/>
        </w:rPr>
        <w:t>New Contracts</w:t>
      </w:r>
      <w:r w:rsidR="00B41EA5" w:rsidRPr="00B41EA5">
        <w:rPr>
          <w:rFonts w:eastAsia="Calibri"/>
        </w:rPr>
        <w:t>”)</w:t>
      </w:r>
      <w:r w:rsidR="009E608F" w:rsidRPr="00B41EA5">
        <w:rPr>
          <w:rFonts w:eastAsia="Calibri"/>
        </w:rPr>
        <w:t xml:space="preserve">.  </w:t>
      </w:r>
      <w:r w:rsidR="00B41EA5" w:rsidRPr="00B41EA5">
        <w:t xml:space="preserve"> The Exchange anticipates listing the New Contracts beginning J</w:t>
      </w:r>
      <w:r w:rsidR="00B41EA5">
        <w:t>uly 25</w:t>
      </w:r>
      <w:r w:rsidR="00B41EA5" w:rsidRPr="00B41EA5">
        <w:t>, 2016, for trade date J</w:t>
      </w:r>
      <w:r w:rsidR="00B41EA5">
        <w:t>uly 26</w:t>
      </w:r>
      <w:r w:rsidR="00B41EA5" w:rsidRPr="00B41EA5">
        <w:t>, 2016.</w:t>
      </w:r>
      <w:r w:rsidR="00EE5B43">
        <w:rPr>
          <w:rStyle w:val="FootnoteReference"/>
        </w:rPr>
        <w:footnoteReference w:id="1"/>
      </w:r>
      <w:r w:rsidR="00EE5B43">
        <w:t xml:space="preserve"> </w:t>
      </w:r>
      <w:r w:rsidR="00B41EA5" w:rsidRPr="00B41EA5">
        <w:rPr>
          <w:position w:val="8"/>
          <w:vertAlign w:val="superscript"/>
        </w:rPr>
        <w:t xml:space="preserve"> </w:t>
      </w:r>
      <w:r w:rsidR="00B41EA5" w:rsidRPr="00B41EA5">
        <w:t xml:space="preserve">The fee schedule amendments, attached hereto as </w:t>
      </w:r>
      <w:r w:rsidR="00B41EA5" w:rsidRPr="00B41EA5">
        <w:rPr>
          <w:u w:val="single"/>
        </w:rPr>
        <w:t>Exhibit 1</w:t>
      </w:r>
      <w:r w:rsidR="00B41EA5" w:rsidRPr="00B41EA5">
        <w:t xml:space="preserve">, will be effective on the listing of the New Contracts and are explained </w:t>
      </w:r>
    </w:p>
    <w:p w:rsidR="009E608F" w:rsidRDefault="00B41EA5" w:rsidP="00EE5B43">
      <w:pPr>
        <w:pStyle w:val="Default"/>
      </w:pPr>
      <w:r w:rsidRPr="00B41EA5">
        <w:t>briefly below.</w:t>
      </w:r>
    </w:p>
    <w:p w:rsidR="00EE5B43" w:rsidRDefault="00EE5B43" w:rsidP="00EE5B43">
      <w:pPr>
        <w:pStyle w:val="Default"/>
      </w:pPr>
    </w:p>
    <w:p w:rsidR="00EE5B43" w:rsidRPr="00B41EA5" w:rsidRDefault="00EE5B43" w:rsidP="00EE5B43">
      <w:pPr>
        <w:pStyle w:val="Default"/>
        <w:rPr>
          <w:rFonts w:eastAsia="Calibri"/>
        </w:rPr>
      </w:pPr>
    </w:p>
    <w:p w:rsidR="007B22D8" w:rsidRPr="00B41EA5" w:rsidRDefault="007B22D8" w:rsidP="009E608F">
      <w:pPr>
        <w:pStyle w:val="NoSpacing"/>
        <w:ind w:firstLine="1310"/>
        <w:rPr>
          <w:rFonts w:ascii="Times New Roman" w:eastAsia="Calibri" w:hAnsi="Times New Roman" w:cs="Times New Roman"/>
          <w:sz w:val="24"/>
          <w:szCs w:val="24"/>
        </w:rPr>
      </w:pPr>
    </w:p>
    <w:p w:rsidR="00B41EA5" w:rsidRPr="00B41EA5" w:rsidRDefault="003F5E25" w:rsidP="003F5E25">
      <w:pPr>
        <w:pStyle w:val="NoSpacing"/>
        <w:ind w:firstLine="1310"/>
        <w:rPr>
          <w:rFonts w:ascii="Times New Roman" w:eastAsia="Calibri" w:hAnsi="Times New Roman" w:cs="Times New Roman"/>
          <w:sz w:val="24"/>
          <w:szCs w:val="24"/>
          <w:u w:val="single"/>
        </w:rPr>
      </w:pPr>
      <w:r>
        <w:rPr>
          <w:rFonts w:ascii="Times New Roman" w:eastAsia="Calibri" w:hAnsi="Times New Roman" w:cs="Times New Roman"/>
          <w:sz w:val="24"/>
          <w:szCs w:val="24"/>
        </w:rPr>
        <w:lastRenderedPageBreak/>
        <w:t xml:space="preserve">           </w:t>
      </w:r>
      <w:r w:rsidR="00B41EA5" w:rsidRPr="00B41EA5">
        <w:rPr>
          <w:rFonts w:ascii="Times New Roman" w:eastAsia="Calibri" w:hAnsi="Times New Roman" w:cs="Times New Roman"/>
          <w:sz w:val="24"/>
          <w:szCs w:val="24"/>
          <w:u w:val="single"/>
        </w:rPr>
        <w:t>Base Transaction Fees</w:t>
      </w:r>
      <w:r>
        <w:rPr>
          <w:rFonts w:ascii="Times New Roman" w:eastAsia="Calibri" w:hAnsi="Times New Roman" w:cs="Times New Roman"/>
          <w:sz w:val="24"/>
          <w:szCs w:val="24"/>
          <w:u w:val="single"/>
        </w:rPr>
        <w:t xml:space="preserve"> and Block Trade/EFRP Surcharges</w:t>
      </w:r>
    </w:p>
    <w:p w:rsidR="00B41EA5" w:rsidRDefault="00B41EA5" w:rsidP="00B41EA5">
      <w:pPr>
        <w:pStyle w:val="NoSpacing"/>
        <w:ind w:firstLine="1310"/>
        <w:rPr>
          <w:rFonts w:ascii="Times New Roman" w:eastAsia="Calibri" w:hAnsi="Times New Roman" w:cs="Times New Roman"/>
          <w:sz w:val="24"/>
          <w:szCs w:val="24"/>
        </w:rPr>
      </w:pPr>
    </w:p>
    <w:p w:rsidR="003F5E25"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t xml:space="preserve">Currently, the Exchange assesses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that vary by contract. The Base Transaction Fee is assessed per cleared side, on a trade date basis, to the Clearing Futures Participant for the execution that is identified on the trade record for the applicable transaction, regardless of whether the trade is given up to another Clearing Futures Participant for clearing.</w:t>
      </w:r>
      <w:r>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The Base Transaction Fee is a combined charge for Exchange execution and for The Options Clearing Corporation (“</w:t>
      </w:r>
      <w:r w:rsidRPr="001501A2">
        <w:rPr>
          <w:rFonts w:ascii="Times New Roman" w:eastAsia="Calibri" w:hAnsi="Times New Roman" w:cs="Times New Roman"/>
          <w:sz w:val="24"/>
          <w:szCs w:val="24"/>
          <w:u w:val="single"/>
        </w:rPr>
        <w:t>OCC</w:t>
      </w:r>
      <w:r w:rsidRPr="00B41EA5">
        <w:rPr>
          <w:rFonts w:ascii="Times New Roman" w:eastAsia="Calibri" w:hAnsi="Times New Roman" w:cs="Times New Roman"/>
          <w:sz w:val="24"/>
          <w:szCs w:val="24"/>
        </w:rPr>
        <w:t>”) clearing fee.</w:t>
      </w:r>
      <w:r w:rsidR="00EE5B43">
        <w:rPr>
          <w:rStyle w:val="FootnoteReference"/>
          <w:rFonts w:ascii="Times New Roman" w:eastAsia="Calibri" w:hAnsi="Times New Roman" w:cs="Times New Roman"/>
          <w:sz w:val="24"/>
          <w:szCs w:val="24"/>
        </w:rPr>
        <w:footnoteReference w:id="2"/>
      </w:r>
      <w:r w:rsidRPr="00B41EA5">
        <w:rPr>
          <w:rFonts w:ascii="Times New Roman" w:eastAsia="Calibri" w:hAnsi="Times New Roman" w:cs="Times New Roman"/>
          <w:sz w:val="24"/>
          <w:szCs w:val="24"/>
        </w:rPr>
        <w:t xml:space="preserve"> </w:t>
      </w:r>
      <w:r w:rsidR="001501A2">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 xml:space="preserve">The Exchange will now assess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 xml:space="preserve">for transactions in the New Contracts, at the </w:t>
      </w:r>
      <w:r w:rsidR="001501A2">
        <w:rPr>
          <w:rFonts w:ascii="Times New Roman" w:eastAsia="Calibri" w:hAnsi="Times New Roman" w:cs="Times New Roman"/>
          <w:sz w:val="24"/>
          <w:szCs w:val="24"/>
        </w:rPr>
        <w:t>same levels that currently apply to all listed NFX oil and refined products, as</w:t>
      </w:r>
      <w:r w:rsidRPr="00B41EA5">
        <w:rPr>
          <w:rFonts w:ascii="Times New Roman" w:eastAsia="Calibri" w:hAnsi="Times New Roman" w:cs="Times New Roman"/>
          <w:sz w:val="24"/>
          <w:szCs w:val="24"/>
        </w:rPr>
        <w:t xml:space="preserve"> set forth on </w:t>
      </w:r>
      <w:r w:rsidRPr="001501A2">
        <w:rPr>
          <w:rFonts w:ascii="Times New Roman" w:eastAsia="Calibri" w:hAnsi="Times New Roman" w:cs="Times New Roman"/>
          <w:sz w:val="24"/>
          <w:szCs w:val="24"/>
          <w:u w:val="single"/>
        </w:rPr>
        <w:t>Exhibit 1</w:t>
      </w:r>
      <w:r w:rsidRPr="00B41EA5">
        <w:rPr>
          <w:rFonts w:ascii="Times New Roman" w:eastAsia="Calibri" w:hAnsi="Times New Roman" w:cs="Times New Roman"/>
          <w:sz w:val="24"/>
          <w:szCs w:val="24"/>
        </w:rPr>
        <w:t xml:space="preserve">. </w:t>
      </w:r>
    </w:p>
    <w:p w:rsidR="003F5E25" w:rsidRDefault="003F5E25" w:rsidP="00B41EA5">
      <w:pPr>
        <w:pStyle w:val="NoSpacing"/>
        <w:ind w:firstLine="1310"/>
        <w:rPr>
          <w:rFonts w:ascii="Times New Roman" w:eastAsia="Calibri" w:hAnsi="Times New Roman" w:cs="Times New Roman"/>
          <w:sz w:val="24"/>
          <w:szCs w:val="24"/>
        </w:rPr>
      </w:pPr>
    </w:p>
    <w:p w:rsidR="00CB2034" w:rsidRPr="00A57EED"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t>To the extent applicable, the New Client Transaction Fee</w:t>
      </w:r>
      <w:r w:rsidR="003F5E25">
        <w:rPr>
          <w:rFonts w:ascii="Times New Roman" w:eastAsia="Calibri" w:hAnsi="Times New Roman" w:cs="Times New Roman"/>
          <w:sz w:val="24"/>
          <w:szCs w:val="24"/>
        </w:rPr>
        <w:t xml:space="preserve"> and the </w:t>
      </w:r>
      <w:r w:rsidRPr="00B41EA5">
        <w:rPr>
          <w:rFonts w:ascii="Times New Roman" w:eastAsia="Calibri" w:hAnsi="Times New Roman" w:cs="Times New Roman"/>
          <w:sz w:val="24"/>
          <w:szCs w:val="24"/>
        </w:rPr>
        <w:t>Designated Market Maker Fee Waiver will apply to transactions in the New Contracts in the same manner they apply to transactions in all existing contracts.</w:t>
      </w:r>
      <w:r w:rsidR="00EE5B43">
        <w:rPr>
          <w:rStyle w:val="FootnoteReference"/>
          <w:rFonts w:ascii="Times New Roman" w:eastAsia="Calibri" w:hAnsi="Times New Roman" w:cs="Times New Roman"/>
          <w:sz w:val="24"/>
          <w:szCs w:val="24"/>
        </w:rPr>
        <w:footnoteReference w:id="3"/>
      </w:r>
    </w:p>
    <w:p w:rsidR="00CB2034" w:rsidRPr="00A57EED" w:rsidRDefault="00CB2034" w:rsidP="00CB2034">
      <w:pPr>
        <w:pStyle w:val="NoSpacing"/>
        <w:ind w:firstLine="1310"/>
        <w:rPr>
          <w:rFonts w:ascii="Times New Roman" w:eastAsia="Calibri" w:hAnsi="Times New Roman" w:cs="Times New Roman"/>
          <w:sz w:val="24"/>
          <w:szCs w:val="24"/>
        </w:rPr>
      </w:pPr>
    </w:p>
    <w:p w:rsidR="00CB2034" w:rsidRPr="00A57EED" w:rsidRDefault="00CB2034" w:rsidP="00CB2034">
      <w:pPr>
        <w:pStyle w:val="NoSpacing"/>
        <w:ind w:firstLine="1310"/>
        <w:rPr>
          <w:rFonts w:ascii="Times New Roman" w:eastAsia="Calibri" w:hAnsi="Times New Roman" w:cs="Times New Roman"/>
          <w:sz w:val="24"/>
          <w:szCs w:val="24"/>
        </w:rPr>
      </w:pPr>
    </w:p>
    <w:p w:rsidR="007B22D8" w:rsidRPr="00A57EED" w:rsidRDefault="007B22D8" w:rsidP="007B22D8">
      <w:pPr>
        <w:autoSpaceDE w:val="0"/>
        <w:autoSpaceDN w:val="0"/>
        <w:adjustRightInd w:val="0"/>
        <w:spacing w:after="0" w:line="240" w:lineRule="auto"/>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DCM Core Principles</w:t>
      </w:r>
    </w:p>
    <w:p w:rsidR="007B22D8" w:rsidRPr="00A57EED" w:rsidRDefault="007B22D8" w:rsidP="00997B22">
      <w:pPr>
        <w:autoSpaceDE w:val="0"/>
        <w:autoSpaceDN w:val="0"/>
        <w:adjustRightInd w:val="0"/>
        <w:spacing w:after="0" w:line="240" w:lineRule="auto"/>
        <w:ind w:firstLine="1310"/>
        <w:rPr>
          <w:rFonts w:ascii="Times New Roman" w:hAnsi="Times New Roman" w:cs="Times New Roman"/>
          <w:sz w:val="24"/>
          <w:szCs w:val="24"/>
        </w:rPr>
      </w:pPr>
    </w:p>
    <w:p w:rsidR="008A2D54" w:rsidRPr="00A57EED" w:rsidRDefault="009E608F" w:rsidP="00997B22">
      <w:pPr>
        <w:autoSpaceDE w:val="0"/>
        <w:autoSpaceDN w:val="0"/>
        <w:adjustRightInd w:val="0"/>
        <w:spacing w:after="0" w:line="240" w:lineRule="auto"/>
        <w:ind w:firstLine="1310"/>
        <w:rPr>
          <w:rFonts w:ascii="Times New Roman" w:hAnsi="Times New Roman" w:cs="Times New Roman"/>
          <w:sz w:val="24"/>
          <w:szCs w:val="24"/>
        </w:rPr>
      </w:pPr>
      <w:r w:rsidRPr="00A57EED">
        <w:rPr>
          <w:rFonts w:ascii="Times New Roman" w:hAnsi="Times New Roman" w:cs="Times New Roman"/>
          <w:sz w:val="24"/>
          <w:szCs w:val="24"/>
        </w:rPr>
        <w:lastRenderedPageBreak/>
        <w:t>The Exchange believes the fee schedule amendments are consistent with Designated Contract Market (“</w:t>
      </w:r>
      <w:r w:rsidRPr="00A57EED">
        <w:rPr>
          <w:rFonts w:ascii="Times New Roman" w:hAnsi="Times New Roman" w:cs="Times New Roman"/>
          <w:sz w:val="24"/>
          <w:szCs w:val="24"/>
          <w:u w:val="single"/>
        </w:rPr>
        <w:t>DCM</w:t>
      </w:r>
      <w:r w:rsidRPr="00A57EED">
        <w:rPr>
          <w:rFonts w:ascii="Times New Roman" w:hAnsi="Times New Roman" w:cs="Times New Roman"/>
          <w:sz w:val="24"/>
          <w:szCs w:val="24"/>
        </w:rPr>
        <w:t>”) Core Principles</w:t>
      </w:r>
      <w:r w:rsidR="007B22D8" w:rsidRPr="00A57EED">
        <w:rPr>
          <w:rFonts w:ascii="Times New Roman" w:hAnsi="Times New Roman" w:cs="Times New Roman"/>
          <w:sz w:val="24"/>
          <w:szCs w:val="24"/>
        </w:rPr>
        <w:t>.</w:t>
      </w:r>
      <w:r w:rsidR="008A2D54" w:rsidRPr="00A57EED">
        <w:rPr>
          <w:rFonts w:ascii="Times New Roman" w:hAnsi="Times New Roman" w:cs="Times New Roman"/>
          <w:sz w:val="24"/>
          <w:szCs w:val="24"/>
        </w:rPr>
        <w:t xml:space="preserve">  T</w:t>
      </w:r>
      <w:r w:rsidR="007B22D8" w:rsidRPr="00A57EED">
        <w:rPr>
          <w:rFonts w:ascii="Times New Roman" w:hAnsi="Times New Roman" w:cs="Times New Roman"/>
          <w:sz w:val="24"/>
          <w:szCs w:val="24"/>
        </w:rPr>
        <w:t xml:space="preserve">he Exchange will publish the amended </w:t>
      </w:r>
      <w:r w:rsidR="00990E66" w:rsidRPr="00A57EED">
        <w:rPr>
          <w:rFonts w:ascii="Times New Roman" w:hAnsi="Times New Roman" w:cs="Times New Roman"/>
          <w:sz w:val="24"/>
          <w:szCs w:val="24"/>
        </w:rPr>
        <w:t>fee s</w:t>
      </w:r>
      <w:r w:rsidR="007B22D8" w:rsidRPr="00A57EED">
        <w:rPr>
          <w:rFonts w:ascii="Times New Roman" w:hAnsi="Times New Roman" w:cs="Times New Roman"/>
          <w:sz w:val="24"/>
          <w:szCs w:val="24"/>
        </w:rPr>
        <w:t xml:space="preserve">chedule on its website to ensure that market participants </w:t>
      </w:r>
      <w:r w:rsidR="00B41EA5">
        <w:rPr>
          <w:rFonts w:ascii="Times New Roman" w:hAnsi="Times New Roman" w:cs="Times New Roman"/>
          <w:sz w:val="24"/>
          <w:szCs w:val="24"/>
        </w:rPr>
        <w:t xml:space="preserve">have been advised of the Base Transaction Fees </w:t>
      </w:r>
      <w:r w:rsidR="001501A2">
        <w:rPr>
          <w:rFonts w:ascii="Times New Roman" w:hAnsi="Times New Roman" w:cs="Times New Roman"/>
          <w:sz w:val="24"/>
          <w:szCs w:val="24"/>
        </w:rPr>
        <w:t xml:space="preserve">and the Block Trade/EFRP Surcharge </w:t>
      </w:r>
      <w:r w:rsidR="00B41EA5">
        <w:rPr>
          <w:rFonts w:ascii="Times New Roman" w:hAnsi="Times New Roman" w:cs="Times New Roman"/>
          <w:sz w:val="24"/>
          <w:szCs w:val="24"/>
        </w:rPr>
        <w:t>for the New Contracts</w:t>
      </w:r>
      <w:r w:rsidR="007B22D8" w:rsidRPr="00A57EED">
        <w:rPr>
          <w:rFonts w:ascii="Times New Roman" w:hAnsi="Times New Roman" w:cs="Times New Roman"/>
          <w:sz w:val="24"/>
          <w:szCs w:val="24"/>
        </w:rPr>
        <w:t xml:space="preserve">. </w:t>
      </w:r>
      <w:r w:rsidR="008A2D54" w:rsidRPr="00A57EED">
        <w:rPr>
          <w:rFonts w:ascii="Times New Roman" w:hAnsi="Times New Roman" w:cs="Times New Roman"/>
          <w:sz w:val="24"/>
          <w:szCs w:val="24"/>
        </w:rPr>
        <w:t xml:space="preserve"> </w:t>
      </w:r>
      <w:r w:rsidR="001501A2">
        <w:rPr>
          <w:rFonts w:ascii="Times New Roman" w:hAnsi="Times New Roman" w:cs="Times New Roman"/>
          <w:sz w:val="24"/>
          <w:szCs w:val="24"/>
        </w:rPr>
        <w:t xml:space="preserve">The Exchange believes </w:t>
      </w:r>
      <w:r w:rsidR="006F30AF" w:rsidRPr="00A57EED">
        <w:rPr>
          <w:rFonts w:ascii="Times New Roman" w:hAnsi="Times New Roman" w:cs="Times New Roman"/>
          <w:sz w:val="24"/>
          <w:szCs w:val="24"/>
        </w:rPr>
        <w:t>the level at which the fees are set is reasonable and furthers</w:t>
      </w:r>
      <w:r w:rsidR="006F30AF" w:rsidRPr="00A57EED">
        <w:rPr>
          <w:rFonts w:ascii="Times New Roman" w:eastAsia="Times New Roman" w:hAnsi="Times New Roman" w:cs="Times New Roman"/>
        </w:rPr>
        <w:t xml:space="preserve"> the Exchange’s goal of offering products to the marketplace that are competitively priced.  </w:t>
      </w:r>
      <w:r w:rsidR="007B22D8" w:rsidRPr="00A57EED">
        <w:rPr>
          <w:rFonts w:ascii="Times New Roman" w:hAnsi="Times New Roman" w:cs="Times New Roman"/>
          <w:sz w:val="24"/>
          <w:szCs w:val="24"/>
        </w:rPr>
        <w:t xml:space="preserve">The </w:t>
      </w:r>
      <w:r w:rsidR="008A2D54" w:rsidRPr="00A57EED">
        <w:rPr>
          <w:rFonts w:ascii="Times New Roman" w:hAnsi="Times New Roman" w:cs="Times New Roman"/>
          <w:sz w:val="24"/>
          <w:szCs w:val="24"/>
        </w:rPr>
        <w:t xml:space="preserve">revenue generated by the </w:t>
      </w:r>
      <w:r w:rsidR="007B22D8" w:rsidRPr="00A57EED">
        <w:rPr>
          <w:rFonts w:ascii="Times New Roman" w:hAnsi="Times New Roman" w:cs="Times New Roman"/>
          <w:sz w:val="24"/>
          <w:szCs w:val="24"/>
        </w:rPr>
        <w:t xml:space="preserve">proposed </w:t>
      </w:r>
      <w:r w:rsidR="008A2D54" w:rsidRPr="00A57EED">
        <w:rPr>
          <w:rFonts w:ascii="Times New Roman" w:hAnsi="Times New Roman" w:cs="Times New Roman"/>
          <w:sz w:val="24"/>
          <w:szCs w:val="24"/>
        </w:rPr>
        <w:t>fees</w:t>
      </w:r>
      <w:r w:rsidR="007B22D8" w:rsidRPr="00A57EED">
        <w:rPr>
          <w:rFonts w:ascii="Times New Roman" w:hAnsi="Times New Roman" w:cs="Times New Roman"/>
          <w:sz w:val="24"/>
          <w:szCs w:val="24"/>
        </w:rPr>
        <w:t xml:space="preserve"> will enhance the Exchange’s ability to discharge its financial, operational and managerial responsibilities as a DCM.</w:t>
      </w:r>
      <w:r w:rsidR="008A2D54" w:rsidRPr="00A57EED">
        <w:rPr>
          <w:rFonts w:ascii="Times New Roman" w:hAnsi="Times New Roman" w:cs="Times New Roman"/>
          <w:sz w:val="24"/>
          <w:szCs w:val="24"/>
        </w:rPr>
        <w:t xml:space="preserve">  </w:t>
      </w:r>
    </w:p>
    <w:p w:rsidR="006F30AF" w:rsidRPr="00A57EED" w:rsidRDefault="006F30AF" w:rsidP="00997B22">
      <w:pPr>
        <w:autoSpaceDE w:val="0"/>
        <w:autoSpaceDN w:val="0"/>
        <w:adjustRightInd w:val="0"/>
        <w:spacing w:after="0" w:line="240" w:lineRule="auto"/>
        <w:ind w:firstLine="1310"/>
        <w:rPr>
          <w:rFonts w:ascii="Times New Roman" w:eastAsia="Times New Roman" w:hAnsi="Times New Roman" w:cs="Times New Roman"/>
        </w:rPr>
      </w:pPr>
    </w:p>
    <w:p w:rsidR="00BA12EA" w:rsidRPr="00A57EED" w:rsidRDefault="007B22D8" w:rsidP="007B22D8">
      <w:pPr>
        <w:pStyle w:val="Default"/>
        <w:jc w:val="center"/>
        <w:rPr>
          <w:rFonts w:eastAsia="Calibri"/>
        </w:rPr>
      </w:pPr>
      <w:r w:rsidRPr="00A57EED">
        <w:rPr>
          <w:bCs/>
          <w:color w:val="auto"/>
          <w:szCs w:val="23"/>
          <w:u w:val="single"/>
        </w:rPr>
        <w:t>Certification</w:t>
      </w:r>
    </w:p>
    <w:p w:rsidR="00BA12EA" w:rsidRPr="00A57EED" w:rsidRDefault="00BA12EA" w:rsidP="00BA12EA">
      <w:pPr>
        <w:pStyle w:val="Default"/>
        <w:ind w:left="2620"/>
        <w:rPr>
          <w:color w:val="auto"/>
        </w:rPr>
      </w:pPr>
    </w:p>
    <w:p w:rsidR="00BA12EA" w:rsidRPr="00A57EED" w:rsidRDefault="00BA12EA" w:rsidP="00BA12EA">
      <w:pPr>
        <w:pStyle w:val="PlainText"/>
        <w:ind w:firstLine="1310"/>
        <w:rPr>
          <w:rFonts w:ascii="Times New Roman" w:eastAsia="Calibri" w:hAnsi="Times New Roman"/>
          <w:sz w:val="24"/>
          <w:szCs w:val="24"/>
        </w:rPr>
      </w:pPr>
      <w:r w:rsidRPr="00A57EED">
        <w:rPr>
          <w:rFonts w:ascii="Times New Roman" w:hAnsi="Times New Roman"/>
          <w:sz w:val="24"/>
          <w:szCs w:val="23"/>
        </w:rPr>
        <w:t xml:space="preserve">There were no opposing views among NFX’s Board of Directors, members or market participants. The Exchange hereby certifies that the </w:t>
      </w:r>
      <w:r w:rsidR="009E608F" w:rsidRPr="00A57EED">
        <w:rPr>
          <w:rFonts w:ascii="Times New Roman" w:hAnsi="Times New Roman"/>
          <w:sz w:val="24"/>
          <w:szCs w:val="23"/>
        </w:rPr>
        <w:t xml:space="preserve">fee schedule </w:t>
      </w:r>
      <w:r w:rsidR="00990E66" w:rsidRPr="00A57EED">
        <w:rPr>
          <w:rFonts w:ascii="Times New Roman" w:hAnsi="Times New Roman"/>
          <w:sz w:val="24"/>
          <w:szCs w:val="23"/>
        </w:rPr>
        <w:t xml:space="preserve">amendments </w:t>
      </w:r>
      <w:r w:rsidR="009E608F" w:rsidRPr="00A57EED">
        <w:rPr>
          <w:rFonts w:ascii="Times New Roman" w:hAnsi="Times New Roman"/>
          <w:sz w:val="24"/>
          <w:szCs w:val="23"/>
        </w:rPr>
        <w:t>as</w:t>
      </w:r>
      <w:r w:rsidRPr="00A57EED">
        <w:rPr>
          <w:rFonts w:ascii="Times New Roman" w:hAnsi="Times New Roman"/>
          <w:sz w:val="24"/>
          <w:szCs w:val="23"/>
        </w:rPr>
        <w:t xml:space="preserve"> set forth herein compl</w:t>
      </w:r>
      <w:r w:rsidR="00990E66" w:rsidRPr="00A57EED">
        <w:rPr>
          <w:rFonts w:ascii="Times New Roman" w:hAnsi="Times New Roman"/>
          <w:sz w:val="24"/>
          <w:szCs w:val="23"/>
        </w:rPr>
        <w:t>y</w:t>
      </w:r>
      <w:r w:rsidRPr="00A57EED">
        <w:rPr>
          <w:rFonts w:ascii="Times New Roman" w:hAnsi="Times New Roman"/>
          <w:sz w:val="24"/>
          <w:szCs w:val="23"/>
        </w:rPr>
        <w:t xml:space="preserve"> with the Act and the Commission’s regulations thereunder.  The Exchange also certifies that notice of pending certification and a copy of this submission have been concurrently posted on the Exchange’s website at </w:t>
      </w:r>
      <w:hyperlink r:id="rId11" w:history="1">
        <w:r w:rsidRPr="00A57EED">
          <w:rPr>
            <w:rStyle w:val="Hyperlink"/>
            <w:rFonts w:ascii="Times New Roman" w:hAnsi="Times New Roman"/>
            <w:sz w:val="24"/>
          </w:rPr>
          <w:t>business.nasdaq.com/futures</w:t>
        </w:r>
      </w:hyperlink>
      <w:r w:rsidRPr="00A57EED">
        <w:rPr>
          <w:rFonts w:ascii="Times New Roman" w:hAnsi="Times New Roman"/>
          <w:sz w:val="24"/>
          <w:szCs w:val="23"/>
        </w:rPr>
        <w:t>.</w:t>
      </w:r>
    </w:p>
    <w:p w:rsidR="007B1577" w:rsidRPr="00A57EED" w:rsidRDefault="007B1577" w:rsidP="008225AC">
      <w:pPr>
        <w:pStyle w:val="NoSpacing"/>
        <w:ind w:firstLine="1310"/>
        <w:rPr>
          <w:rFonts w:ascii="Times New Roman" w:eastAsia="Calibri" w:hAnsi="Times New Roman" w:cs="Times New Roman"/>
          <w:sz w:val="24"/>
          <w:szCs w:val="24"/>
        </w:rPr>
      </w:pPr>
    </w:p>
    <w:p w:rsidR="00EC1F98" w:rsidRPr="00A57EED" w:rsidRDefault="005444C0" w:rsidP="00B01B83">
      <w:pPr>
        <w:keepNext/>
        <w:spacing w:after="0" w:line="240" w:lineRule="auto"/>
        <w:ind w:firstLine="1310"/>
        <w:rPr>
          <w:rFonts w:ascii="Times New Roman" w:hAnsi="Times New Roman" w:cs="Times New Roman"/>
          <w:spacing w:val="-6"/>
          <w:sz w:val="24"/>
          <w:szCs w:val="24"/>
        </w:rPr>
      </w:pPr>
      <w:r w:rsidRPr="00A57EED">
        <w:rPr>
          <w:rFonts w:ascii="Times New Roman" w:eastAsia="Calibri" w:hAnsi="Times New Roman" w:cs="Times New Roman"/>
          <w:sz w:val="24"/>
          <w:szCs w:val="24"/>
        </w:rPr>
        <w:t xml:space="preserve">If you require any additional information regarding the submission, please </w:t>
      </w:r>
      <w:r w:rsidR="00E67374" w:rsidRPr="00A57EED">
        <w:rPr>
          <w:rFonts w:ascii="Times New Roman" w:hAnsi="Times New Roman" w:cs="Times New Roman"/>
          <w:sz w:val="24"/>
          <w:szCs w:val="24"/>
        </w:rPr>
        <w:t>contact</w:t>
      </w:r>
      <w:r w:rsidR="00E67374" w:rsidRPr="00A57EED">
        <w:rPr>
          <w:rFonts w:ascii="Times New Roman" w:hAnsi="Times New Roman" w:cs="Times New Roman"/>
          <w:spacing w:val="-6"/>
          <w:sz w:val="24"/>
          <w:szCs w:val="24"/>
        </w:rPr>
        <w:t xml:space="preserve"> Carla Behnfeldt at (215) 496-5208 </w:t>
      </w:r>
      <w:r w:rsidR="00E67374" w:rsidRPr="00A57EED">
        <w:rPr>
          <w:rFonts w:ascii="Times New Roman" w:hAnsi="Times New Roman" w:cs="Times New Roman"/>
          <w:sz w:val="24"/>
          <w:szCs w:val="24"/>
        </w:rPr>
        <w:t>or</w:t>
      </w:r>
      <w:r w:rsidR="00E67374" w:rsidRPr="00A57EED">
        <w:rPr>
          <w:rFonts w:ascii="Times New Roman" w:hAnsi="Times New Roman" w:cs="Times New Roman"/>
          <w:spacing w:val="-6"/>
          <w:sz w:val="24"/>
          <w:szCs w:val="24"/>
        </w:rPr>
        <w:t xml:space="preserve"> </w:t>
      </w:r>
      <w:r w:rsidR="005B3A86" w:rsidRPr="00A57EED">
        <w:rPr>
          <w:rFonts w:ascii="Times New Roman" w:hAnsi="Times New Roman" w:cs="Times New Roman"/>
          <w:sz w:val="24"/>
          <w:szCs w:val="24"/>
        </w:rPr>
        <w:t>carla.behnfeldt@nasdaq.com</w:t>
      </w:r>
      <w:r w:rsidR="005B3A86" w:rsidRPr="00A57EED">
        <w:rPr>
          <w:rFonts w:ascii="Times New Roman" w:hAnsi="Times New Roman" w:cs="Times New Roman"/>
          <w:spacing w:val="-6"/>
          <w:sz w:val="24"/>
          <w:szCs w:val="24"/>
        </w:rPr>
        <w:t xml:space="preserve">. </w:t>
      </w:r>
      <w:r w:rsidR="000277E6"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Please</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refer</w:t>
      </w:r>
      <w:r w:rsidR="00304F17" w:rsidRPr="00A57EED">
        <w:rPr>
          <w:rFonts w:ascii="Times New Roman" w:hAnsi="Times New Roman" w:cs="Times New Roman"/>
          <w:sz w:val="24"/>
          <w:szCs w:val="24"/>
        </w:rPr>
        <w:t xml:space="preserve"> to</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SR-NFX-201</w:t>
      </w:r>
      <w:r w:rsidR="001C4306" w:rsidRPr="00A57EED">
        <w:rPr>
          <w:rFonts w:ascii="Times New Roman" w:hAnsi="Times New Roman" w:cs="Times New Roman"/>
          <w:sz w:val="24"/>
          <w:szCs w:val="24"/>
        </w:rPr>
        <w:t>6</w:t>
      </w:r>
      <w:r w:rsidR="00E67374" w:rsidRPr="00A57EED">
        <w:rPr>
          <w:rFonts w:ascii="Times New Roman" w:hAnsi="Times New Roman" w:cs="Times New Roman"/>
          <w:sz w:val="24"/>
          <w:szCs w:val="24"/>
        </w:rPr>
        <w:t>-</w:t>
      </w:r>
      <w:r w:rsidR="003E50A4" w:rsidRPr="00A57EED">
        <w:rPr>
          <w:rFonts w:ascii="Times New Roman" w:hAnsi="Times New Roman" w:cs="Times New Roman"/>
          <w:sz w:val="24"/>
          <w:szCs w:val="24"/>
        </w:rPr>
        <w:t>6</w:t>
      </w:r>
      <w:r w:rsidR="00AA6E6F">
        <w:rPr>
          <w:rFonts w:ascii="Times New Roman" w:hAnsi="Times New Roman" w:cs="Times New Roman"/>
          <w:sz w:val="24"/>
          <w:szCs w:val="24"/>
        </w:rPr>
        <w:t>7</w:t>
      </w:r>
      <w:r w:rsidR="00E67374" w:rsidRPr="00A57EED">
        <w:rPr>
          <w:rFonts w:ascii="Times New Roman" w:hAnsi="Times New Roman" w:cs="Times New Roman"/>
          <w:spacing w:val="-9"/>
          <w:sz w:val="24"/>
          <w:szCs w:val="24"/>
        </w:rPr>
        <w:t xml:space="preserve"> </w:t>
      </w:r>
      <w:r w:rsidRPr="00A57EED">
        <w:rPr>
          <w:rFonts w:ascii="Times New Roman" w:eastAsia="Calibri" w:hAnsi="Times New Roman" w:cs="Times New Roman"/>
          <w:sz w:val="24"/>
          <w:szCs w:val="24"/>
        </w:rPr>
        <w:t>in any related correspondence.</w:t>
      </w:r>
    </w:p>
    <w:p w:rsidR="00EC1F98" w:rsidRPr="00A57EED" w:rsidRDefault="00EC1F98" w:rsidP="00B01B83">
      <w:pPr>
        <w:pStyle w:val="NoSpacing"/>
        <w:keepNext/>
        <w:rPr>
          <w:rFonts w:ascii="Times New Roman" w:eastAsia="Times New Roman" w:hAnsi="Times New Roman" w:cs="Times New Roman"/>
          <w:sz w:val="24"/>
          <w:szCs w:val="24"/>
        </w:rPr>
      </w:pPr>
    </w:p>
    <w:p w:rsidR="00EC1F98" w:rsidRPr="00A57EED" w:rsidRDefault="00AD07B6" w:rsidP="00B01B83">
      <w:pPr>
        <w:pStyle w:val="NoSpacing"/>
        <w:keepNext/>
        <w:rPr>
          <w:rFonts w:ascii="Times New Roman" w:eastAsia="Calibri" w:hAnsi="Times New Roman" w:cs="Times New Roman"/>
          <w:sz w:val="24"/>
          <w:szCs w:val="24"/>
        </w:rPr>
      </w:pPr>
      <w:r w:rsidRPr="00A57EED">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Regards,</w:t>
      </w:r>
    </w:p>
    <w:p w:rsidR="00C628A0" w:rsidRPr="00A57EED" w:rsidRDefault="00C628A0" w:rsidP="005444C0">
      <w:pPr>
        <w:pStyle w:val="NoSpacing"/>
        <w:keepNext/>
        <w:ind w:left="2880" w:firstLine="720"/>
      </w:pPr>
    </w:p>
    <w:p w:rsidR="00EC1F98" w:rsidRPr="00A57EED" w:rsidRDefault="00EC1F98" w:rsidP="005444C0">
      <w:pPr>
        <w:pStyle w:val="NoSpacing"/>
        <w:keepNext/>
        <w:ind w:left="2880" w:firstLine="720"/>
        <w:rPr>
          <w:rFonts w:ascii="Times New Roman" w:eastAsia="Calibri" w:hAnsi="Times New Roman" w:cs="Times New Roman"/>
          <w:sz w:val="24"/>
          <w:szCs w:val="24"/>
        </w:rPr>
      </w:pPr>
    </w:p>
    <w:p w:rsidR="00AB4A64"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Daniel R. Carrigan</w:t>
      </w:r>
    </w:p>
    <w:p w:rsidR="00EC1F98" w:rsidRPr="00A57EED" w:rsidRDefault="00EC1F98" w:rsidP="00AB4A64">
      <w:pPr>
        <w:pStyle w:val="NoSpacing"/>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President</w:t>
      </w:r>
    </w:p>
    <w:p w:rsidR="00EC1F98" w:rsidRPr="00A57EED" w:rsidRDefault="00EC1F98" w:rsidP="00EC1F98">
      <w:pPr>
        <w:pStyle w:val="NoSpacing"/>
        <w:rPr>
          <w:rFonts w:ascii="Times New Roman" w:eastAsia="Calibri" w:hAnsi="Times New Roman" w:cs="Times New Roman"/>
          <w:sz w:val="24"/>
          <w:szCs w:val="24"/>
        </w:rPr>
      </w:pPr>
    </w:p>
    <w:p w:rsidR="00EC1F98" w:rsidRPr="00A57EED" w:rsidRDefault="00EC1F98" w:rsidP="00EC1F98">
      <w:pPr>
        <w:pStyle w:val="NoSpacing"/>
        <w:rPr>
          <w:rFonts w:ascii="Times New Roman" w:eastAsia="Calibri" w:hAnsi="Times New Roman" w:cs="Times New Roman"/>
          <w:sz w:val="24"/>
          <w:szCs w:val="24"/>
        </w:rPr>
      </w:pPr>
    </w:p>
    <w:p w:rsidR="00E67374" w:rsidRPr="00A57EED" w:rsidRDefault="00E67374">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t>Attachment</w:t>
      </w:r>
      <w:r w:rsidR="00940AE9" w:rsidRPr="00A57EED">
        <w:rPr>
          <w:rFonts w:ascii="Times New Roman" w:hAnsi="Times New Roman" w:cs="Times New Roman"/>
          <w:sz w:val="24"/>
          <w:szCs w:val="24"/>
        </w:rPr>
        <w:t>s</w:t>
      </w:r>
      <w:r w:rsidRPr="00A57EED">
        <w:rPr>
          <w:rFonts w:ascii="Times New Roman" w:hAnsi="Times New Roman" w:cs="Times New Roman"/>
          <w:sz w:val="24"/>
          <w:szCs w:val="24"/>
        </w:rPr>
        <w:t xml:space="preserve">: </w:t>
      </w:r>
    </w:p>
    <w:p w:rsidR="00940AE9" w:rsidRPr="00A57EED" w:rsidRDefault="00940AE9">
      <w:pPr>
        <w:spacing w:after="0" w:line="240" w:lineRule="auto"/>
        <w:rPr>
          <w:rFonts w:ascii="Times New Roman" w:hAnsi="Times New Roman" w:cs="Times New Roman"/>
          <w:sz w:val="24"/>
          <w:szCs w:val="24"/>
        </w:rPr>
      </w:pPr>
    </w:p>
    <w:p w:rsidR="0079548F" w:rsidRPr="00A57EED" w:rsidRDefault="00940AE9" w:rsidP="0079548F">
      <w:pPr>
        <w:spacing w:after="0" w:line="240" w:lineRule="auto"/>
        <w:rPr>
          <w:rFonts w:ascii="Times New Roman" w:hAnsi="Times New Roman" w:cs="Times New Roman"/>
          <w:sz w:val="24"/>
          <w:szCs w:val="24"/>
        </w:rPr>
      </w:pPr>
      <w:r w:rsidRPr="00A57EED">
        <w:rPr>
          <w:rFonts w:ascii="Times New Roman" w:hAnsi="Times New Roman" w:cs="Times New Roman"/>
          <w:sz w:val="24"/>
          <w:szCs w:val="24"/>
          <w:u w:val="single"/>
        </w:rPr>
        <w:t xml:space="preserve">Exhibit </w:t>
      </w:r>
      <w:r w:rsidR="00BD5978" w:rsidRPr="00A57EED">
        <w:rPr>
          <w:rFonts w:ascii="Times New Roman" w:hAnsi="Times New Roman" w:cs="Times New Roman"/>
          <w:sz w:val="24"/>
          <w:szCs w:val="24"/>
          <w:u w:val="single"/>
        </w:rPr>
        <w:t>1</w:t>
      </w:r>
      <w:r w:rsidRPr="00A57EED">
        <w:rPr>
          <w:rFonts w:ascii="Times New Roman" w:hAnsi="Times New Roman" w:cs="Times New Roman"/>
          <w:sz w:val="24"/>
          <w:szCs w:val="24"/>
        </w:rPr>
        <w:t>:</w:t>
      </w:r>
      <w:r w:rsidR="004F6A14" w:rsidRPr="00A57EED">
        <w:rPr>
          <w:rFonts w:ascii="Times New Roman" w:hAnsi="Times New Roman" w:cs="Times New Roman"/>
          <w:sz w:val="24"/>
          <w:szCs w:val="24"/>
        </w:rPr>
        <w:t xml:space="preserve"> </w:t>
      </w:r>
      <w:r w:rsidR="00997B22" w:rsidRPr="00A57EED">
        <w:rPr>
          <w:rFonts w:ascii="Times New Roman" w:hAnsi="Times New Roman" w:cs="Times New Roman"/>
          <w:sz w:val="24"/>
          <w:szCs w:val="24"/>
        </w:rPr>
        <w:t xml:space="preserve">NASDAQ Futures, Inc. </w:t>
      </w:r>
      <w:r w:rsidR="009E608F" w:rsidRPr="00A57EED">
        <w:rPr>
          <w:rFonts w:ascii="Times New Roman" w:hAnsi="Times New Roman" w:cs="Times New Roman"/>
          <w:sz w:val="24"/>
          <w:szCs w:val="24"/>
        </w:rPr>
        <w:t>Fee Schedule</w:t>
      </w:r>
      <w:r w:rsidR="00A57EED">
        <w:rPr>
          <w:rFonts w:ascii="Times New Roman" w:hAnsi="Times New Roman" w:cs="Times New Roman"/>
          <w:sz w:val="24"/>
          <w:szCs w:val="24"/>
        </w:rPr>
        <w:t xml:space="preserve"> Amendments</w:t>
      </w:r>
    </w:p>
    <w:p w:rsidR="000A0FF7" w:rsidRPr="00A57EED" w:rsidRDefault="00940AE9" w:rsidP="00940AE9">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0A0FF7" w:rsidP="00BA12EA">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645FA0">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br w:type="page"/>
      </w: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r w:rsidRPr="00A57EED">
        <w:rPr>
          <w:rFonts w:ascii="Times New Roman" w:eastAsia="Times New Roman" w:hAnsi="Times New Roman" w:cs="Times New Roman"/>
          <w:b/>
          <w:bCs/>
          <w:sz w:val="24"/>
          <w:szCs w:val="18"/>
          <w:u w:val="single"/>
        </w:rPr>
        <w:t>Exhibit 1 to SR-NFX-2016-</w:t>
      </w:r>
      <w:r w:rsidR="003E50A4" w:rsidRPr="00A57EED">
        <w:rPr>
          <w:rFonts w:ascii="Times New Roman" w:eastAsia="Times New Roman" w:hAnsi="Times New Roman" w:cs="Times New Roman"/>
          <w:b/>
          <w:bCs/>
          <w:sz w:val="24"/>
          <w:szCs w:val="18"/>
          <w:u w:val="single"/>
        </w:rPr>
        <w:t>6</w:t>
      </w:r>
      <w:r w:rsidR="00AA6E6F">
        <w:rPr>
          <w:rFonts w:ascii="Times New Roman" w:eastAsia="Times New Roman" w:hAnsi="Times New Roman" w:cs="Times New Roman"/>
          <w:b/>
          <w:bCs/>
          <w:sz w:val="24"/>
          <w:szCs w:val="18"/>
          <w:u w:val="single"/>
        </w:rPr>
        <w:t>7</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990E66">
      <w:pPr>
        <w:spacing w:after="15" w:line="240" w:lineRule="atLeast"/>
        <w:outlineLvl w:val="1"/>
        <w:rPr>
          <w:rFonts w:ascii="Times New Roman" w:eastAsia="Times New Roman" w:hAnsi="Times New Roman" w:cs="Times New Roman"/>
          <w:bCs/>
          <w:sz w:val="24"/>
          <w:szCs w:val="18"/>
        </w:rPr>
      </w:pPr>
      <w:r w:rsidRPr="00A57EED">
        <w:rPr>
          <w:rFonts w:ascii="Times New Roman" w:eastAsia="Times New Roman" w:hAnsi="Times New Roman" w:cs="Times New Roman"/>
          <w:bCs/>
          <w:sz w:val="24"/>
          <w:szCs w:val="18"/>
        </w:rPr>
        <w:t xml:space="preserve">                                     (additions are </w:t>
      </w:r>
      <w:r w:rsidRPr="00A57EED">
        <w:rPr>
          <w:rFonts w:ascii="Times New Roman" w:eastAsia="Times New Roman" w:hAnsi="Times New Roman" w:cs="Times New Roman"/>
          <w:bCs/>
          <w:sz w:val="24"/>
          <w:szCs w:val="18"/>
          <w:u w:val="single"/>
        </w:rPr>
        <w:t>underlined</w:t>
      </w:r>
      <w:r w:rsidRPr="00A57EED">
        <w:rPr>
          <w:rFonts w:ascii="Times New Roman" w:eastAsia="Times New Roman" w:hAnsi="Times New Roman" w:cs="Times New Roman"/>
          <w:bCs/>
          <w:sz w:val="24"/>
          <w:szCs w:val="18"/>
        </w:rPr>
        <w:t xml:space="preserve">; deletions are </w:t>
      </w:r>
      <w:r w:rsidRPr="00A57EED">
        <w:rPr>
          <w:rFonts w:ascii="Times New Roman" w:eastAsia="Times New Roman" w:hAnsi="Times New Roman" w:cs="Times New Roman"/>
          <w:bCs/>
          <w:strike/>
          <w:sz w:val="24"/>
          <w:szCs w:val="18"/>
        </w:rPr>
        <w:t>overstruck)</w:t>
      </w: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NASDAQ FUTURES</w:t>
      </w:r>
      <w:r w:rsidRPr="004C0784">
        <w:rPr>
          <w:rFonts w:ascii="Times New Roman" w:eastAsia="Times New Roman" w:hAnsi="Times New Roman" w:cs="Times New Roman"/>
          <w:b/>
          <w:bCs/>
          <w:strike/>
          <w:sz w:val="24"/>
          <w:szCs w:val="18"/>
        </w:rPr>
        <w:t>, INC.</w:t>
      </w:r>
      <w:r w:rsidRPr="00A57EED">
        <w:rPr>
          <w:rFonts w:ascii="Times New Roman" w:eastAsia="Times New Roman" w:hAnsi="Times New Roman" w:cs="Times New Roman"/>
          <w:b/>
          <w:bCs/>
          <w:sz w:val="24"/>
          <w:szCs w:val="18"/>
        </w:rPr>
        <w:t xml:space="preserve"> FEE SCHEDULE</w:t>
      </w:r>
    </w:p>
    <w:p w:rsidR="006E73DF" w:rsidRPr="00EC1D50" w:rsidRDefault="006E73DF" w:rsidP="006E73DF">
      <w:pPr>
        <w:spacing w:after="15" w:line="240" w:lineRule="atLeast"/>
        <w:jc w:val="center"/>
        <w:outlineLvl w:val="1"/>
        <w:rPr>
          <w:rFonts w:ascii="Times New Roman" w:eastAsia="Times New Roman" w:hAnsi="Times New Roman" w:cs="Times New Roman"/>
          <w:b/>
          <w:bCs/>
          <w:strike/>
          <w:sz w:val="24"/>
          <w:szCs w:val="18"/>
        </w:rPr>
      </w:pPr>
      <w:r w:rsidRPr="00EC1D50">
        <w:rPr>
          <w:rFonts w:ascii="Times New Roman" w:eastAsia="Times New Roman" w:hAnsi="Times New Roman" w:cs="Times New Roman"/>
          <w:b/>
          <w:bCs/>
          <w:strike/>
          <w:sz w:val="24"/>
          <w:szCs w:val="18"/>
        </w:rPr>
        <w:t xml:space="preserve">EFFECTIVE </w:t>
      </w:r>
      <w:r w:rsidR="008152A4" w:rsidRPr="00EC1D50">
        <w:rPr>
          <w:rFonts w:ascii="Times New Roman" w:eastAsia="Times New Roman" w:hAnsi="Times New Roman" w:cs="Times New Roman"/>
          <w:b/>
          <w:bCs/>
          <w:strike/>
          <w:sz w:val="24"/>
          <w:szCs w:val="18"/>
        </w:rPr>
        <w:t>JU</w:t>
      </w:r>
      <w:r w:rsidR="00A7796B" w:rsidRPr="00EC1D50">
        <w:rPr>
          <w:rFonts w:ascii="Times New Roman" w:eastAsia="Times New Roman" w:hAnsi="Times New Roman" w:cs="Times New Roman"/>
          <w:b/>
          <w:bCs/>
          <w:strike/>
          <w:sz w:val="24"/>
          <w:szCs w:val="18"/>
        </w:rPr>
        <w:t>LY</w:t>
      </w:r>
      <w:r w:rsidRPr="00EC1D50">
        <w:rPr>
          <w:rFonts w:ascii="Times New Roman" w:eastAsia="Times New Roman" w:hAnsi="Times New Roman" w:cs="Times New Roman"/>
          <w:b/>
          <w:bCs/>
          <w:strike/>
          <w:sz w:val="24"/>
          <w:szCs w:val="18"/>
        </w:rPr>
        <w:t xml:space="preserve"> 1, 2016</w:t>
      </w:r>
    </w:p>
    <w:p w:rsidR="004C0784" w:rsidRDefault="004C0784" w:rsidP="006E73DF">
      <w:pPr>
        <w:spacing w:after="15" w:line="240" w:lineRule="atLeast"/>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TABLE OF CONTENTS</w:t>
      </w:r>
    </w:p>
    <w:p w:rsidR="00EC1D50" w:rsidRDefault="00EC1D50" w:rsidP="00EC1D50">
      <w:pPr>
        <w:spacing w:before="15" w:after="100" w:afterAutospacing="1" w:line="240" w:lineRule="atLeast"/>
        <w:rPr>
          <w:rFonts w:ascii="Times New Roman" w:eastAsia="Times New Roman" w:hAnsi="Times New Roman" w:cs="Times New Roman"/>
          <w:sz w:val="24"/>
          <w:szCs w:val="18"/>
        </w:rPr>
      </w:pPr>
    </w:p>
    <w:p w:rsidR="00EC1D50" w:rsidRPr="00EC1D50" w:rsidRDefault="00EC1D50" w:rsidP="00EC1D50">
      <w:pPr>
        <w:spacing w:before="15" w:after="100" w:afterAutospacing="1" w:line="240" w:lineRule="atLeast"/>
        <w:ind w:left="2620" w:firstLine="1310"/>
        <w:rPr>
          <w:rFonts w:ascii="Times New Roman" w:eastAsia="Times New Roman" w:hAnsi="Times New Roman" w:cs="Times New Roman"/>
          <w:sz w:val="24"/>
          <w:szCs w:val="18"/>
        </w:rPr>
      </w:pPr>
      <w:r w:rsidRPr="00EC1D50">
        <w:rPr>
          <w:rFonts w:ascii="Times New Roman" w:eastAsia="Times New Roman" w:hAnsi="Times New Roman" w:cs="Times New Roman"/>
          <w:sz w:val="24"/>
          <w:szCs w:val="18"/>
        </w:rPr>
        <w:t xml:space="preserve">* * * * * </w:t>
      </w:r>
    </w:p>
    <w:tbl>
      <w:tblPr>
        <w:tblStyle w:val="TableGrid"/>
        <w:tblW w:w="0" w:type="auto"/>
        <w:tblInd w:w="-72" w:type="dxa"/>
        <w:tblLook w:val="04A0" w:firstRow="1" w:lastRow="0" w:firstColumn="1" w:lastColumn="0" w:noHBand="0" w:noVBand="1"/>
      </w:tblPr>
      <w:tblGrid>
        <w:gridCol w:w="1391"/>
        <w:gridCol w:w="4261"/>
        <w:gridCol w:w="2232"/>
        <w:gridCol w:w="1750"/>
      </w:tblGrid>
      <w:tr w:rsidR="00F52E6A" w:rsidRPr="00A57EED" w:rsidTr="00EC1D50">
        <w:tc>
          <w:tcPr>
            <w:tcW w:w="1391"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CHAPTER</w:t>
            </w:r>
          </w:p>
        </w:tc>
        <w:tc>
          <w:tcPr>
            <w:tcW w:w="4261"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PRODUCT NAME AND SYMBOL</w:t>
            </w:r>
          </w:p>
        </w:tc>
        <w:tc>
          <w:tcPr>
            <w:tcW w:w="2232"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BASE TRANSACTION FEE</w:t>
            </w:r>
          </w:p>
        </w:tc>
        <w:tc>
          <w:tcPr>
            <w:tcW w:w="1750" w:type="dxa"/>
          </w:tcPr>
          <w:p w:rsidR="00F52E6A" w:rsidRPr="00EC1D50" w:rsidRDefault="00F52E6A" w:rsidP="008152A4">
            <w:pPr>
              <w:rPr>
                <w:rFonts w:ascii="Times New Roman" w:hAnsi="Times New Roman" w:cs="Times New Roman"/>
                <w:b/>
                <w:sz w:val="24"/>
                <w:szCs w:val="24"/>
              </w:rPr>
            </w:pPr>
            <w:r w:rsidRPr="00EC1D50">
              <w:rPr>
                <w:rFonts w:ascii="Times New Roman" w:hAnsi="Times New Roman" w:cs="Times New Roman"/>
                <w:b/>
                <w:sz w:val="24"/>
                <w:szCs w:val="24"/>
              </w:rPr>
              <w:t>BLOCK TRADE/EFRP SURCHARGE</w:t>
            </w:r>
          </w:p>
        </w:tc>
      </w:tr>
      <w:tr w:rsidR="00F52E6A" w:rsidRPr="00A57EED" w:rsidTr="00EC1D50">
        <w:tc>
          <w:tcPr>
            <w:tcW w:w="1391" w:type="dxa"/>
          </w:tcPr>
          <w:p w:rsidR="00F52E6A" w:rsidRPr="00A57EED" w:rsidRDefault="00F52E6A" w:rsidP="00645FA0">
            <w:pPr>
              <w:jc w:val="both"/>
              <w:rPr>
                <w:rFonts w:ascii="Times New Roman" w:hAnsi="Times New Roman" w:cs="Times New Roman"/>
                <w:b/>
                <w:sz w:val="24"/>
                <w:szCs w:val="24"/>
              </w:rPr>
            </w:pPr>
          </w:p>
        </w:tc>
        <w:tc>
          <w:tcPr>
            <w:tcW w:w="4261"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OIL AND REFINED PRODUCTS</w:t>
            </w:r>
          </w:p>
        </w:tc>
        <w:tc>
          <w:tcPr>
            <w:tcW w:w="2232" w:type="dxa"/>
          </w:tcPr>
          <w:p w:rsidR="00F52E6A" w:rsidRPr="00A57EED" w:rsidRDefault="00F52E6A" w:rsidP="00645FA0">
            <w:pPr>
              <w:jc w:val="both"/>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Crude Financial Futures (BFQ)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A6E6F" w:rsidRDefault="00F52E6A" w:rsidP="00B96F8A">
            <w:pPr>
              <w:jc w:val="center"/>
              <w:rPr>
                <w:rFonts w:ascii="Times New Roman" w:hAnsi="Times New Roman" w:cs="Times New Roman"/>
                <w:sz w:val="24"/>
                <w:szCs w:val="24"/>
              </w:rPr>
            </w:pPr>
            <w:r w:rsidRPr="00AA6E6F">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1st Line Financial Futures (IBQ)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A6E6F" w:rsidRDefault="00F52E6A" w:rsidP="00B96F8A">
            <w:pPr>
              <w:jc w:val="center"/>
              <w:rPr>
                <w:rFonts w:ascii="Times New Roman" w:hAnsi="Times New Roman" w:cs="Times New Roman"/>
                <w:sz w:val="24"/>
                <w:szCs w:val="24"/>
              </w:rPr>
            </w:pPr>
            <w:r w:rsidRPr="00AA6E6F">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1st Line Mini Financial Futures (IMMQ)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$0.05</w:t>
            </w:r>
          </w:p>
        </w:tc>
        <w:tc>
          <w:tcPr>
            <w:tcW w:w="1750" w:type="dxa"/>
          </w:tcPr>
          <w:p w:rsidR="00F52E6A" w:rsidRPr="00AA6E6F" w:rsidRDefault="00F52E6A" w:rsidP="00B96F8A">
            <w:pPr>
              <w:jc w:val="center"/>
              <w:rPr>
                <w:rFonts w:ascii="Times New Roman" w:hAnsi="Times New Roman" w:cs="Times New Roman"/>
                <w:sz w:val="24"/>
                <w:szCs w:val="24"/>
              </w:rPr>
            </w:pPr>
            <w:r w:rsidRPr="00AA6E6F">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102</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Options on NFX Brent Crude Financial Futures (BCQ)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A6E6F" w:rsidRDefault="00F52E6A" w:rsidP="00B96F8A">
            <w:pPr>
              <w:jc w:val="center"/>
              <w:rPr>
                <w:rFonts w:ascii="Times New Roman" w:hAnsi="Times New Roman" w:cs="Times New Roman"/>
                <w:sz w:val="24"/>
                <w:szCs w:val="24"/>
              </w:rPr>
            </w:pPr>
            <w:r w:rsidRPr="00AA6E6F">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Crude Oil Financial Futures (CLQ)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Crude Oil Penultimate Financial Futures (TQ)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1st Line Financial Futures (RTIQ)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103C</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1st Line Mini Financial Futures (RMMQ)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104A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Options on NFX WTI Crude Oil Penultimate Financial Futures (TOQ)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105</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Low Sulphur Gasoil Financial Futures (GOQ)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105A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Low Sulphur Gasoil 1st Line Financial Futures (ULAQ)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EC1D50" w:rsidRPr="00A57EED" w:rsidTr="00EC1D50">
        <w:tc>
          <w:tcPr>
            <w:tcW w:w="1391" w:type="dxa"/>
          </w:tcPr>
          <w:p w:rsidR="00EC1D50" w:rsidRPr="00EC1D50" w:rsidRDefault="00EC1D50" w:rsidP="00645FA0">
            <w:pPr>
              <w:jc w:val="both"/>
              <w:rPr>
                <w:rFonts w:ascii="Times New Roman" w:hAnsi="Times New Roman" w:cs="Times New Roman"/>
                <w:sz w:val="24"/>
                <w:szCs w:val="24"/>
                <w:u w:val="single"/>
              </w:rPr>
            </w:pPr>
            <w:r w:rsidRPr="00EC1D50">
              <w:rPr>
                <w:rFonts w:ascii="Times New Roman" w:hAnsi="Times New Roman" w:cs="Times New Roman"/>
                <w:sz w:val="24"/>
                <w:szCs w:val="24"/>
                <w:u w:val="single"/>
              </w:rPr>
              <w:t>105B</w:t>
            </w:r>
          </w:p>
        </w:tc>
        <w:tc>
          <w:tcPr>
            <w:tcW w:w="4261" w:type="dxa"/>
          </w:tcPr>
          <w:p w:rsidR="00EC1D50" w:rsidRPr="004C0784" w:rsidRDefault="004C0784" w:rsidP="004C0784">
            <w:pPr>
              <w:jc w:val="both"/>
              <w:rPr>
                <w:rFonts w:ascii="Times New Roman" w:hAnsi="Times New Roman" w:cs="Times New Roman"/>
                <w:sz w:val="24"/>
                <w:szCs w:val="24"/>
                <w:u w:val="single"/>
              </w:rPr>
            </w:pPr>
            <w:r w:rsidRPr="004C0784">
              <w:rPr>
                <w:rFonts w:ascii="Times New Roman" w:hAnsi="Times New Roman" w:cs="Times New Roman"/>
                <w:sz w:val="24"/>
                <w:szCs w:val="24"/>
                <w:u w:val="single"/>
              </w:rPr>
              <w:t>NFX Gasoil Crack Financial Futures (in BBLS) - Low Sulphur Gasoil 1st Line vs. Brent 1st Line (GZQ)</w:t>
            </w:r>
          </w:p>
        </w:tc>
        <w:tc>
          <w:tcPr>
            <w:tcW w:w="2232" w:type="dxa"/>
          </w:tcPr>
          <w:p w:rsidR="00EC1D50" w:rsidRPr="00EC1D50" w:rsidRDefault="00EC1D50" w:rsidP="00645FA0">
            <w:pPr>
              <w:jc w:val="center"/>
              <w:rPr>
                <w:rFonts w:ascii="Times New Roman" w:hAnsi="Times New Roman" w:cs="Times New Roman"/>
                <w:sz w:val="24"/>
                <w:szCs w:val="24"/>
                <w:u w:val="single"/>
              </w:rPr>
            </w:pPr>
            <w:r w:rsidRPr="00EC1D50">
              <w:rPr>
                <w:rFonts w:ascii="Times New Roman" w:hAnsi="Times New Roman" w:cs="Times New Roman"/>
                <w:sz w:val="24"/>
                <w:szCs w:val="24"/>
                <w:u w:val="single"/>
              </w:rPr>
              <w:t>$0.25</w:t>
            </w:r>
          </w:p>
        </w:tc>
        <w:tc>
          <w:tcPr>
            <w:tcW w:w="1750" w:type="dxa"/>
          </w:tcPr>
          <w:p w:rsidR="00EC1D50" w:rsidRPr="00EC1D50" w:rsidRDefault="00EC1D50" w:rsidP="00B96F8A">
            <w:pPr>
              <w:jc w:val="center"/>
              <w:rPr>
                <w:rFonts w:ascii="Times New Roman" w:hAnsi="Times New Roman" w:cs="Times New Roman"/>
                <w:sz w:val="24"/>
                <w:szCs w:val="24"/>
                <w:u w:val="single"/>
              </w:rPr>
            </w:pPr>
            <w:r w:rsidRPr="00EC1D50">
              <w:rPr>
                <w:rFonts w:ascii="Times New Roman" w:hAnsi="Times New Roman" w:cs="Times New Roman"/>
                <w:sz w:val="24"/>
                <w:szCs w:val="24"/>
                <w:u w:val="single"/>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Financial Futures (HOQ)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Penultimate Financial Futures (OQ)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1st Line Financial Futures (HOFQ)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Financial Futures (RBQ)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Penultimate Financial Futures (RQ)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1st Line Financial Futures (RBSQ)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EC1D50" w:rsidRDefault="00F52E6A" w:rsidP="00B96F8A">
            <w:pPr>
              <w:jc w:val="center"/>
              <w:rPr>
                <w:rFonts w:ascii="Times New Roman" w:hAnsi="Times New Roman" w:cs="Times New Roman"/>
                <w:sz w:val="24"/>
                <w:szCs w:val="24"/>
              </w:rPr>
            </w:pPr>
            <w:r w:rsidRPr="00EC1D50">
              <w:rPr>
                <w:rFonts w:ascii="Times New Roman" w:hAnsi="Times New Roman" w:cs="Times New Roman"/>
                <w:sz w:val="24"/>
                <w:szCs w:val="24"/>
              </w:rPr>
              <w:t>$0.05</w:t>
            </w:r>
          </w:p>
        </w:tc>
      </w:tr>
      <w:tr w:rsidR="00EC1D50" w:rsidRPr="00A57EED" w:rsidTr="00EC1D50">
        <w:tc>
          <w:tcPr>
            <w:tcW w:w="1391" w:type="dxa"/>
          </w:tcPr>
          <w:p w:rsidR="00EC1D50" w:rsidRPr="00EC1D50" w:rsidRDefault="00EC1D50" w:rsidP="00645FA0">
            <w:pPr>
              <w:jc w:val="both"/>
              <w:rPr>
                <w:rFonts w:ascii="Times New Roman" w:hAnsi="Times New Roman" w:cs="Times New Roman"/>
                <w:sz w:val="24"/>
                <w:szCs w:val="24"/>
                <w:u w:val="single"/>
              </w:rPr>
            </w:pPr>
            <w:r w:rsidRPr="00EC1D50">
              <w:rPr>
                <w:rFonts w:ascii="Times New Roman" w:hAnsi="Times New Roman" w:cs="Times New Roman"/>
                <w:sz w:val="24"/>
                <w:szCs w:val="24"/>
                <w:u w:val="single"/>
              </w:rPr>
              <w:t>107C</w:t>
            </w:r>
          </w:p>
        </w:tc>
        <w:tc>
          <w:tcPr>
            <w:tcW w:w="4261" w:type="dxa"/>
          </w:tcPr>
          <w:p w:rsidR="00EC1D50" w:rsidRPr="004C0784" w:rsidRDefault="004C0784" w:rsidP="00645FA0">
            <w:pPr>
              <w:jc w:val="both"/>
              <w:rPr>
                <w:rFonts w:ascii="Times New Roman" w:hAnsi="Times New Roman" w:cs="Times New Roman"/>
                <w:sz w:val="24"/>
                <w:szCs w:val="24"/>
                <w:u w:val="single"/>
              </w:rPr>
            </w:pPr>
            <w:r w:rsidRPr="004C0784">
              <w:rPr>
                <w:rFonts w:ascii="Times New Roman" w:hAnsi="Times New Roman" w:cs="Times New Roman"/>
                <w:sz w:val="24"/>
                <w:szCs w:val="24"/>
                <w:u w:val="single"/>
              </w:rPr>
              <w:t>NFX Gasoline Crack Financial Futures (in BBLS) - RBOB Gasoline 1st Line vs Brent 1st Line (RBRQ)</w:t>
            </w:r>
          </w:p>
        </w:tc>
        <w:tc>
          <w:tcPr>
            <w:tcW w:w="2232" w:type="dxa"/>
          </w:tcPr>
          <w:p w:rsidR="00EC1D50" w:rsidRPr="00EC1D50" w:rsidRDefault="00EC1D50" w:rsidP="00645FA0">
            <w:pPr>
              <w:jc w:val="center"/>
              <w:rPr>
                <w:rFonts w:ascii="Times New Roman" w:hAnsi="Times New Roman" w:cs="Times New Roman"/>
                <w:sz w:val="24"/>
                <w:szCs w:val="24"/>
                <w:u w:val="single"/>
              </w:rPr>
            </w:pPr>
            <w:r w:rsidRPr="00EC1D50">
              <w:rPr>
                <w:rFonts w:ascii="Times New Roman" w:hAnsi="Times New Roman" w:cs="Times New Roman"/>
                <w:sz w:val="24"/>
                <w:szCs w:val="24"/>
                <w:u w:val="single"/>
              </w:rPr>
              <w:t>$0.25</w:t>
            </w:r>
          </w:p>
        </w:tc>
        <w:tc>
          <w:tcPr>
            <w:tcW w:w="1750" w:type="dxa"/>
          </w:tcPr>
          <w:p w:rsidR="00EC1D50" w:rsidRPr="00EC1D50" w:rsidRDefault="00EC1D50" w:rsidP="00B96F8A">
            <w:pPr>
              <w:jc w:val="center"/>
              <w:rPr>
                <w:rFonts w:ascii="Times New Roman" w:hAnsi="Times New Roman" w:cs="Times New Roman"/>
                <w:sz w:val="24"/>
                <w:szCs w:val="24"/>
                <w:u w:val="single"/>
              </w:rPr>
            </w:pPr>
            <w:r w:rsidRPr="00EC1D50">
              <w:rPr>
                <w:rFonts w:ascii="Times New Roman" w:hAnsi="Times New Roman" w:cs="Times New Roman"/>
                <w:sz w:val="24"/>
                <w:szCs w:val="24"/>
                <w:u w:val="single"/>
              </w:rPr>
              <w:t>$0.05</w:t>
            </w:r>
          </w:p>
        </w:tc>
      </w:tr>
      <w:tr w:rsidR="00F52E6A" w:rsidRPr="00A57EED" w:rsidTr="00EC1D50">
        <w:tc>
          <w:tcPr>
            <w:tcW w:w="1391" w:type="dxa"/>
          </w:tcPr>
          <w:p w:rsidR="00F52E6A" w:rsidRPr="00A57EED" w:rsidRDefault="00F52E6A" w:rsidP="00645FA0">
            <w:pPr>
              <w:jc w:val="both"/>
              <w:rPr>
                <w:rFonts w:ascii="Times New Roman" w:hAnsi="Times New Roman" w:cs="Times New Roman"/>
                <w:sz w:val="24"/>
                <w:szCs w:val="24"/>
              </w:rPr>
            </w:pPr>
          </w:p>
        </w:tc>
        <w:tc>
          <w:tcPr>
            <w:tcW w:w="4261" w:type="dxa"/>
          </w:tcPr>
          <w:p w:rsidR="00F52E6A" w:rsidRPr="00EC1D50" w:rsidRDefault="00EC1D50" w:rsidP="00EC1D50">
            <w:pPr>
              <w:jc w:val="both"/>
              <w:rPr>
                <w:rFonts w:ascii="Times New Roman" w:hAnsi="Times New Roman" w:cs="Times New Roman"/>
                <w:sz w:val="24"/>
                <w:szCs w:val="24"/>
              </w:rPr>
            </w:pPr>
            <w:r>
              <w:rPr>
                <w:rFonts w:ascii="Times New Roman" w:hAnsi="Times New Roman" w:cs="Times New Roman"/>
                <w:sz w:val="24"/>
                <w:szCs w:val="24"/>
              </w:rPr>
              <w:t xml:space="preserve">                           </w:t>
            </w:r>
            <w:r w:rsidRPr="00EC1D50">
              <w:rPr>
                <w:rFonts w:ascii="Times New Roman" w:hAnsi="Times New Roman" w:cs="Times New Roman"/>
                <w:sz w:val="24"/>
                <w:szCs w:val="24"/>
              </w:rPr>
              <w:t>* * * * *</w:t>
            </w:r>
          </w:p>
        </w:tc>
        <w:tc>
          <w:tcPr>
            <w:tcW w:w="2232" w:type="dxa"/>
          </w:tcPr>
          <w:p w:rsidR="00F52E6A" w:rsidRPr="00A57EED" w:rsidRDefault="00F52E6A" w:rsidP="00645FA0">
            <w:pPr>
              <w:jc w:val="center"/>
              <w:rPr>
                <w:rFonts w:ascii="Times New Roman" w:hAnsi="Times New Roman" w:cs="Times New Roman"/>
                <w:sz w:val="24"/>
                <w:szCs w:val="24"/>
              </w:rPr>
            </w:pPr>
          </w:p>
        </w:tc>
        <w:tc>
          <w:tcPr>
            <w:tcW w:w="1750" w:type="dxa"/>
          </w:tcPr>
          <w:p w:rsidR="00F52E6A" w:rsidRPr="00A57EED" w:rsidRDefault="00F52E6A" w:rsidP="00B96F8A">
            <w:pPr>
              <w:jc w:val="center"/>
              <w:rPr>
                <w:rFonts w:ascii="Times New Roman" w:hAnsi="Times New Roman" w:cs="Times New Roman"/>
                <w:sz w:val="24"/>
                <w:szCs w:val="24"/>
                <w:u w:val="single"/>
              </w:rPr>
            </w:pPr>
          </w:p>
        </w:tc>
      </w:tr>
    </w:tbl>
    <w:p w:rsidR="006E73DF" w:rsidRDefault="006E73DF" w:rsidP="00EC1D50">
      <w:pPr>
        <w:spacing w:after="0" w:line="240" w:lineRule="auto"/>
        <w:rPr>
          <w:rFonts w:ascii="Times New Roman" w:hAnsi="Times New Roman" w:cs="Times New Roman"/>
          <w:sz w:val="24"/>
          <w:szCs w:val="24"/>
        </w:rPr>
      </w:pPr>
    </w:p>
    <w:p w:rsidR="00EC1D50" w:rsidRPr="00EC1D50" w:rsidRDefault="00EC1D50" w:rsidP="00EC1D50">
      <w:pPr>
        <w:pStyle w:val="ListParagraph"/>
        <w:spacing w:after="0" w:line="240" w:lineRule="auto"/>
        <w:ind w:left="2030" w:firstLine="590"/>
        <w:rPr>
          <w:rFonts w:ascii="Times New Roman" w:hAnsi="Times New Roman" w:cs="Times New Roman"/>
          <w:sz w:val="24"/>
          <w:szCs w:val="24"/>
        </w:rPr>
      </w:pPr>
      <w:r>
        <w:rPr>
          <w:rFonts w:ascii="Times New Roman" w:hAnsi="Times New Roman" w:cs="Times New Roman"/>
          <w:sz w:val="24"/>
          <w:szCs w:val="24"/>
        </w:rPr>
        <w:t xml:space="preserve">     * * * *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6F" w:rsidRDefault="00AA6E6F">
      <w:r>
        <w:separator/>
      </w:r>
    </w:p>
  </w:endnote>
  <w:endnote w:type="continuationSeparator" w:id="0">
    <w:p w:rsidR="00AA6E6F" w:rsidRDefault="00AA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69D3D62C-892D-4982-B460-B9EFCFAC45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6F" w:rsidRDefault="00AA6E6F">
      <w:r>
        <w:separator/>
      </w:r>
    </w:p>
  </w:footnote>
  <w:footnote w:type="continuationSeparator" w:id="0">
    <w:p w:rsidR="00AA6E6F" w:rsidRDefault="00AA6E6F">
      <w:r>
        <w:continuationSeparator/>
      </w:r>
    </w:p>
  </w:footnote>
  <w:footnote w:id="1">
    <w:p w:rsidR="00EE5B43" w:rsidRP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The Exchange has separately certified the New Contracts pursuant to Rule 40.2 in submission SR-NFX-2016-</w:t>
      </w:r>
      <w:r>
        <w:rPr>
          <w:rFonts w:ascii="Times New Roman" w:hAnsi="Times New Roman" w:cs="Times New Roman"/>
          <w:sz w:val="24"/>
          <w:szCs w:val="24"/>
        </w:rPr>
        <w:t>02, filed January 14, 2016</w:t>
      </w:r>
      <w:r w:rsidRPr="00EE5B43">
        <w:rPr>
          <w:rFonts w:ascii="Times New Roman" w:hAnsi="Times New Roman" w:cs="Times New Roman"/>
          <w:sz w:val="24"/>
          <w:szCs w:val="24"/>
        </w:rPr>
        <w:t xml:space="preserve">.  </w:t>
      </w:r>
      <w:r w:rsidRPr="00EE5B43">
        <w:rPr>
          <w:rFonts w:ascii="Times New Roman" w:hAnsi="Times New Roman" w:cs="Times New Roman"/>
          <w:sz w:val="24"/>
          <w:szCs w:val="24"/>
          <w:u w:val="single"/>
        </w:rPr>
        <w:t>See</w:t>
      </w:r>
      <w:r w:rsidRPr="00EE5B43">
        <w:rPr>
          <w:rFonts w:ascii="Times New Roman" w:hAnsi="Times New Roman" w:cs="Times New Roman"/>
          <w:sz w:val="24"/>
          <w:szCs w:val="24"/>
        </w:rPr>
        <w:t xml:space="preserve"> </w:t>
      </w:r>
      <w:r w:rsidRPr="00EE5B43">
        <w:rPr>
          <w:rFonts w:ascii="Times New Roman" w:hAnsi="Times New Roman" w:cs="Times New Roman"/>
          <w:sz w:val="24"/>
          <w:szCs w:val="24"/>
          <w:u w:val="single"/>
        </w:rPr>
        <w:t>also</w:t>
      </w:r>
      <w:r w:rsidRPr="00EE5B43">
        <w:rPr>
          <w:rFonts w:ascii="Times New Roman" w:hAnsi="Times New Roman" w:cs="Times New Roman"/>
          <w:sz w:val="24"/>
          <w:szCs w:val="24"/>
        </w:rPr>
        <w:t xml:space="preserve"> SR-NFX-2016-66, filed July 1, 2016.</w:t>
      </w:r>
    </w:p>
  </w:footnote>
  <w:footnote w:id="2">
    <w:p w:rsid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OCC options exercise fees and any other OCC fees remain the responsibility of Clearing Futures Participants.</w:t>
      </w:r>
    </w:p>
    <w:p w:rsidR="00EE5B43" w:rsidRPr="00EE5B43" w:rsidRDefault="00EE5B43">
      <w:pPr>
        <w:pStyle w:val="FootnoteText"/>
        <w:rPr>
          <w:rFonts w:ascii="Times New Roman" w:hAnsi="Times New Roman" w:cs="Times New Roman"/>
          <w:sz w:val="24"/>
          <w:szCs w:val="24"/>
        </w:rPr>
      </w:pPr>
    </w:p>
  </w:footnote>
  <w:footnote w:id="3">
    <w:p w:rsidR="003F5E25" w:rsidRDefault="00EE5B43" w:rsidP="003F5E25">
      <w:pPr>
        <w:pStyle w:val="Default"/>
        <w:spacing w:before="100" w:after="100"/>
        <w:rPr>
          <w:sz w:val="23"/>
          <w:szCs w:val="23"/>
        </w:rPr>
      </w:pPr>
      <w:r w:rsidRPr="00EE5B43">
        <w:rPr>
          <w:rStyle w:val="FootnoteReference"/>
        </w:rPr>
        <w:footnoteRef/>
      </w:r>
      <w:r w:rsidRPr="00EE5B43">
        <w:t xml:space="preserve"> </w:t>
      </w:r>
      <w:r>
        <w:tab/>
      </w:r>
      <w:r w:rsidR="003F5E25">
        <w:t>With respect to New Client Transaction Fees, the fee schedule currently provides that w</w:t>
      </w:r>
      <w:r w:rsidR="003F5E25">
        <w:rPr>
          <w:sz w:val="23"/>
          <w:szCs w:val="23"/>
        </w:rPr>
        <w:t xml:space="preserve">ith respect to transactions in trading accounts of NFX market participants whose trading on NFX has been identified by NFX as having commenced on or after February 1, 2016, New Client Transaction Fees shall be assessed instead of Base Transaction Fees beginning May 1, 2016, or thereafter upon the market participant’s initial NFX transaction, for three calendar months of trading (including the month or portion thereof in which the first transaction occurred) in the market participants’ trading accounts at: </w:t>
      </w:r>
    </w:p>
    <w:p w:rsidR="003F5E25" w:rsidRPr="003F5E25" w:rsidRDefault="003F5E25" w:rsidP="003F5E25">
      <w:pPr>
        <w:pStyle w:val="Default"/>
        <w:spacing w:before="100" w:after="100"/>
        <w:ind w:left="1310"/>
        <w:rPr>
          <w:szCs w:val="23"/>
        </w:rPr>
      </w:pPr>
      <w:r>
        <w:rPr>
          <w:sz w:val="23"/>
          <w:szCs w:val="23"/>
        </w:rPr>
        <w:t xml:space="preserve">(a) for transactions in power contracts, $0.25 per cleared side unless the Base Transaction Fee for that contract is lower than $0.25, in which case the Base </w:t>
      </w:r>
      <w:r w:rsidRPr="003F5E25">
        <w:rPr>
          <w:szCs w:val="23"/>
        </w:rPr>
        <w:t xml:space="preserve">Transaction Fee shall apply; </w:t>
      </w:r>
    </w:p>
    <w:p w:rsidR="00EE5B43" w:rsidRDefault="003F5E25" w:rsidP="003F5E25">
      <w:pPr>
        <w:pStyle w:val="FootnoteText"/>
        <w:ind w:left="1310"/>
        <w:rPr>
          <w:rFonts w:ascii="Times New Roman" w:hAnsi="Times New Roman"/>
          <w:sz w:val="24"/>
          <w:szCs w:val="23"/>
        </w:rPr>
      </w:pPr>
      <w:r w:rsidRPr="003F5E25">
        <w:rPr>
          <w:rFonts w:ascii="Times New Roman" w:hAnsi="Times New Roman"/>
          <w:sz w:val="24"/>
          <w:szCs w:val="23"/>
        </w:rPr>
        <w:t>(b) for transactions in oil and refined products or natural gas contracts, $0.05 per cleared side rather than the Base Transaction Fee.</w:t>
      </w:r>
    </w:p>
    <w:p w:rsidR="003F5E25" w:rsidRDefault="003F5E25" w:rsidP="003F5E25">
      <w:pPr>
        <w:pStyle w:val="FootnoteText"/>
        <w:rPr>
          <w:rFonts w:ascii="Times New Roman" w:hAnsi="Times New Roman"/>
          <w:sz w:val="24"/>
          <w:szCs w:val="23"/>
        </w:rPr>
      </w:pPr>
    </w:p>
    <w:p w:rsidR="003F5E25" w:rsidRPr="003F5E25" w:rsidRDefault="003F5E25" w:rsidP="003F5E25">
      <w:pPr>
        <w:pStyle w:val="FootnoteText"/>
        <w:rPr>
          <w:rFonts w:ascii="Times New Roman" w:hAnsi="Times New Roman" w:cs="Times New Roman"/>
          <w:sz w:val="24"/>
          <w:szCs w:val="24"/>
        </w:rPr>
      </w:pPr>
      <w:r>
        <w:rPr>
          <w:rFonts w:ascii="Times New Roman" w:hAnsi="Times New Roman" w:cs="Times New Roman"/>
          <w:sz w:val="24"/>
          <w:szCs w:val="24"/>
        </w:rPr>
        <w:t>With respect to the Designated Market Maker Fee Waiver, t</w:t>
      </w:r>
      <w:r w:rsidRPr="003F5E25">
        <w:rPr>
          <w:rFonts w:ascii="Times New Roman" w:hAnsi="Times New Roman" w:cs="Times New Roman"/>
          <w:sz w:val="24"/>
          <w:szCs w:val="24"/>
        </w:rPr>
        <w:t>he fee schedule provides that Transaction Fees are waived for Exchange-selected Designated Market Makers (“</w:t>
      </w:r>
      <w:r w:rsidRPr="001501A2">
        <w:rPr>
          <w:rFonts w:ascii="Times New Roman" w:hAnsi="Times New Roman" w:cs="Times New Roman"/>
          <w:sz w:val="24"/>
          <w:szCs w:val="24"/>
          <w:u w:val="single"/>
        </w:rPr>
        <w:t>DMMs</w:t>
      </w:r>
      <w:r w:rsidRPr="003F5E25">
        <w:rPr>
          <w:rFonts w:ascii="Times New Roman" w:hAnsi="Times New Roman" w:cs="Times New Roman"/>
          <w:sz w:val="24"/>
          <w:szCs w:val="24"/>
        </w:rPr>
        <w:t xml:space="preserve">”) participating in the Exchange’s Energy DMM Program in their assigned DMM contracts. Base Transaction Fees and New Client Transaction Fees are also waived for DMMs’ hedging transactions in futures contracts underlying their assigned options. </w:t>
      </w:r>
      <w:r w:rsidR="001501A2">
        <w:rPr>
          <w:rFonts w:ascii="Times New Roman" w:hAnsi="Times New Roman" w:cs="Times New Roman"/>
          <w:sz w:val="24"/>
          <w:szCs w:val="24"/>
        </w:rPr>
        <w:t xml:space="preserve">The </w:t>
      </w:r>
      <w:r w:rsidRPr="003F5E25">
        <w:rPr>
          <w:rFonts w:ascii="Times New Roman" w:hAnsi="Times New Roman" w:cs="Times New Roman"/>
          <w:sz w:val="24"/>
          <w:szCs w:val="24"/>
        </w:rPr>
        <w:t xml:space="preserve">Block Trade/EFRP surcharge </w:t>
      </w:r>
      <w:r w:rsidR="001501A2">
        <w:rPr>
          <w:rFonts w:ascii="Times New Roman" w:hAnsi="Times New Roman" w:cs="Times New Roman"/>
          <w:sz w:val="24"/>
          <w:szCs w:val="24"/>
        </w:rPr>
        <w:t>is not</w:t>
      </w:r>
      <w:r w:rsidRPr="003F5E25">
        <w:rPr>
          <w:rFonts w:ascii="Times New Roman" w:hAnsi="Times New Roman" w:cs="Times New Roman"/>
          <w:sz w:val="24"/>
          <w:szCs w:val="24"/>
        </w:rPr>
        <w:t xml:space="preserve"> waived. Upon the termination of participation of a DMM in an Exchange DMM program, transactions of the DMM </w:t>
      </w:r>
      <w:r w:rsidR="001501A2">
        <w:rPr>
          <w:rFonts w:ascii="Times New Roman" w:hAnsi="Times New Roman" w:cs="Times New Roman"/>
          <w:sz w:val="24"/>
          <w:szCs w:val="24"/>
        </w:rPr>
        <w:t>are</w:t>
      </w:r>
      <w:r w:rsidRPr="003F5E25">
        <w:rPr>
          <w:rFonts w:ascii="Times New Roman" w:hAnsi="Times New Roman" w:cs="Times New Roman"/>
          <w:sz w:val="24"/>
          <w:szCs w:val="24"/>
        </w:rPr>
        <w:t xml:space="preserve"> subject to the New Client Transaction Fee rather than the Base Transaction Fee for a period of 3 calendar months (including the month or portion thereof in which the entity’s participation in the DMM program terminates).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Pr="00990E66" w:rsidRDefault="00AA6E6F" w:rsidP="005E244B">
    <w:pPr>
      <w:pStyle w:val="NoSpacing"/>
      <w:rPr>
        <w:rFonts w:ascii="Times New Roman" w:eastAsia="Calibri" w:hAnsi="Times New Roman" w:cs="Times New Roman"/>
        <w:sz w:val="20"/>
        <w:szCs w:val="20"/>
      </w:rPr>
    </w:pPr>
    <w:r w:rsidRPr="00997B22">
      <w:rPr>
        <w:rFonts w:ascii="Times New Roman" w:eastAsia="Calibri" w:hAnsi="Times New Roman" w:cs="Times New Roman"/>
        <w:sz w:val="20"/>
        <w:szCs w:val="20"/>
      </w:rPr>
      <w:t>C</w:t>
    </w:r>
    <w:r w:rsidRPr="00990E66">
      <w:rPr>
        <w:rFonts w:ascii="Times New Roman" w:eastAsia="Calibri" w:hAnsi="Times New Roman" w:cs="Times New Roman"/>
        <w:sz w:val="20"/>
        <w:szCs w:val="20"/>
      </w:rPr>
      <w:t>ommodity Futures Trading Commission</w:t>
    </w:r>
  </w:p>
  <w:p w:rsidR="00AA6E6F" w:rsidRPr="00990E66" w:rsidRDefault="00AA6E6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July 1</w:t>
    </w:r>
    <w:r w:rsidRPr="00990E66">
      <w:rPr>
        <w:rFonts w:ascii="Times New Roman" w:hAnsi="Times New Roman" w:cs="Times New Roman"/>
        <w:sz w:val="20"/>
        <w:szCs w:val="20"/>
      </w:rPr>
      <w:t>, 2016</w:t>
    </w:r>
  </w:p>
  <w:p w:rsidR="00AA6E6F" w:rsidRPr="00990E66"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SR-NFX-2016-</w:t>
    </w:r>
    <w:r>
      <w:rPr>
        <w:rFonts w:ascii="Times New Roman" w:hAnsi="Times New Roman" w:cs="Times New Roman"/>
        <w:sz w:val="20"/>
        <w:szCs w:val="20"/>
      </w:rPr>
      <w:t>67</w:t>
    </w:r>
  </w:p>
  <w:p w:rsidR="00AA6E6F" w:rsidRPr="00B67098"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Page </w:t>
    </w:r>
    <w:r w:rsidRPr="00990E66">
      <w:rPr>
        <w:rFonts w:ascii="Times New Roman" w:hAnsi="Times New Roman" w:cs="Times New Roman"/>
        <w:sz w:val="20"/>
        <w:szCs w:val="20"/>
      </w:rPr>
      <w:fldChar w:fldCharType="begin"/>
    </w:r>
    <w:r w:rsidRPr="00990E66">
      <w:rPr>
        <w:rFonts w:ascii="Times New Roman" w:hAnsi="Times New Roman" w:cs="Times New Roman"/>
        <w:sz w:val="20"/>
        <w:szCs w:val="20"/>
      </w:rPr>
      <w:instrText xml:space="preserve"> PAGE   \* MERGEFORMAT </w:instrText>
    </w:r>
    <w:r w:rsidRPr="00990E66">
      <w:rPr>
        <w:rFonts w:ascii="Times New Roman" w:hAnsi="Times New Roman" w:cs="Times New Roman"/>
        <w:sz w:val="20"/>
        <w:szCs w:val="20"/>
      </w:rPr>
      <w:fldChar w:fldCharType="separate"/>
    </w:r>
    <w:r w:rsidR="009D2FE2">
      <w:rPr>
        <w:rFonts w:ascii="Times New Roman" w:hAnsi="Times New Roman" w:cs="Times New Roman"/>
        <w:noProof/>
        <w:sz w:val="20"/>
        <w:szCs w:val="20"/>
      </w:rPr>
      <w:t>5</w:t>
    </w:r>
    <w:r w:rsidRPr="00990E66">
      <w:rPr>
        <w:rFonts w:ascii="Times New Roman" w:hAnsi="Times New Roman" w:cs="Times New Roman"/>
        <w:sz w:val="20"/>
        <w:szCs w:val="20"/>
      </w:rPr>
      <w:fldChar w:fldCharType="end"/>
    </w:r>
  </w:p>
  <w:p w:rsidR="00AA6E6F" w:rsidRPr="00B67098" w:rsidRDefault="00AA6E6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pPr>
      <w:spacing w:after="960"/>
    </w:pPr>
  </w:p>
  <w:p w:rsidR="00AA6E6F" w:rsidRPr="00CF4B16" w:rsidRDefault="00AA6E6F" w:rsidP="001B6ADA">
    <w:pPr>
      <w:pStyle w:val="LetterheadAddress"/>
      <w:ind w:left="6550"/>
      <w:rPr>
        <w:sz w:val="20"/>
      </w:rPr>
    </w:pPr>
    <w:r w:rsidRPr="00CF4B16">
      <w:rPr>
        <w:sz w:val="20"/>
      </w:rPr>
      <w:t>Nasdaq Futures, Inc.</w:t>
    </w:r>
  </w:p>
  <w:p w:rsidR="00AA6E6F" w:rsidRPr="00CF4B16" w:rsidRDefault="00AA6E6F" w:rsidP="001B6ADA">
    <w:pPr>
      <w:pStyle w:val="LetterheadAddress"/>
      <w:ind w:left="6550"/>
      <w:rPr>
        <w:sz w:val="20"/>
      </w:rPr>
    </w:pPr>
    <w:r w:rsidRPr="00CF4B16">
      <w:rPr>
        <w:sz w:val="20"/>
      </w:rPr>
      <w:t>1900 Market Street</w:t>
    </w:r>
  </w:p>
  <w:p w:rsidR="00AA6E6F" w:rsidRPr="00CF4B16" w:rsidRDefault="00AA6E6F" w:rsidP="001B6ADA">
    <w:pPr>
      <w:pStyle w:val="LetterheadAddress"/>
      <w:ind w:left="6550"/>
      <w:rPr>
        <w:sz w:val="20"/>
      </w:rPr>
    </w:pPr>
    <w:r w:rsidRPr="00CF4B16">
      <w:rPr>
        <w:sz w:val="20"/>
      </w:rPr>
      <w:t>Philadelphia, PA 19103 / USA</w:t>
    </w:r>
  </w:p>
  <w:p w:rsidR="00AA6E6F" w:rsidRPr="00CF4B16" w:rsidRDefault="00AA6E6F"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AA6E6F" w:rsidRDefault="00AA6E6F" w:rsidP="001B6ADA">
    <w:pPr>
      <w:tabs>
        <w:tab w:val="left" w:pos="7560"/>
      </w:tabs>
      <w:spacing w:after="960"/>
    </w:pPr>
    <w:r w:rsidRPr="002E383E">
      <w:rPr>
        <w:noProof/>
      </w:rPr>
      <w:drawing>
        <wp:anchor distT="0" distB="0" distL="114300" distR="114300" simplePos="0" relativeHeight="251662336" behindDoc="0" locked="1" layoutInCell="1" allowOverlap="1" wp14:anchorId="59D76818" wp14:editId="37C140B4">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9D66E0D"/>
    <w:multiLevelType w:val="hybridMultilevel"/>
    <w:tmpl w:val="9EC0D996"/>
    <w:lvl w:ilvl="0" w:tplc="9BC8B97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0A35B1"/>
    <w:multiLevelType w:val="hybridMultilevel"/>
    <w:tmpl w:val="35C4FB62"/>
    <w:lvl w:ilvl="0" w:tplc="E9286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72129"/>
    <w:multiLevelType w:val="hybridMultilevel"/>
    <w:tmpl w:val="BA9681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37A5E7F"/>
    <w:multiLevelType w:val="hybridMultilevel"/>
    <w:tmpl w:val="8A86C00E"/>
    <w:lvl w:ilvl="0" w:tplc="C6DA24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5"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4"/>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4"/>
  </w:num>
  <w:num w:numId="18">
    <w:abstractNumId w:val="9"/>
  </w:num>
  <w:num w:numId="19">
    <w:abstractNumId w:val="13"/>
  </w:num>
  <w:num w:numId="20">
    <w:abstractNumId w:val="11"/>
  </w:num>
  <w:num w:numId="21">
    <w:abstractNumId w:val="24"/>
  </w:num>
  <w:num w:numId="22">
    <w:abstractNumId w:val="9"/>
  </w:num>
  <w:num w:numId="23">
    <w:abstractNumId w:val="13"/>
  </w:num>
  <w:num w:numId="24">
    <w:abstractNumId w:val="11"/>
  </w:num>
  <w:num w:numId="25">
    <w:abstractNumId w:val="24"/>
  </w:num>
  <w:num w:numId="26">
    <w:abstractNumId w:val="21"/>
  </w:num>
  <w:num w:numId="27">
    <w:abstractNumId w:val="24"/>
  </w:num>
  <w:num w:numId="28">
    <w:abstractNumId w:val="21"/>
  </w:num>
  <w:num w:numId="29">
    <w:abstractNumId w:val="20"/>
  </w:num>
  <w:num w:numId="30">
    <w:abstractNumId w:val="22"/>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7"/>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66E6"/>
    <w:rsid w:val="000277E6"/>
    <w:rsid w:val="000313E1"/>
    <w:rsid w:val="00035AE7"/>
    <w:rsid w:val="00043BF8"/>
    <w:rsid w:val="000467B2"/>
    <w:rsid w:val="00051023"/>
    <w:rsid w:val="00054E16"/>
    <w:rsid w:val="000747B4"/>
    <w:rsid w:val="000764FA"/>
    <w:rsid w:val="00084F3B"/>
    <w:rsid w:val="00095F3F"/>
    <w:rsid w:val="000A0FF7"/>
    <w:rsid w:val="000A3874"/>
    <w:rsid w:val="000B0F2E"/>
    <w:rsid w:val="000D02B9"/>
    <w:rsid w:val="000D24A2"/>
    <w:rsid w:val="000D4A76"/>
    <w:rsid w:val="000F3BC3"/>
    <w:rsid w:val="0011122D"/>
    <w:rsid w:val="001265C8"/>
    <w:rsid w:val="00135BE1"/>
    <w:rsid w:val="001501A2"/>
    <w:rsid w:val="00153179"/>
    <w:rsid w:val="001746B9"/>
    <w:rsid w:val="001765CC"/>
    <w:rsid w:val="0018088D"/>
    <w:rsid w:val="00197F73"/>
    <w:rsid w:val="001B6ADA"/>
    <w:rsid w:val="001C4306"/>
    <w:rsid w:val="001C6B85"/>
    <w:rsid w:val="001E53F3"/>
    <w:rsid w:val="00203DA5"/>
    <w:rsid w:val="002230A7"/>
    <w:rsid w:val="002325A5"/>
    <w:rsid w:val="00242C21"/>
    <w:rsid w:val="0026072F"/>
    <w:rsid w:val="00261A57"/>
    <w:rsid w:val="002645EB"/>
    <w:rsid w:val="002711EE"/>
    <w:rsid w:val="00273392"/>
    <w:rsid w:val="002A147E"/>
    <w:rsid w:val="002A70DC"/>
    <w:rsid w:val="002B0DB3"/>
    <w:rsid w:val="002D1A0E"/>
    <w:rsid w:val="002F08A4"/>
    <w:rsid w:val="00300E44"/>
    <w:rsid w:val="003017B3"/>
    <w:rsid w:val="00303C56"/>
    <w:rsid w:val="00304F17"/>
    <w:rsid w:val="00310833"/>
    <w:rsid w:val="003324F3"/>
    <w:rsid w:val="00337B63"/>
    <w:rsid w:val="00352533"/>
    <w:rsid w:val="00356F3D"/>
    <w:rsid w:val="003579D4"/>
    <w:rsid w:val="00363601"/>
    <w:rsid w:val="003658B4"/>
    <w:rsid w:val="00371610"/>
    <w:rsid w:val="00372973"/>
    <w:rsid w:val="003742C7"/>
    <w:rsid w:val="00394142"/>
    <w:rsid w:val="003A1E6B"/>
    <w:rsid w:val="003B3CCC"/>
    <w:rsid w:val="003D071F"/>
    <w:rsid w:val="003D7D45"/>
    <w:rsid w:val="003E50A4"/>
    <w:rsid w:val="003F1332"/>
    <w:rsid w:val="003F5035"/>
    <w:rsid w:val="003F5E25"/>
    <w:rsid w:val="00400D58"/>
    <w:rsid w:val="00404AF7"/>
    <w:rsid w:val="00410640"/>
    <w:rsid w:val="004166F5"/>
    <w:rsid w:val="00420946"/>
    <w:rsid w:val="00425E24"/>
    <w:rsid w:val="004416D1"/>
    <w:rsid w:val="00444B42"/>
    <w:rsid w:val="004468C6"/>
    <w:rsid w:val="00451810"/>
    <w:rsid w:val="004520D0"/>
    <w:rsid w:val="004623F3"/>
    <w:rsid w:val="00471651"/>
    <w:rsid w:val="00471CB4"/>
    <w:rsid w:val="004737A6"/>
    <w:rsid w:val="004B0B2C"/>
    <w:rsid w:val="004B4800"/>
    <w:rsid w:val="004C0784"/>
    <w:rsid w:val="004C1038"/>
    <w:rsid w:val="004C595C"/>
    <w:rsid w:val="004E0359"/>
    <w:rsid w:val="004F4A5F"/>
    <w:rsid w:val="004F6A14"/>
    <w:rsid w:val="00503C41"/>
    <w:rsid w:val="00517DCB"/>
    <w:rsid w:val="00517EAC"/>
    <w:rsid w:val="005444C0"/>
    <w:rsid w:val="00550D5C"/>
    <w:rsid w:val="0055465F"/>
    <w:rsid w:val="0055547F"/>
    <w:rsid w:val="0056301F"/>
    <w:rsid w:val="005630F0"/>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FA0"/>
    <w:rsid w:val="006505E1"/>
    <w:rsid w:val="006532B0"/>
    <w:rsid w:val="00662BF1"/>
    <w:rsid w:val="00672BD3"/>
    <w:rsid w:val="00674E96"/>
    <w:rsid w:val="00680827"/>
    <w:rsid w:val="00682E52"/>
    <w:rsid w:val="00687FED"/>
    <w:rsid w:val="006A23F0"/>
    <w:rsid w:val="006B55A4"/>
    <w:rsid w:val="006C2BD3"/>
    <w:rsid w:val="006C7C6D"/>
    <w:rsid w:val="006D0516"/>
    <w:rsid w:val="006D7316"/>
    <w:rsid w:val="006E620B"/>
    <w:rsid w:val="006E73DF"/>
    <w:rsid w:val="006F30AF"/>
    <w:rsid w:val="006F47E5"/>
    <w:rsid w:val="006F78A0"/>
    <w:rsid w:val="00703612"/>
    <w:rsid w:val="00704A07"/>
    <w:rsid w:val="00711AE9"/>
    <w:rsid w:val="00723F8E"/>
    <w:rsid w:val="00732B18"/>
    <w:rsid w:val="00746658"/>
    <w:rsid w:val="00746EFF"/>
    <w:rsid w:val="007525F5"/>
    <w:rsid w:val="00752A6A"/>
    <w:rsid w:val="007667BD"/>
    <w:rsid w:val="00770B76"/>
    <w:rsid w:val="007761E7"/>
    <w:rsid w:val="00782228"/>
    <w:rsid w:val="0079548F"/>
    <w:rsid w:val="007B1577"/>
    <w:rsid w:val="007B22D8"/>
    <w:rsid w:val="007B39B4"/>
    <w:rsid w:val="007D48A6"/>
    <w:rsid w:val="007D6B15"/>
    <w:rsid w:val="007E627F"/>
    <w:rsid w:val="007F522A"/>
    <w:rsid w:val="007F6B89"/>
    <w:rsid w:val="00800CC2"/>
    <w:rsid w:val="00803051"/>
    <w:rsid w:val="008152A4"/>
    <w:rsid w:val="008225AC"/>
    <w:rsid w:val="00822F6D"/>
    <w:rsid w:val="00823846"/>
    <w:rsid w:val="0083294B"/>
    <w:rsid w:val="00840E13"/>
    <w:rsid w:val="00845388"/>
    <w:rsid w:val="008504E3"/>
    <w:rsid w:val="008601E9"/>
    <w:rsid w:val="00862FB8"/>
    <w:rsid w:val="008A2D54"/>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90E66"/>
    <w:rsid w:val="00997B22"/>
    <w:rsid w:val="009A2490"/>
    <w:rsid w:val="009B56C3"/>
    <w:rsid w:val="009D2FE2"/>
    <w:rsid w:val="009D691D"/>
    <w:rsid w:val="009E608F"/>
    <w:rsid w:val="009F7A70"/>
    <w:rsid w:val="00A01B4B"/>
    <w:rsid w:val="00A03815"/>
    <w:rsid w:val="00A06C10"/>
    <w:rsid w:val="00A1218A"/>
    <w:rsid w:val="00A137D7"/>
    <w:rsid w:val="00A35B1F"/>
    <w:rsid w:val="00A43066"/>
    <w:rsid w:val="00A568CC"/>
    <w:rsid w:val="00A57EED"/>
    <w:rsid w:val="00A62A66"/>
    <w:rsid w:val="00A7796B"/>
    <w:rsid w:val="00A836EF"/>
    <w:rsid w:val="00A85786"/>
    <w:rsid w:val="00A87D38"/>
    <w:rsid w:val="00AA6E6F"/>
    <w:rsid w:val="00AB4A64"/>
    <w:rsid w:val="00AB5353"/>
    <w:rsid w:val="00AB6119"/>
    <w:rsid w:val="00AB649F"/>
    <w:rsid w:val="00AC119B"/>
    <w:rsid w:val="00AD07B6"/>
    <w:rsid w:val="00AD420C"/>
    <w:rsid w:val="00AD646A"/>
    <w:rsid w:val="00AF47D9"/>
    <w:rsid w:val="00B01B83"/>
    <w:rsid w:val="00B03D03"/>
    <w:rsid w:val="00B040FC"/>
    <w:rsid w:val="00B04429"/>
    <w:rsid w:val="00B15314"/>
    <w:rsid w:val="00B16521"/>
    <w:rsid w:val="00B16C8B"/>
    <w:rsid w:val="00B25CED"/>
    <w:rsid w:val="00B27BEE"/>
    <w:rsid w:val="00B34650"/>
    <w:rsid w:val="00B41EA5"/>
    <w:rsid w:val="00B45B23"/>
    <w:rsid w:val="00B46E8E"/>
    <w:rsid w:val="00B5273F"/>
    <w:rsid w:val="00B569C1"/>
    <w:rsid w:val="00B569E4"/>
    <w:rsid w:val="00B61518"/>
    <w:rsid w:val="00B65824"/>
    <w:rsid w:val="00B65CC7"/>
    <w:rsid w:val="00B67098"/>
    <w:rsid w:val="00B679D2"/>
    <w:rsid w:val="00B817A8"/>
    <w:rsid w:val="00B8408C"/>
    <w:rsid w:val="00B90BF8"/>
    <w:rsid w:val="00B96F8A"/>
    <w:rsid w:val="00BA12EA"/>
    <w:rsid w:val="00BB1623"/>
    <w:rsid w:val="00BC7B09"/>
    <w:rsid w:val="00BD18A1"/>
    <w:rsid w:val="00BD5978"/>
    <w:rsid w:val="00BD66AD"/>
    <w:rsid w:val="00BF0157"/>
    <w:rsid w:val="00BF1E40"/>
    <w:rsid w:val="00BF2D2F"/>
    <w:rsid w:val="00BF6B59"/>
    <w:rsid w:val="00C03127"/>
    <w:rsid w:val="00C0680F"/>
    <w:rsid w:val="00C2091F"/>
    <w:rsid w:val="00C2260A"/>
    <w:rsid w:val="00C22DCB"/>
    <w:rsid w:val="00C32D24"/>
    <w:rsid w:val="00C43D2B"/>
    <w:rsid w:val="00C54BB6"/>
    <w:rsid w:val="00C628A0"/>
    <w:rsid w:val="00C654A6"/>
    <w:rsid w:val="00C76B4F"/>
    <w:rsid w:val="00CA65E5"/>
    <w:rsid w:val="00CB2034"/>
    <w:rsid w:val="00CB5C71"/>
    <w:rsid w:val="00CB6A80"/>
    <w:rsid w:val="00CD6D2F"/>
    <w:rsid w:val="00CE4500"/>
    <w:rsid w:val="00CF5D12"/>
    <w:rsid w:val="00CF7C6B"/>
    <w:rsid w:val="00D05049"/>
    <w:rsid w:val="00D138C3"/>
    <w:rsid w:val="00D31404"/>
    <w:rsid w:val="00D44C87"/>
    <w:rsid w:val="00D527EA"/>
    <w:rsid w:val="00D63C25"/>
    <w:rsid w:val="00D64080"/>
    <w:rsid w:val="00D70163"/>
    <w:rsid w:val="00D80E7E"/>
    <w:rsid w:val="00D857B9"/>
    <w:rsid w:val="00D86D6F"/>
    <w:rsid w:val="00DA6428"/>
    <w:rsid w:val="00DB1B21"/>
    <w:rsid w:val="00DC305C"/>
    <w:rsid w:val="00DD389D"/>
    <w:rsid w:val="00DF5C6C"/>
    <w:rsid w:val="00E00A30"/>
    <w:rsid w:val="00E0574E"/>
    <w:rsid w:val="00E05D32"/>
    <w:rsid w:val="00E07DDC"/>
    <w:rsid w:val="00E149BA"/>
    <w:rsid w:val="00E23B45"/>
    <w:rsid w:val="00E31039"/>
    <w:rsid w:val="00E360CB"/>
    <w:rsid w:val="00E36D1C"/>
    <w:rsid w:val="00E418B5"/>
    <w:rsid w:val="00E453F6"/>
    <w:rsid w:val="00E462DD"/>
    <w:rsid w:val="00E50F10"/>
    <w:rsid w:val="00E67374"/>
    <w:rsid w:val="00E74ECF"/>
    <w:rsid w:val="00E81CD4"/>
    <w:rsid w:val="00E87C9F"/>
    <w:rsid w:val="00EA57C7"/>
    <w:rsid w:val="00EC12B3"/>
    <w:rsid w:val="00EC1D50"/>
    <w:rsid w:val="00EC1F98"/>
    <w:rsid w:val="00EE5B43"/>
    <w:rsid w:val="00F06CCD"/>
    <w:rsid w:val="00F111B0"/>
    <w:rsid w:val="00F12343"/>
    <w:rsid w:val="00F14A05"/>
    <w:rsid w:val="00F16B3B"/>
    <w:rsid w:val="00F16EA3"/>
    <w:rsid w:val="00F17C44"/>
    <w:rsid w:val="00F255EE"/>
    <w:rsid w:val="00F25FF4"/>
    <w:rsid w:val="00F33C68"/>
    <w:rsid w:val="00F44F7E"/>
    <w:rsid w:val="00F52E6A"/>
    <w:rsid w:val="00F535EB"/>
    <w:rsid w:val="00F609A9"/>
    <w:rsid w:val="00F73281"/>
    <w:rsid w:val="00F77334"/>
    <w:rsid w:val="00F823C3"/>
    <w:rsid w:val="00F978A6"/>
    <w:rsid w:val="00FB073D"/>
    <w:rsid w:val="00FB7BE1"/>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15:docId w15:val="{3861CCC9-C9FD-4D66-AD1C-662C080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uiPriority w:val="9"/>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uiPriority w:val="9"/>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uiPriority w:val="99"/>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E73DF"/>
    <w:rPr>
      <w:rFonts w:ascii="Verdana" w:hAnsi="Verdana"/>
      <w:b/>
      <w:kern w:val="20"/>
      <w:sz w:val="22"/>
      <w:lang w:eastAsia="sv-SE"/>
    </w:rPr>
  </w:style>
  <w:style w:type="paragraph" w:customStyle="1" w:styleId="ul-1">
    <w:name w:val="ul-1"/>
    <w:basedOn w:val="Normal"/>
    <w:rsid w:val="006E73DF"/>
    <w:pPr>
      <w:spacing w:before="15" w:after="100" w:afterAutospacing="1" w:line="240" w:lineRule="atLeast"/>
    </w:pPr>
    <w:rPr>
      <w:rFonts w:ascii="Verdana" w:eastAsia="Times New Roman" w:hAnsi="Verdana" w:cs="Times New Roman"/>
      <w:sz w:val="18"/>
      <w:szCs w:val="18"/>
    </w:rPr>
  </w:style>
  <w:style w:type="character" w:customStyle="1" w:styleId="Heading4Char">
    <w:name w:val="Heading 4 Char"/>
    <w:basedOn w:val="DefaultParagraphFont"/>
    <w:link w:val="Heading4"/>
    <w:uiPriority w:val="9"/>
    <w:rsid w:val="006E73DF"/>
    <w:rPr>
      <w:rFonts w:ascii="Verdana" w:hAnsi="Verdana"/>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d94bafb6-932c-4f82-95d5-61409e13c82b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2016-07-01T21:24:03+00:00</Document_x0020_Date>
    <Document_x0020_No xmlns="4b47aac5-4c46-444f-8595-ce09b406fc61">25007</Document_x0020_No>
  </documentManagement>
</p:properties>
</file>

<file path=customXml/itemProps1.xml><?xml version="1.0" encoding="utf-8"?>
<ds:datastoreItem xmlns:ds="http://schemas.openxmlformats.org/officeDocument/2006/customXml" ds:itemID="{4CB7CEBF-CD70-46FE-A173-3C6221B299BD}"/>
</file>

<file path=customXml/itemProps2.xml><?xml version="1.0" encoding="utf-8"?>
<ds:datastoreItem xmlns:ds="http://schemas.openxmlformats.org/officeDocument/2006/customXml" ds:itemID="{91FAEB2D-69B3-47A8-B308-98F974AB323D}"/>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28FCE84-965F-4FC6-9658-A81160683615}"/>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5</Pages>
  <Words>813</Words>
  <Characters>4635</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2016-06-08T16:20:00Z</cp:lastPrinted>
  <dcterms:created xsi:type="dcterms:W3CDTF">2016-07-01T21:16:00Z</dcterms:created>
  <dcterms:modified xsi:type="dcterms:W3CDTF">2016-07-01T21:16:00Z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2665800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