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F98" w:rsidRPr="00650B32" w:rsidRDefault="00EC1F98" w:rsidP="001B6ADA">
      <w:pPr>
        <w:pStyle w:val="NoSpacing"/>
        <w:ind w:left="2620" w:firstLine="1310"/>
        <w:rPr>
          <w:rFonts w:ascii="Times New Roman" w:eastAsia="Calibri" w:hAnsi="Times New Roman" w:cs="Times New Roman"/>
          <w:b/>
          <w:bCs/>
          <w:sz w:val="24"/>
          <w:szCs w:val="24"/>
        </w:rPr>
      </w:pPr>
      <w:bookmarkStart w:id="0" w:name="_GoBack"/>
      <w:bookmarkEnd w:id="0"/>
      <w:r w:rsidRPr="00650B32">
        <w:rPr>
          <w:rFonts w:ascii="Times New Roman" w:eastAsia="Calibri" w:hAnsi="Times New Roman" w:cs="Times New Roman"/>
          <w:b/>
          <w:bCs/>
          <w:color w:val="333333"/>
          <w:sz w:val="24"/>
          <w:szCs w:val="24"/>
        </w:rPr>
        <w:t>Rule Self-Certification</w:t>
      </w:r>
    </w:p>
    <w:p w:rsidR="00EC1F98" w:rsidRPr="00650B32" w:rsidRDefault="00EC1F98" w:rsidP="00EC1F98">
      <w:pPr>
        <w:pStyle w:val="NoSpacing"/>
        <w:rPr>
          <w:rFonts w:ascii="Times New Roman" w:eastAsia="Calibri" w:hAnsi="Times New Roman" w:cs="Times New Roman"/>
          <w:sz w:val="24"/>
          <w:szCs w:val="24"/>
          <w:u w:val="single"/>
        </w:rPr>
      </w:pPr>
    </w:p>
    <w:p w:rsidR="005101CA" w:rsidRPr="00650B32" w:rsidRDefault="00855234" w:rsidP="005101CA">
      <w:pPr>
        <w:pStyle w:val="NoSpacing"/>
        <w:rPr>
          <w:rFonts w:ascii="Times New Roman" w:eastAsia="Calibri" w:hAnsi="Times New Roman" w:cs="Times New Roman"/>
          <w:sz w:val="24"/>
          <w:szCs w:val="24"/>
        </w:rPr>
      </w:pPr>
      <w:r>
        <w:rPr>
          <w:rFonts w:ascii="Times New Roman" w:eastAsia="Calibri" w:hAnsi="Times New Roman" w:cs="Times New Roman"/>
          <w:sz w:val="24"/>
          <w:szCs w:val="24"/>
        </w:rPr>
        <w:t>July 15</w:t>
      </w:r>
      <w:r w:rsidR="005101CA">
        <w:rPr>
          <w:rFonts w:ascii="Times New Roman" w:eastAsia="Calibri" w:hAnsi="Times New Roman" w:cs="Times New Roman"/>
          <w:sz w:val="24"/>
          <w:szCs w:val="24"/>
        </w:rPr>
        <w:t>, 2016</w:t>
      </w:r>
    </w:p>
    <w:p w:rsidR="005101CA" w:rsidRPr="00650B32" w:rsidRDefault="005101CA" w:rsidP="005101CA">
      <w:pPr>
        <w:pStyle w:val="NoSpacing"/>
        <w:rPr>
          <w:rFonts w:ascii="Times New Roman" w:eastAsia="Calibri" w:hAnsi="Times New Roman" w:cs="Times New Roman"/>
          <w:sz w:val="24"/>
          <w:szCs w:val="24"/>
        </w:rPr>
      </w:pPr>
    </w:p>
    <w:p w:rsidR="005101CA" w:rsidRPr="00197F73" w:rsidRDefault="005101CA" w:rsidP="005101CA">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Christopher J. Kirkpatrick</w:t>
      </w:r>
    </w:p>
    <w:p w:rsidR="005101CA" w:rsidRDefault="005101CA" w:rsidP="005101CA">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Office of the Secretariat</w:t>
      </w:r>
    </w:p>
    <w:p w:rsidR="005101CA" w:rsidRPr="00352533" w:rsidRDefault="005101CA" w:rsidP="005101CA">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Commodity Futures Trading Commission</w:t>
      </w:r>
    </w:p>
    <w:p w:rsidR="005101CA" w:rsidRPr="00352533" w:rsidRDefault="005101CA" w:rsidP="005101CA">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Three Lafayette Center</w:t>
      </w:r>
    </w:p>
    <w:p w:rsidR="005101CA" w:rsidRPr="00352533" w:rsidRDefault="005101CA" w:rsidP="005101CA">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1155 21</w:t>
      </w:r>
      <w:r w:rsidRPr="00352533">
        <w:rPr>
          <w:rFonts w:ascii="Times New Roman" w:eastAsia="Calibri" w:hAnsi="Times New Roman" w:cs="Times New Roman"/>
          <w:sz w:val="24"/>
          <w:szCs w:val="24"/>
          <w:vertAlign w:val="superscript"/>
        </w:rPr>
        <w:t>st</w:t>
      </w:r>
      <w:r w:rsidRPr="00352533">
        <w:rPr>
          <w:rFonts w:ascii="Times New Roman" w:eastAsia="Calibri" w:hAnsi="Times New Roman" w:cs="Times New Roman"/>
          <w:sz w:val="24"/>
          <w:szCs w:val="24"/>
        </w:rPr>
        <w:t xml:space="preserve"> Street, NW</w:t>
      </w:r>
    </w:p>
    <w:p w:rsidR="005101CA" w:rsidRPr="00352533" w:rsidRDefault="005101CA" w:rsidP="005101CA">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Washington, DC  20581</w:t>
      </w:r>
    </w:p>
    <w:p w:rsidR="005101CA" w:rsidRPr="00352533" w:rsidRDefault="005101CA" w:rsidP="005101CA">
      <w:pPr>
        <w:pStyle w:val="NoSpacing"/>
        <w:rPr>
          <w:rFonts w:ascii="Times New Roman" w:eastAsia="Times New Roman" w:hAnsi="Times New Roman" w:cs="Times New Roman"/>
          <w:sz w:val="24"/>
          <w:szCs w:val="24"/>
        </w:rPr>
      </w:pPr>
    </w:p>
    <w:p w:rsidR="005101CA" w:rsidRPr="00352533" w:rsidRDefault="005101CA" w:rsidP="005101CA">
      <w:pPr>
        <w:pStyle w:val="NoSpacing"/>
        <w:ind w:left="720"/>
        <w:rPr>
          <w:rFonts w:ascii="Times New Roman" w:eastAsia="Calibri" w:hAnsi="Times New Roman" w:cs="Times New Roman"/>
          <w:b/>
          <w:sz w:val="24"/>
          <w:szCs w:val="24"/>
        </w:rPr>
      </w:pPr>
      <w:r>
        <w:rPr>
          <w:rFonts w:ascii="Times New Roman" w:eastAsia="Calibri" w:hAnsi="Times New Roman" w:cs="Times New Roman"/>
          <w:sz w:val="24"/>
          <w:szCs w:val="24"/>
        </w:rPr>
        <w:t xml:space="preserve">Re:  </w:t>
      </w:r>
      <w:r w:rsidRPr="00352533">
        <w:rPr>
          <w:rFonts w:ascii="Times New Roman" w:eastAsia="Calibri" w:hAnsi="Times New Roman" w:cs="Times New Roman"/>
          <w:b/>
          <w:sz w:val="24"/>
          <w:szCs w:val="24"/>
        </w:rPr>
        <w:t xml:space="preserve">Rule Certification for </w:t>
      </w:r>
      <w:r>
        <w:rPr>
          <w:rFonts w:ascii="Times New Roman" w:eastAsia="Calibri" w:hAnsi="Times New Roman" w:cs="Times New Roman"/>
          <w:b/>
          <w:sz w:val="24"/>
          <w:szCs w:val="24"/>
        </w:rPr>
        <w:t xml:space="preserve">Various Rules Associated with </w:t>
      </w:r>
    </w:p>
    <w:p w:rsidR="00AE3B10" w:rsidRPr="00352533" w:rsidRDefault="005101CA" w:rsidP="00AE3B10">
      <w:pPr>
        <w:tabs>
          <w:tab w:val="left" w:pos="1170"/>
        </w:tabs>
        <w:spacing w:after="0" w:line="240" w:lineRule="auto"/>
        <w:ind w:left="90" w:hanging="630"/>
        <w:rPr>
          <w:rFonts w:ascii="Times New Roman" w:eastAsia="Calibri" w:hAnsi="Times New Roman" w:cs="Times New Roman"/>
          <w:b/>
          <w:sz w:val="24"/>
          <w:szCs w:val="24"/>
        </w:rPr>
      </w:pPr>
      <w:r w:rsidRPr="00352533">
        <w:rPr>
          <w:rFonts w:ascii="Times New Roman" w:eastAsia="Times New Roman" w:hAnsi="Times New Roman" w:cs="Times New Roman"/>
          <w:b/>
          <w:bCs/>
          <w:sz w:val="24"/>
          <w:szCs w:val="24"/>
        </w:rPr>
        <w:tab/>
      </w:r>
      <w:r w:rsidRPr="00352533">
        <w:rPr>
          <w:rFonts w:ascii="Times New Roman" w:eastAsia="Times New Roman" w:hAnsi="Times New Roman" w:cs="Times New Roman"/>
          <w:b/>
          <w:bCs/>
          <w:sz w:val="24"/>
          <w:szCs w:val="24"/>
        </w:rPr>
        <w:tab/>
      </w:r>
      <w:r w:rsidR="004237FA">
        <w:rPr>
          <w:rFonts w:ascii="Times New Roman" w:eastAsia="Times New Roman" w:hAnsi="Times New Roman" w:cs="Times New Roman"/>
          <w:b/>
          <w:bCs/>
          <w:sz w:val="24"/>
          <w:szCs w:val="24"/>
        </w:rPr>
        <w:t xml:space="preserve">Two </w:t>
      </w:r>
      <w:r w:rsidR="00AE3B10">
        <w:rPr>
          <w:rFonts w:ascii="Times New Roman" w:eastAsia="Times New Roman" w:hAnsi="Times New Roman" w:cs="Times New Roman"/>
          <w:b/>
          <w:bCs/>
          <w:sz w:val="24"/>
          <w:szCs w:val="24"/>
        </w:rPr>
        <w:t xml:space="preserve">New </w:t>
      </w:r>
      <w:r w:rsidR="004237FA">
        <w:rPr>
          <w:rFonts w:ascii="Times New Roman" w:eastAsia="Times New Roman" w:hAnsi="Times New Roman" w:cs="Times New Roman"/>
          <w:b/>
          <w:bCs/>
          <w:sz w:val="24"/>
          <w:szCs w:val="24"/>
        </w:rPr>
        <w:t xml:space="preserve">NFX </w:t>
      </w:r>
      <w:r w:rsidR="00AE3B10">
        <w:rPr>
          <w:rFonts w:ascii="Times New Roman" w:eastAsia="Times New Roman" w:hAnsi="Times New Roman" w:cs="Times New Roman"/>
          <w:b/>
          <w:bCs/>
          <w:sz w:val="24"/>
          <w:szCs w:val="24"/>
        </w:rPr>
        <w:t xml:space="preserve">Fuel Oil </w:t>
      </w:r>
      <w:r w:rsidR="004237FA">
        <w:rPr>
          <w:rFonts w:ascii="Times New Roman" w:eastAsia="Times New Roman" w:hAnsi="Times New Roman" w:cs="Times New Roman"/>
          <w:b/>
          <w:bCs/>
          <w:sz w:val="24"/>
          <w:szCs w:val="24"/>
        </w:rPr>
        <w:t xml:space="preserve">Differential Price </w:t>
      </w:r>
      <w:r w:rsidR="00AE3B10">
        <w:rPr>
          <w:rFonts w:ascii="Times New Roman" w:eastAsia="Times New Roman" w:hAnsi="Times New Roman" w:cs="Times New Roman"/>
          <w:b/>
          <w:bCs/>
          <w:sz w:val="24"/>
          <w:szCs w:val="24"/>
        </w:rPr>
        <w:t>Futures Contracts</w:t>
      </w:r>
    </w:p>
    <w:p w:rsidR="005101CA" w:rsidRPr="00352533" w:rsidRDefault="005101CA" w:rsidP="005101CA">
      <w:pPr>
        <w:pStyle w:val="NoSpacing"/>
        <w:ind w:left="720"/>
        <w:rPr>
          <w:rFonts w:ascii="Times New Roman" w:eastAsia="Calibri" w:hAnsi="Times New Roman" w:cs="Times New Roman"/>
          <w:b/>
          <w:sz w:val="24"/>
          <w:szCs w:val="24"/>
          <w:u w:val="single"/>
        </w:rPr>
      </w:pPr>
      <w:r>
        <w:rPr>
          <w:rFonts w:ascii="Times New Roman" w:eastAsia="Calibri" w:hAnsi="Times New Roman" w:cs="Times New Roman"/>
          <w:b/>
          <w:sz w:val="24"/>
          <w:szCs w:val="24"/>
        </w:rPr>
        <w:t xml:space="preserve">       </w:t>
      </w:r>
      <w:r>
        <w:rPr>
          <w:rFonts w:ascii="Times New Roman" w:eastAsia="Calibri" w:hAnsi="Times New Roman" w:cs="Times New Roman"/>
          <w:b/>
          <w:sz w:val="24"/>
          <w:szCs w:val="24"/>
          <w:u w:val="single"/>
        </w:rPr>
        <w:t>R</w:t>
      </w:r>
      <w:r w:rsidRPr="00352533">
        <w:rPr>
          <w:rFonts w:ascii="Times New Roman" w:eastAsia="Calibri" w:hAnsi="Times New Roman" w:cs="Times New Roman"/>
          <w:b/>
          <w:sz w:val="24"/>
          <w:szCs w:val="24"/>
          <w:u w:val="single"/>
        </w:rPr>
        <w:t>eference File: SR-NFX-2016-</w:t>
      </w:r>
      <w:r w:rsidR="004237FA">
        <w:rPr>
          <w:rFonts w:ascii="Times New Roman" w:eastAsia="Calibri" w:hAnsi="Times New Roman" w:cs="Times New Roman"/>
          <w:b/>
          <w:sz w:val="24"/>
          <w:szCs w:val="24"/>
          <w:u w:val="single"/>
        </w:rPr>
        <w:t>74</w:t>
      </w:r>
    </w:p>
    <w:p w:rsidR="005101CA" w:rsidRPr="00352533" w:rsidRDefault="005101CA" w:rsidP="005101CA">
      <w:pPr>
        <w:pStyle w:val="NoSpacing"/>
        <w:ind w:left="720" w:hanging="720"/>
        <w:rPr>
          <w:rFonts w:ascii="Times New Roman" w:hAnsi="Times New Roman" w:cs="Times New Roman"/>
          <w:b/>
          <w:sz w:val="24"/>
          <w:szCs w:val="24"/>
          <w:u w:val="single"/>
        </w:rPr>
      </w:pPr>
    </w:p>
    <w:p w:rsidR="005101CA" w:rsidRPr="00352533" w:rsidRDefault="005101CA" w:rsidP="005101CA">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Dear Mr. Kirkpatrick:</w:t>
      </w:r>
    </w:p>
    <w:p w:rsidR="005101CA" w:rsidRPr="00352533" w:rsidRDefault="005101CA" w:rsidP="005101CA">
      <w:pPr>
        <w:pStyle w:val="NoSpacing"/>
        <w:rPr>
          <w:rFonts w:ascii="Times New Roman" w:eastAsia="Calibri" w:hAnsi="Times New Roman" w:cs="Times New Roman"/>
          <w:sz w:val="24"/>
          <w:szCs w:val="24"/>
        </w:rPr>
      </w:pPr>
    </w:p>
    <w:p w:rsidR="00155670" w:rsidRPr="001B6ADA" w:rsidRDefault="005101CA" w:rsidP="00155670">
      <w:pPr>
        <w:pStyle w:val="NoSpacing"/>
        <w:ind w:firstLine="1310"/>
        <w:rPr>
          <w:rFonts w:ascii="Times New Roman" w:eastAsia="Calibri" w:hAnsi="Times New Roman" w:cs="Times New Roman"/>
          <w:sz w:val="24"/>
          <w:szCs w:val="24"/>
        </w:rPr>
      </w:pPr>
      <w:r w:rsidRPr="00352533">
        <w:rPr>
          <w:rFonts w:ascii="Times New Roman" w:eastAsia="Calibri" w:hAnsi="Times New Roman" w:cs="Times New Roman"/>
          <w:sz w:val="24"/>
          <w:szCs w:val="24"/>
        </w:rPr>
        <w:t>Pursuant to Section 5c(c)(1) of the Commodity Exchange Act, as amended (“</w:t>
      </w:r>
      <w:r w:rsidRPr="00352533">
        <w:rPr>
          <w:rFonts w:ascii="Times New Roman" w:eastAsia="Calibri" w:hAnsi="Times New Roman" w:cs="Times New Roman"/>
          <w:sz w:val="24"/>
          <w:szCs w:val="24"/>
          <w:u w:val="single"/>
        </w:rPr>
        <w:t>Act</w:t>
      </w:r>
      <w:r w:rsidRPr="00352533">
        <w:rPr>
          <w:rFonts w:ascii="Times New Roman" w:eastAsia="Calibri" w:hAnsi="Times New Roman" w:cs="Times New Roman"/>
          <w:sz w:val="24"/>
          <w:szCs w:val="24"/>
        </w:rPr>
        <w:t>”), and Section</w:t>
      </w:r>
      <w:r>
        <w:rPr>
          <w:rFonts w:ascii="Times New Roman" w:eastAsia="Calibri" w:hAnsi="Times New Roman" w:cs="Times New Roman"/>
          <w:sz w:val="24"/>
          <w:szCs w:val="24"/>
        </w:rPr>
        <w:t xml:space="preserve"> </w:t>
      </w:r>
      <w:r w:rsidRPr="00352533">
        <w:rPr>
          <w:rFonts w:ascii="Times New Roman" w:hAnsi="Times New Roman" w:cs="Times New Roman"/>
          <w:sz w:val="24"/>
          <w:szCs w:val="24"/>
        </w:rPr>
        <w:t xml:space="preserve">40.6 </w:t>
      </w:r>
      <w:r w:rsidRPr="00352533">
        <w:rPr>
          <w:rFonts w:ascii="Times New Roman" w:eastAsia="Calibri" w:hAnsi="Times New Roman" w:cs="Times New Roman"/>
          <w:sz w:val="24"/>
          <w:szCs w:val="24"/>
        </w:rPr>
        <w:t xml:space="preserve">of the </w:t>
      </w:r>
      <w:r>
        <w:rPr>
          <w:rFonts w:ascii="Times New Roman" w:eastAsia="Calibri" w:hAnsi="Times New Roman" w:cs="Times New Roman"/>
          <w:sz w:val="24"/>
          <w:szCs w:val="24"/>
        </w:rPr>
        <w:t xml:space="preserve">Commission’s regulations thereunder, </w:t>
      </w:r>
      <w:r w:rsidRPr="00352533">
        <w:rPr>
          <w:rFonts w:ascii="Times New Roman" w:eastAsia="Calibri" w:hAnsi="Times New Roman" w:cs="Times New Roman"/>
          <w:sz w:val="24"/>
          <w:szCs w:val="24"/>
        </w:rPr>
        <w:t>NASDAQ Futures, Inc. (“</w:t>
      </w:r>
      <w:r w:rsidRPr="00352533">
        <w:rPr>
          <w:rFonts w:ascii="Times New Roman" w:eastAsia="Calibri" w:hAnsi="Times New Roman" w:cs="Times New Roman"/>
          <w:sz w:val="24"/>
          <w:szCs w:val="24"/>
          <w:u w:val="single"/>
        </w:rPr>
        <w:t>NFX</w:t>
      </w:r>
      <w:r w:rsidRPr="00352533">
        <w:rPr>
          <w:rFonts w:ascii="Times New Roman" w:eastAsia="Calibri" w:hAnsi="Times New Roman" w:cs="Times New Roman"/>
          <w:sz w:val="24"/>
          <w:szCs w:val="24"/>
        </w:rPr>
        <w:t>” or “</w:t>
      </w:r>
      <w:r w:rsidRPr="00352533">
        <w:rPr>
          <w:rFonts w:ascii="Times New Roman" w:eastAsia="Calibri" w:hAnsi="Times New Roman" w:cs="Times New Roman"/>
          <w:sz w:val="24"/>
          <w:szCs w:val="24"/>
          <w:u w:val="single"/>
        </w:rPr>
        <w:t>Exchange</w:t>
      </w:r>
      <w:r w:rsidRPr="00352533">
        <w:rPr>
          <w:rFonts w:ascii="Times New Roman" w:eastAsia="Calibri" w:hAnsi="Times New Roman" w:cs="Times New Roman"/>
          <w:sz w:val="24"/>
          <w:szCs w:val="24"/>
        </w:rPr>
        <w:t xml:space="preserve">”) hereby submits rules </w:t>
      </w:r>
      <w:r>
        <w:rPr>
          <w:rFonts w:ascii="Times New Roman" w:eastAsia="Calibri" w:hAnsi="Times New Roman" w:cs="Times New Roman"/>
          <w:sz w:val="24"/>
          <w:szCs w:val="24"/>
        </w:rPr>
        <w:t xml:space="preserve">relating to block trade minimum quantity thresholds and reporting times, trading hours, </w:t>
      </w:r>
      <w:r w:rsidRPr="005948D5">
        <w:rPr>
          <w:rFonts w:ascii="Times New Roman" w:eastAsia="Calibri" w:hAnsi="Times New Roman" w:cs="Times New Roman"/>
          <w:sz w:val="24"/>
          <w:szCs w:val="24"/>
        </w:rPr>
        <w:t xml:space="preserve">daily settlement prices and non-reviewable ranges for </w:t>
      </w:r>
      <w:r w:rsidR="005F4F87">
        <w:rPr>
          <w:rFonts w:ascii="Times New Roman" w:eastAsia="Calibri" w:hAnsi="Times New Roman" w:cs="Times New Roman"/>
          <w:sz w:val="24"/>
          <w:szCs w:val="24"/>
        </w:rPr>
        <w:t>two</w:t>
      </w:r>
      <w:r w:rsidR="00AE3B10">
        <w:rPr>
          <w:rFonts w:ascii="Times New Roman" w:eastAsia="Calibri" w:hAnsi="Times New Roman" w:cs="Times New Roman"/>
          <w:sz w:val="24"/>
          <w:szCs w:val="24"/>
        </w:rPr>
        <w:t xml:space="preserve"> new fuel oil futures contracts </w:t>
      </w:r>
      <w:r w:rsidR="00155670">
        <w:rPr>
          <w:rFonts w:ascii="Times New Roman" w:eastAsia="Calibri" w:hAnsi="Times New Roman" w:cs="Times New Roman"/>
          <w:sz w:val="24"/>
          <w:szCs w:val="24"/>
        </w:rPr>
        <w:t>(together, the “</w:t>
      </w:r>
      <w:r w:rsidR="00155670" w:rsidRPr="008E0112">
        <w:rPr>
          <w:rFonts w:ascii="Times New Roman" w:eastAsia="Calibri" w:hAnsi="Times New Roman" w:cs="Times New Roman"/>
          <w:sz w:val="24"/>
          <w:szCs w:val="24"/>
          <w:u w:val="single"/>
        </w:rPr>
        <w:t>New Contracts</w:t>
      </w:r>
      <w:r w:rsidR="00155670">
        <w:rPr>
          <w:rFonts w:ascii="Times New Roman" w:eastAsia="Calibri" w:hAnsi="Times New Roman" w:cs="Times New Roman"/>
          <w:sz w:val="24"/>
          <w:szCs w:val="24"/>
        </w:rPr>
        <w:t xml:space="preserve">”).  </w:t>
      </w:r>
      <w:r w:rsidR="00855234">
        <w:rPr>
          <w:rFonts w:ascii="Times New Roman" w:eastAsia="Calibri" w:hAnsi="Times New Roman" w:cs="Times New Roman"/>
          <w:sz w:val="24"/>
          <w:szCs w:val="24"/>
        </w:rPr>
        <w:t>T</w:t>
      </w:r>
      <w:r w:rsidR="00377E3B" w:rsidRPr="00377E3B">
        <w:rPr>
          <w:rFonts w:ascii="Times New Roman" w:eastAsia="Calibri" w:hAnsi="Times New Roman" w:cs="Times New Roman"/>
          <w:sz w:val="24"/>
          <w:szCs w:val="24"/>
        </w:rPr>
        <w:t>he New Cont</w:t>
      </w:r>
      <w:r w:rsidR="00377E3B" w:rsidRPr="00384F08">
        <w:rPr>
          <w:rFonts w:ascii="Times New Roman" w:eastAsia="Calibri" w:hAnsi="Times New Roman" w:cs="Times New Roman"/>
          <w:sz w:val="24"/>
          <w:szCs w:val="24"/>
        </w:rPr>
        <w:t xml:space="preserve">racts are monthly cash settled futures contracts based on the arithmetic average of the mean of the high and low quotations from Platts European Marketscan or Platts Asia-Pacific Marketscan  fuel oil assessments </w:t>
      </w:r>
      <w:r w:rsidR="00384F08">
        <w:rPr>
          <w:rFonts w:ascii="Times New Roman" w:eastAsia="Calibri" w:hAnsi="Times New Roman" w:cs="Times New Roman"/>
          <w:sz w:val="24"/>
          <w:szCs w:val="24"/>
        </w:rPr>
        <w:t xml:space="preserve">identified in the New Contracts’ names </w:t>
      </w:r>
      <w:r w:rsidR="00377E3B" w:rsidRPr="00384F08">
        <w:rPr>
          <w:rFonts w:ascii="Times New Roman" w:eastAsia="Calibri" w:hAnsi="Times New Roman" w:cs="Times New Roman"/>
          <w:sz w:val="24"/>
          <w:szCs w:val="24"/>
        </w:rPr>
        <w:t>for each business day that the assessment is determined during the contract month.</w:t>
      </w:r>
      <w:r w:rsidR="00B94FFA">
        <w:rPr>
          <w:rFonts w:ascii="Times New Roman" w:eastAsia="Calibri" w:hAnsi="Times New Roman" w:cs="Times New Roman"/>
          <w:sz w:val="24"/>
          <w:szCs w:val="24"/>
        </w:rPr>
        <w:t xml:space="preserve">  </w:t>
      </w:r>
      <w:r w:rsidR="00155670" w:rsidRPr="00384F08">
        <w:rPr>
          <w:rFonts w:ascii="Times New Roman" w:eastAsia="Calibri" w:hAnsi="Times New Roman" w:cs="Times New Roman"/>
          <w:sz w:val="24"/>
          <w:szCs w:val="24"/>
        </w:rPr>
        <w:t xml:space="preserve">The Exchange anticipates listing the New Contracts beginning </w:t>
      </w:r>
      <w:r w:rsidR="004237FA">
        <w:rPr>
          <w:rFonts w:ascii="Times New Roman" w:eastAsia="Calibri" w:hAnsi="Times New Roman" w:cs="Times New Roman"/>
          <w:sz w:val="24"/>
          <w:szCs w:val="24"/>
        </w:rPr>
        <w:t>August 1</w:t>
      </w:r>
      <w:r w:rsidR="00B94FFA">
        <w:rPr>
          <w:rFonts w:ascii="Times New Roman" w:eastAsia="Calibri" w:hAnsi="Times New Roman" w:cs="Times New Roman"/>
          <w:sz w:val="24"/>
          <w:szCs w:val="24"/>
        </w:rPr>
        <w:t xml:space="preserve">, </w:t>
      </w:r>
      <w:r w:rsidR="00155670" w:rsidRPr="00384F08">
        <w:rPr>
          <w:rFonts w:ascii="Times New Roman" w:eastAsia="Calibri" w:hAnsi="Times New Roman" w:cs="Times New Roman"/>
          <w:sz w:val="24"/>
          <w:szCs w:val="24"/>
        </w:rPr>
        <w:t xml:space="preserve">2016, for trade date </w:t>
      </w:r>
      <w:r w:rsidR="00855234">
        <w:rPr>
          <w:rFonts w:ascii="Times New Roman" w:eastAsia="Calibri" w:hAnsi="Times New Roman" w:cs="Times New Roman"/>
          <w:sz w:val="24"/>
          <w:szCs w:val="24"/>
        </w:rPr>
        <w:t xml:space="preserve">August </w:t>
      </w:r>
      <w:r w:rsidR="004237FA">
        <w:rPr>
          <w:rFonts w:ascii="Times New Roman" w:eastAsia="Calibri" w:hAnsi="Times New Roman" w:cs="Times New Roman"/>
          <w:sz w:val="24"/>
          <w:szCs w:val="24"/>
        </w:rPr>
        <w:t>2</w:t>
      </w:r>
      <w:r w:rsidR="00155670" w:rsidRPr="00384F08">
        <w:rPr>
          <w:rFonts w:ascii="Times New Roman" w:eastAsia="Calibri" w:hAnsi="Times New Roman" w:cs="Times New Roman"/>
          <w:sz w:val="24"/>
          <w:szCs w:val="24"/>
        </w:rPr>
        <w:t>, 2016.  The amendments proposed in this submission will be effective o</w:t>
      </w:r>
      <w:r w:rsidR="00155670" w:rsidRPr="001B6ADA">
        <w:rPr>
          <w:rFonts w:ascii="Times New Roman" w:eastAsia="Calibri" w:hAnsi="Times New Roman" w:cs="Times New Roman"/>
          <w:sz w:val="24"/>
          <w:szCs w:val="24"/>
        </w:rPr>
        <w:t>n the listing date.</w:t>
      </w:r>
      <w:r w:rsidR="006B7CB3">
        <w:rPr>
          <w:rStyle w:val="FootnoteReference"/>
          <w:rFonts w:ascii="Times New Roman" w:eastAsia="Calibri" w:hAnsi="Times New Roman" w:cs="Times New Roman"/>
          <w:sz w:val="24"/>
          <w:szCs w:val="24"/>
        </w:rPr>
        <w:footnoteReference w:id="1"/>
      </w:r>
    </w:p>
    <w:p w:rsidR="005101CA" w:rsidRPr="005948D5" w:rsidRDefault="00155670" w:rsidP="005101CA">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004446AE">
        <w:rPr>
          <w:rFonts w:ascii="Times New Roman" w:eastAsia="Calibri" w:hAnsi="Times New Roman" w:cs="Times New Roman"/>
          <w:sz w:val="24"/>
          <w:szCs w:val="24"/>
        </w:rPr>
        <w:t xml:space="preserve"> </w:t>
      </w:r>
    </w:p>
    <w:p w:rsidR="004446AE" w:rsidRPr="005F1A38" w:rsidRDefault="004446AE" w:rsidP="004446AE">
      <w:pPr>
        <w:pStyle w:val="NoSpacing"/>
        <w:ind w:firstLine="1310"/>
        <w:rPr>
          <w:rFonts w:ascii="Times New Roman" w:eastAsia="Calibri" w:hAnsi="Times New Roman" w:cs="Times New Roman"/>
          <w:sz w:val="24"/>
          <w:szCs w:val="24"/>
        </w:rPr>
      </w:pPr>
      <w:r w:rsidRPr="001B6ADA">
        <w:rPr>
          <w:rFonts w:ascii="Times New Roman" w:eastAsia="Calibri" w:hAnsi="Times New Roman" w:cs="Times New Roman"/>
          <w:sz w:val="24"/>
          <w:szCs w:val="24"/>
        </w:rPr>
        <w:t xml:space="preserve">The </w:t>
      </w:r>
      <w:r>
        <w:rPr>
          <w:rFonts w:ascii="Times New Roman" w:eastAsia="Calibri" w:hAnsi="Times New Roman" w:cs="Times New Roman"/>
          <w:sz w:val="24"/>
          <w:szCs w:val="24"/>
        </w:rPr>
        <w:t>name of e</w:t>
      </w:r>
      <w:r w:rsidRPr="001B6ADA">
        <w:rPr>
          <w:rFonts w:ascii="Times New Roman" w:eastAsia="Calibri" w:hAnsi="Times New Roman" w:cs="Times New Roman"/>
          <w:sz w:val="24"/>
          <w:szCs w:val="24"/>
        </w:rPr>
        <w:t>ach New Contract</w:t>
      </w:r>
      <w:r>
        <w:rPr>
          <w:rFonts w:ascii="Times New Roman" w:eastAsia="Calibri" w:hAnsi="Times New Roman" w:cs="Times New Roman"/>
          <w:sz w:val="24"/>
          <w:szCs w:val="24"/>
        </w:rPr>
        <w:t xml:space="preserve"> is set forth below, followed by its </w:t>
      </w:r>
      <w:r w:rsidRPr="001B6ADA">
        <w:rPr>
          <w:rFonts w:ascii="Times New Roman" w:eastAsia="Calibri" w:hAnsi="Times New Roman" w:cs="Times New Roman"/>
          <w:sz w:val="24"/>
          <w:szCs w:val="24"/>
        </w:rPr>
        <w:t>symbol in parenthese</w:t>
      </w:r>
      <w:r>
        <w:rPr>
          <w:rFonts w:ascii="Times New Roman" w:eastAsia="Calibri" w:hAnsi="Times New Roman" w:cs="Times New Roman"/>
          <w:sz w:val="24"/>
          <w:szCs w:val="24"/>
        </w:rPr>
        <w:t>s</w:t>
      </w:r>
      <w:r w:rsidRPr="001B6ADA">
        <w:rPr>
          <w:rFonts w:ascii="Times New Roman" w:eastAsia="Calibri" w:hAnsi="Times New Roman" w:cs="Times New Roman"/>
          <w:sz w:val="24"/>
          <w:szCs w:val="24"/>
        </w:rPr>
        <w:t>:</w:t>
      </w:r>
    </w:p>
    <w:p w:rsidR="004446AE" w:rsidRPr="005F1A38" w:rsidRDefault="004446AE" w:rsidP="004446AE">
      <w:pPr>
        <w:pStyle w:val="NoSpacing"/>
        <w:ind w:firstLine="1310"/>
        <w:rPr>
          <w:rFonts w:ascii="Times New Roman" w:eastAsia="Calibri" w:hAnsi="Times New Roman" w:cs="Times New Roman"/>
          <w:sz w:val="24"/>
          <w:szCs w:val="24"/>
        </w:rPr>
      </w:pPr>
    </w:p>
    <w:p w:rsidR="00AE3B10" w:rsidRPr="005F1A38" w:rsidRDefault="00AE3B10" w:rsidP="00AE3B10">
      <w:pPr>
        <w:pStyle w:val="NoSpacing"/>
        <w:ind w:firstLine="1310"/>
        <w:rPr>
          <w:rFonts w:ascii="Times New Roman" w:eastAsia="Calibri" w:hAnsi="Times New Roman" w:cs="Times New Roman"/>
          <w:sz w:val="24"/>
          <w:szCs w:val="24"/>
        </w:rPr>
      </w:pPr>
    </w:p>
    <w:p w:rsidR="004237FA" w:rsidRDefault="004237FA" w:rsidP="004237FA">
      <w:pPr>
        <w:pStyle w:val="ListParagraph"/>
        <w:numPr>
          <w:ilvl w:val="0"/>
          <w:numId w:val="33"/>
        </w:numPr>
        <w:rPr>
          <w:rFonts w:ascii="Times New Roman" w:hAnsi="Times New Roman" w:cs="Times New Roman"/>
          <w:sz w:val="24"/>
          <w:szCs w:val="24"/>
        </w:rPr>
      </w:pPr>
      <w:r w:rsidRPr="009A1294">
        <w:rPr>
          <w:rFonts w:ascii="Times New Roman" w:hAnsi="Times New Roman" w:cs="Times New Roman"/>
          <w:sz w:val="24"/>
          <w:szCs w:val="24"/>
        </w:rPr>
        <w:t>NFX Fuel Oil Diff - NFX Fuel Oil 380 CST Singapore Financial Futures vs NFX Fuel Oil 3.5% FOB Rotterdam Barges Financial Futures (SJSQ)</w:t>
      </w:r>
    </w:p>
    <w:p w:rsidR="004237FA" w:rsidRPr="009A1294" w:rsidRDefault="004237FA" w:rsidP="004237FA">
      <w:pPr>
        <w:pStyle w:val="ListParagraph"/>
        <w:numPr>
          <w:ilvl w:val="0"/>
          <w:numId w:val="33"/>
        </w:numPr>
        <w:rPr>
          <w:rFonts w:ascii="Times New Roman" w:hAnsi="Times New Roman" w:cs="Times New Roman"/>
          <w:sz w:val="24"/>
          <w:szCs w:val="24"/>
        </w:rPr>
      </w:pPr>
      <w:r w:rsidRPr="009A1294">
        <w:rPr>
          <w:rFonts w:ascii="Times New Roman" w:eastAsia="Times New Roman" w:hAnsi="Times New Roman" w:cs="Times New Roman"/>
          <w:bCs/>
          <w:sz w:val="24"/>
          <w:szCs w:val="24"/>
        </w:rPr>
        <w:t>NFX Fuel Oil Diff - NFX Fuel Oil 180 CST Singapore Financial Futures vs NFX Fuel Oil 380 CST Singapore Financial Futures (STSQ)</w:t>
      </w:r>
    </w:p>
    <w:p w:rsidR="00B94FFA" w:rsidRPr="009A1294" w:rsidRDefault="00B94FFA" w:rsidP="004237FA">
      <w:pPr>
        <w:pStyle w:val="ListParagraph"/>
        <w:rPr>
          <w:rFonts w:ascii="Times New Roman" w:hAnsi="Times New Roman" w:cs="Times New Roman"/>
          <w:sz w:val="24"/>
          <w:szCs w:val="24"/>
        </w:rPr>
      </w:pPr>
      <w:r w:rsidRPr="00B94FFA">
        <w:rPr>
          <w:rFonts w:ascii="Times New Roman" w:hAnsi="Times New Roman" w:cs="Times New Roman"/>
          <w:sz w:val="24"/>
          <w:szCs w:val="24"/>
        </w:rPr>
        <w:t xml:space="preserve"> </w:t>
      </w:r>
    </w:p>
    <w:p w:rsidR="002B56C0" w:rsidRPr="001C146C" w:rsidRDefault="002B56C0" w:rsidP="005F4F87">
      <w:pPr>
        <w:pStyle w:val="NoSpacing"/>
        <w:ind w:firstLine="1310"/>
        <w:rPr>
          <w:rFonts w:ascii="Times New Roman" w:hAnsi="Times New Roman" w:cs="Times New Roman"/>
          <w:sz w:val="24"/>
          <w:szCs w:val="24"/>
        </w:rPr>
      </w:pPr>
      <w:r w:rsidRPr="005948D5">
        <w:rPr>
          <w:rFonts w:ascii="Times New Roman" w:hAnsi="Times New Roman" w:cs="Times New Roman"/>
          <w:sz w:val="24"/>
          <w:szCs w:val="24"/>
        </w:rPr>
        <w:t xml:space="preserve">The rule amendments proposed herein are attached to this letter in </w:t>
      </w:r>
      <w:r w:rsidRPr="005948D5">
        <w:rPr>
          <w:rFonts w:ascii="Times New Roman" w:hAnsi="Times New Roman" w:cs="Times New Roman"/>
          <w:sz w:val="24"/>
          <w:szCs w:val="24"/>
          <w:u w:val="single"/>
        </w:rPr>
        <w:t>Exhibit 1</w:t>
      </w:r>
      <w:r w:rsidRPr="005948D5">
        <w:rPr>
          <w:rFonts w:ascii="Times New Roman" w:hAnsi="Times New Roman" w:cs="Times New Roman"/>
          <w:sz w:val="24"/>
          <w:szCs w:val="24"/>
        </w:rPr>
        <w:t xml:space="preserve"> which amends Rulebook Appendix A, Listed Contracts.</w:t>
      </w:r>
    </w:p>
    <w:p w:rsidR="002B56C0" w:rsidRPr="001C146C" w:rsidRDefault="002B56C0" w:rsidP="002B56C0">
      <w:pPr>
        <w:pStyle w:val="NoSpacing"/>
        <w:ind w:firstLine="1310"/>
        <w:rPr>
          <w:rFonts w:ascii="Times New Roman" w:eastAsia="Calibri" w:hAnsi="Times New Roman" w:cs="Times New Roman"/>
          <w:sz w:val="24"/>
          <w:szCs w:val="24"/>
        </w:rPr>
      </w:pPr>
    </w:p>
    <w:p w:rsidR="002B56C0" w:rsidRPr="0013104F" w:rsidRDefault="00DA397E" w:rsidP="002B56C0">
      <w:pPr>
        <w:pStyle w:val="Default"/>
        <w:ind w:left="1310"/>
        <w:rPr>
          <w:color w:val="auto"/>
        </w:rPr>
      </w:pPr>
      <w:r>
        <w:rPr>
          <w:b/>
          <w:bCs/>
          <w:color w:val="auto"/>
          <w:szCs w:val="23"/>
        </w:rPr>
        <w:t xml:space="preserve">     </w:t>
      </w:r>
      <w:r w:rsidR="002B56C0" w:rsidRPr="0013104F">
        <w:rPr>
          <w:b/>
          <w:bCs/>
          <w:color w:val="auto"/>
          <w:szCs w:val="23"/>
          <w:u w:val="single"/>
        </w:rPr>
        <w:t xml:space="preserve">Amendments to Rulebook Appendix A, Listed Contracts </w:t>
      </w:r>
    </w:p>
    <w:p w:rsidR="002B56C0" w:rsidRPr="0013104F" w:rsidRDefault="002B56C0" w:rsidP="002B56C0">
      <w:pPr>
        <w:pStyle w:val="NoSpacing"/>
        <w:ind w:firstLine="1310"/>
        <w:rPr>
          <w:rFonts w:ascii="Times New Roman" w:hAnsi="Times New Roman"/>
          <w:sz w:val="24"/>
          <w:szCs w:val="23"/>
          <w:u w:val="single"/>
        </w:rPr>
      </w:pPr>
    </w:p>
    <w:p w:rsidR="002B56C0" w:rsidRPr="0013104F" w:rsidRDefault="002B56C0" w:rsidP="002B56C0">
      <w:pPr>
        <w:pStyle w:val="NoSpacing"/>
        <w:ind w:firstLine="1310"/>
        <w:rPr>
          <w:rFonts w:ascii="Times New Roman" w:hAnsi="Times New Roman"/>
          <w:position w:val="8"/>
          <w:sz w:val="24"/>
          <w:szCs w:val="16"/>
          <w:vertAlign w:val="superscript"/>
        </w:rPr>
      </w:pPr>
      <w:r w:rsidRPr="0013104F">
        <w:rPr>
          <w:rFonts w:ascii="Times New Roman" w:hAnsi="Times New Roman"/>
          <w:sz w:val="24"/>
          <w:szCs w:val="23"/>
          <w:u w:val="single"/>
        </w:rPr>
        <w:t xml:space="preserve">Trading Hours. </w:t>
      </w:r>
      <w:r w:rsidRPr="0013104F">
        <w:rPr>
          <w:rFonts w:ascii="Times New Roman" w:hAnsi="Times New Roman"/>
          <w:sz w:val="24"/>
          <w:szCs w:val="23"/>
        </w:rPr>
        <w:t xml:space="preserve">The Introduction to Rulebook Appendix A provides that unless otherwise specified by the Exchange, the regular Exchange trading days and hours for each contract, other than on the last trading day for the contract, will be Sunday - Friday, 7:00 PM EPT - 5:00 PM EPT, with a two hour break each day beginning at 5:00 PM EPT. </w:t>
      </w:r>
      <w:r w:rsidR="00F2689F">
        <w:rPr>
          <w:rFonts w:ascii="Times New Roman" w:hAnsi="Times New Roman"/>
          <w:sz w:val="24"/>
          <w:szCs w:val="23"/>
        </w:rPr>
        <w:t xml:space="preserve"> </w:t>
      </w:r>
      <w:r w:rsidRPr="0013104F">
        <w:rPr>
          <w:rFonts w:ascii="Times New Roman" w:hAnsi="Times New Roman"/>
          <w:sz w:val="24"/>
          <w:szCs w:val="23"/>
        </w:rPr>
        <w:t>Thus, the Monday trading session begins at 7:00 PM EPT on Sunday and ends at 5:00 PM EPT on Monday.</w:t>
      </w:r>
      <w:r>
        <w:rPr>
          <w:rFonts w:ascii="Times New Roman" w:hAnsi="Times New Roman"/>
          <w:sz w:val="24"/>
          <w:szCs w:val="23"/>
        </w:rPr>
        <w:t xml:space="preserve"> </w:t>
      </w:r>
      <w:r w:rsidRPr="0013104F">
        <w:rPr>
          <w:rFonts w:ascii="Times New Roman" w:hAnsi="Times New Roman"/>
          <w:sz w:val="24"/>
          <w:szCs w:val="23"/>
        </w:rPr>
        <w:t xml:space="preserve"> Tuesday through Friday, each trading session begins at 7:00 PM EPT on the previous day and ends at 5:00 PM EPT. </w:t>
      </w:r>
      <w:r w:rsidR="005F4F87">
        <w:rPr>
          <w:rFonts w:ascii="Times New Roman" w:hAnsi="Times New Roman"/>
          <w:sz w:val="24"/>
          <w:szCs w:val="23"/>
        </w:rPr>
        <w:t xml:space="preserve"> </w:t>
      </w:r>
      <w:r w:rsidRPr="0013104F">
        <w:rPr>
          <w:rFonts w:ascii="Times New Roman" w:hAnsi="Times New Roman"/>
          <w:sz w:val="24"/>
          <w:szCs w:val="23"/>
        </w:rPr>
        <w:t xml:space="preserve">The Introduction to Rulebook Appendix A also provides that the last trading day for the contract terminates at the time specified in the rules specific to each contract. The New Contracts will have the regular Exchange trading days and hours. </w:t>
      </w:r>
      <w:r w:rsidR="005F4F87">
        <w:rPr>
          <w:rFonts w:ascii="Times New Roman" w:hAnsi="Times New Roman"/>
          <w:sz w:val="24"/>
          <w:szCs w:val="23"/>
        </w:rPr>
        <w:t xml:space="preserve"> </w:t>
      </w:r>
      <w:r w:rsidRPr="0013104F">
        <w:rPr>
          <w:rFonts w:ascii="Times New Roman" w:hAnsi="Times New Roman"/>
          <w:sz w:val="24"/>
          <w:szCs w:val="23"/>
        </w:rPr>
        <w:t xml:space="preserve">Each New Contract’s rules set forth in </w:t>
      </w:r>
      <w:r w:rsidRPr="0013104F">
        <w:rPr>
          <w:rFonts w:ascii="Times New Roman" w:hAnsi="Times New Roman"/>
          <w:sz w:val="24"/>
          <w:szCs w:val="23"/>
          <w:u w:val="single"/>
        </w:rPr>
        <w:t>Exhibit 1</w:t>
      </w:r>
      <w:r w:rsidRPr="00524518">
        <w:rPr>
          <w:rFonts w:ascii="Times New Roman" w:hAnsi="Times New Roman"/>
          <w:sz w:val="24"/>
          <w:szCs w:val="23"/>
        </w:rPr>
        <w:t xml:space="preserve"> </w:t>
      </w:r>
      <w:r w:rsidRPr="0013104F">
        <w:rPr>
          <w:rFonts w:ascii="Times New Roman" w:hAnsi="Times New Roman"/>
          <w:sz w:val="24"/>
          <w:szCs w:val="23"/>
        </w:rPr>
        <w:t xml:space="preserve">hereto specify that trading ceases at </w:t>
      </w:r>
      <w:r w:rsidR="00297326">
        <w:rPr>
          <w:rFonts w:ascii="Times New Roman" w:hAnsi="Times New Roman"/>
          <w:sz w:val="24"/>
          <w:szCs w:val="23"/>
        </w:rPr>
        <w:t>2:30</w:t>
      </w:r>
      <w:r w:rsidRPr="0013104F">
        <w:rPr>
          <w:rFonts w:ascii="Times New Roman" w:hAnsi="Times New Roman"/>
          <w:sz w:val="24"/>
          <w:szCs w:val="23"/>
        </w:rPr>
        <w:t xml:space="preserve"> PM EPT on the last trading day.</w:t>
      </w:r>
      <w:r>
        <w:rPr>
          <w:rStyle w:val="FootnoteReference"/>
          <w:rFonts w:ascii="Times New Roman" w:hAnsi="Times New Roman"/>
          <w:sz w:val="24"/>
          <w:szCs w:val="23"/>
        </w:rPr>
        <w:footnoteReference w:id="2"/>
      </w:r>
    </w:p>
    <w:p w:rsidR="002B56C0" w:rsidRPr="0013104F" w:rsidRDefault="002B56C0" w:rsidP="002B56C0">
      <w:pPr>
        <w:pStyle w:val="NoSpacing"/>
        <w:ind w:firstLine="1310"/>
        <w:rPr>
          <w:rFonts w:ascii="Times New Roman" w:hAnsi="Times New Roman"/>
          <w:position w:val="8"/>
          <w:sz w:val="24"/>
          <w:szCs w:val="16"/>
          <w:vertAlign w:val="superscript"/>
        </w:rPr>
      </w:pPr>
    </w:p>
    <w:p w:rsidR="002B56C0" w:rsidRPr="0013104F" w:rsidRDefault="002B56C0" w:rsidP="002B56C0">
      <w:pPr>
        <w:pStyle w:val="Default"/>
        <w:ind w:firstLine="1310"/>
        <w:rPr>
          <w:color w:val="auto"/>
          <w:position w:val="8"/>
          <w:szCs w:val="16"/>
          <w:vertAlign w:val="superscript"/>
        </w:rPr>
      </w:pPr>
      <w:r w:rsidRPr="0013104F">
        <w:rPr>
          <w:color w:val="auto"/>
          <w:szCs w:val="23"/>
          <w:u w:val="single"/>
        </w:rPr>
        <w:t>Block Trade Minimum Quantity Threshold and Reporting Times.</w:t>
      </w:r>
      <w:r w:rsidRPr="00524518">
        <w:rPr>
          <w:color w:val="auto"/>
          <w:szCs w:val="23"/>
        </w:rPr>
        <w:t xml:space="preserve"> </w:t>
      </w:r>
      <w:r w:rsidRPr="0013104F">
        <w:rPr>
          <w:color w:val="auto"/>
          <w:szCs w:val="23"/>
        </w:rPr>
        <w:t>Chapter IV, Section 11 of the Exchange’s rulebook provides for execution of block trades and requires the Exchange to designate the contracts in which block trades shall be permitted and to determine the minimum quantity thresholds for such transactions. Section 11(F) requires Futures Participants to ensure that block trades are reported to the Exchange within the number of minutes of the time of execution (the "</w:t>
      </w:r>
      <w:r w:rsidRPr="0013104F">
        <w:rPr>
          <w:color w:val="auto"/>
          <w:szCs w:val="23"/>
          <w:u w:val="single"/>
        </w:rPr>
        <w:t>Reporting Window</w:t>
      </w:r>
      <w:r w:rsidRPr="0013104F">
        <w:rPr>
          <w:color w:val="auto"/>
          <w:szCs w:val="23"/>
        </w:rPr>
        <w:t>") specified in the rules for the particular contract.</w:t>
      </w:r>
      <w:r>
        <w:rPr>
          <w:rStyle w:val="FootnoteReference"/>
          <w:color w:val="auto"/>
          <w:szCs w:val="23"/>
        </w:rPr>
        <w:footnoteReference w:id="3"/>
      </w:r>
      <w:r w:rsidRPr="0013104F">
        <w:rPr>
          <w:color w:val="auto"/>
          <w:position w:val="8"/>
          <w:szCs w:val="16"/>
          <w:vertAlign w:val="superscript"/>
        </w:rPr>
        <w:t xml:space="preserve"> </w:t>
      </w:r>
      <w:r>
        <w:rPr>
          <w:color w:val="auto"/>
          <w:position w:val="8"/>
          <w:szCs w:val="16"/>
          <w:vertAlign w:val="superscript"/>
        </w:rPr>
        <w:t xml:space="preserve"> </w:t>
      </w:r>
      <w:r w:rsidRPr="0013104F">
        <w:rPr>
          <w:color w:val="auto"/>
          <w:szCs w:val="23"/>
        </w:rPr>
        <w:t xml:space="preserve">The New Contracts are eligible for block trades. </w:t>
      </w:r>
      <w:r w:rsidR="00F2689F">
        <w:rPr>
          <w:color w:val="auto"/>
          <w:szCs w:val="23"/>
        </w:rPr>
        <w:t xml:space="preserve"> </w:t>
      </w:r>
      <w:r w:rsidRPr="0013104F">
        <w:rPr>
          <w:color w:val="auto"/>
          <w:szCs w:val="23"/>
        </w:rPr>
        <w:t xml:space="preserve">The block trade minimum </w:t>
      </w:r>
      <w:r w:rsidRPr="0013104F">
        <w:rPr>
          <w:color w:val="auto"/>
          <w:szCs w:val="23"/>
        </w:rPr>
        <w:lastRenderedPageBreak/>
        <w:t xml:space="preserve">quantity threshold for the New Contracts is set at </w:t>
      </w:r>
      <w:r w:rsidR="00155670">
        <w:rPr>
          <w:color w:val="auto"/>
          <w:szCs w:val="23"/>
        </w:rPr>
        <w:t>5</w:t>
      </w:r>
      <w:r w:rsidRPr="0013104F">
        <w:rPr>
          <w:color w:val="auto"/>
          <w:szCs w:val="23"/>
        </w:rPr>
        <w:t xml:space="preserve"> contracts and the Reporting Window for the New</w:t>
      </w:r>
      <w:r>
        <w:rPr>
          <w:color w:val="auto"/>
          <w:szCs w:val="23"/>
        </w:rPr>
        <w:t xml:space="preserve"> Contracts </w:t>
      </w:r>
      <w:r w:rsidR="00DA397E">
        <w:rPr>
          <w:color w:val="auto"/>
          <w:szCs w:val="23"/>
        </w:rPr>
        <w:t>will be</w:t>
      </w:r>
      <w:r>
        <w:rPr>
          <w:color w:val="auto"/>
          <w:szCs w:val="23"/>
        </w:rPr>
        <w:t xml:space="preserve"> set at 15 minutes.</w:t>
      </w:r>
      <w:r>
        <w:rPr>
          <w:rStyle w:val="FootnoteReference"/>
          <w:color w:val="auto"/>
          <w:szCs w:val="23"/>
        </w:rPr>
        <w:footnoteReference w:id="4"/>
      </w:r>
      <w:r w:rsidR="00521FB4">
        <w:rPr>
          <w:color w:val="auto"/>
          <w:szCs w:val="23"/>
        </w:rPr>
        <w:t xml:space="preserve">   </w:t>
      </w:r>
      <w:r w:rsidR="004F4E47">
        <w:rPr>
          <w:color w:val="auto"/>
          <w:szCs w:val="23"/>
        </w:rPr>
        <w:t xml:space="preserve"> </w:t>
      </w:r>
    </w:p>
    <w:p w:rsidR="002B56C0" w:rsidRPr="0013104F" w:rsidRDefault="002B56C0" w:rsidP="002B56C0">
      <w:pPr>
        <w:pStyle w:val="Default"/>
        <w:ind w:firstLine="1310"/>
        <w:rPr>
          <w:color w:val="auto"/>
          <w:szCs w:val="16"/>
        </w:rPr>
      </w:pPr>
    </w:p>
    <w:p w:rsidR="002B56C0" w:rsidRDefault="002B56C0" w:rsidP="002B56C0">
      <w:pPr>
        <w:pStyle w:val="NoSpacing"/>
        <w:ind w:firstLine="1310"/>
        <w:contextualSpacing/>
        <w:rPr>
          <w:rFonts w:ascii="Times New Roman" w:hAnsi="Times New Roman"/>
          <w:sz w:val="24"/>
          <w:szCs w:val="23"/>
        </w:rPr>
      </w:pPr>
      <w:r w:rsidRPr="0013104F">
        <w:rPr>
          <w:rFonts w:ascii="Times New Roman" w:hAnsi="Times New Roman"/>
          <w:sz w:val="24"/>
          <w:szCs w:val="23"/>
          <w:u w:val="single"/>
        </w:rPr>
        <w:t>Daily Settlement Price</w:t>
      </w:r>
      <w:r w:rsidRPr="0013104F">
        <w:rPr>
          <w:rFonts w:ascii="Times New Roman" w:hAnsi="Times New Roman"/>
          <w:sz w:val="24"/>
          <w:szCs w:val="23"/>
        </w:rPr>
        <w:t xml:space="preserve">. Chapter V, Section 3 of the rulebook provides in part that the Exchange shall establish daily settlement prices at the time and using the methodology established by the Exchange as described in the contract specifications. </w:t>
      </w:r>
      <w:r w:rsidR="00F2689F">
        <w:rPr>
          <w:rFonts w:ascii="Times New Roman" w:hAnsi="Times New Roman"/>
          <w:sz w:val="24"/>
          <w:szCs w:val="23"/>
        </w:rPr>
        <w:t xml:space="preserve"> </w:t>
      </w:r>
      <w:r w:rsidRPr="0013104F">
        <w:rPr>
          <w:rFonts w:ascii="Times New Roman" w:hAnsi="Times New Roman"/>
          <w:sz w:val="24"/>
          <w:szCs w:val="23"/>
        </w:rPr>
        <w:t xml:space="preserve">The new rules provide that </w:t>
      </w:r>
      <w:r>
        <w:rPr>
          <w:rFonts w:ascii="Times New Roman" w:hAnsi="Times New Roman"/>
          <w:sz w:val="24"/>
          <w:szCs w:val="23"/>
        </w:rPr>
        <w:t xml:space="preserve">the daily settlement price </w:t>
      </w:r>
      <w:r w:rsidRPr="0013104F">
        <w:rPr>
          <w:rFonts w:ascii="Times New Roman" w:hAnsi="Times New Roman"/>
          <w:sz w:val="24"/>
          <w:szCs w:val="23"/>
        </w:rPr>
        <w:t>shall be set by Exchange st</w:t>
      </w:r>
      <w:r w:rsidRPr="00384F08">
        <w:rPr>
          <w:rFonts w:ascii="Times New Roman" w:hAnsi="Times New Roman"/>
          <w:sz w:val="24"/>
          <w:szCs w:val="23"/>
        </w:rPr>
        <w:t>aff by 5:45 PM EPT or as soon as practicable thereafter</w:t>
      </w:r>
      <w:r w:rsidR="00297326" w:rsidRPr="00384F08">
        <w:rPr>
          <w:rFonts w:ascii="Times New Roman" w:hAnsi="Times New Roman"/>
          <w:sz w:val="24"/>
          <w:szCs w:val="23"/>
        </w:rPr>
        <w:t xml:space="preserve"> </w:t>
      </w:r>
      <w:r w:rsidR="00384F08">
        <w:rPr>
          <w:rFonts w:ascii="Times New Roman" w:hAnsi="Times New Roman"/>
          <w:sz w:val="24"/>
          <w:szCs w:val="23"/>
        </w:rPr>
        <w:t>based on</w:t>
      </w:r>
      <w:r w:rsidR="00297326" w:rsidRPr="00384F08">
        <w:rPr>
          <w:rFonts w:ascii="Times New Roman" w:hAnsi="Times New Roman"/>
          <w:sz w:val="24"/>
          <w:szCs w:val="23"/>
        </w:rPr>
        <w:t xml:space="preserve"> price data from a number of sources including spot, forward and derivative markets for similar financial products</w:t>
      </w:r>
      <w:r w:rsidR="00384F08">
        <w:rPr>
          <w:rFonts w:ascii="Times New Roman" w:hAnsi="Times New Roman"/>
          <w:sz w:val="24"/>
          <w:szCs w:val="23"/>
        </w:rPr>
        <w:t>.</w:t>
      </w:r>
      <w:r w:rsidRPr="00384F08">
        <w:rPr>
          <w:rFonts w:ascii="Times New Roman" w:hAnsi="Times New Roman"/>
          <w:sz w:val="24"/>
          <w:szCs w:val="23"/>
        </w:rPr>
        <w:t xml:space="preserve"> </w:t>
      </w:r>
      <w:r w:rsidR="00F2689F" w:rsidRPr="00384F08">
        <w:rPr>
          <w:rFonts w:ascii="Times New Roman" w:hAnsi="Times New Roman"/>
          <w:sz w:val="24"/>
          <w:szCs w:val="23"/>
        </w:rPr>
        <w:t xml:space="preserve"> </w:t>
      </w:r>
      <w:r w:rsidR="00297326" w:rsidRPr="00384F08">
        <w:rPr>
          <w:rFonts w:ascii="Times New Roman" w:hAnsi="Times New Roman" w:cs="Times New Roman"/>
          <w:sz w:val="24"/>
          <w:szCs w:val="24"/>
        </w:rPr>
        <w:t>The E</w:t>
      </w:r>
      <w:r w:rsidR="00297326" w:rsidRPr="00613FF8">
        <w:rPr>
          <w:rFonts w:ascii="Times New Roman" w:hAnsi="Times New Roman" w:cs="Times New Roman"/>
          <w:sz w:val="24"/>
          <w:szCs w:val="24"/>
        </w:rPr>
        <w:t>xchange uses these factors to determine a price that in its judgment is representative of the market at the time the daily settlement price is to be calculated.</w:t>
      </w:r>
      <w:r w:rsidR="00297326">
        <w:rPr>
          <w:rFonts w:ascii="Times New Roman" w:hAnsi="Times New Roman" w:cs="Times New Roman"/>
          <w:sz w:val="24"/>
          <w:szCs w:val="24"/>
        </w:rPr>
        <w:t xml:space="preserve">  </w:t>
      </w:r>
      <w:r w:rsidRPr="0013104F">
        <w:rPr>
          <w:rFonts w:ascii="Times New Roman" w:hAnsi="Times New Roman"/>
          <w:sz w:val="24"/>
          <w:szCs w:val="23"/>
        </w:rPr>
        <w:t xml:space="preserve">Further, the new rules </w:t>
      </w:r>
      <w:r w:rsidR="00297326">
        <w:rPr>
          <w:rFonts w:ascii="Times New Roman" w:hAnsi="Times New Roman"/>
          <w:sz w:val="24"/>
          <w:szCs w:val="23"/>
        </w:rPr>
        <w:t>contain the Exchange’s standard language</w:t>
      </w:r>
      <w:r w:rsidRPr="0013104F">
        <w:rPr>
          <w:rFonts w:ascii="Times New Roman" w:hAnsi="Times New Roman"/>
          <w:sz w:val="24"/>
          <w:szCs w:val="23"/>
        </w:rPr>
        <w:t xml:space="preserve"> that if the daily settlement price described in the rule is unavailable, the Exchange may in its sole discretion establish a daily settlement price that it deems to be a fair and reas</w:t>
      </w:r>
      <w:r>
        <w:rPr>
          <w:rFonts w:ascii="Times New Roman" w:hAnsi="Times New Roman"/>
          <w:sz w:val="24"/>
          <w:szCs w:val="23"/>
        </w:rPr>
        <w:t>onable reflection of the market.</w:t>
      </w:r>
      <w:r>
        <w:rPr>
          <w:rStyle w:val="FootnoteReference"/>
          <w:rFonts w:ascii="Times New Roman" w:hAnsi="Times New Roman"/>
          <w:sz w:val="24"/>
          <w:szCs w:val="23"/>
        </w:rPr>
        <w:footnoteReference w:id="5"/>
      </w:r>
      <w:r w:rsidR="00BB22FB">
        <w:rPr>
          <w:rFonts w:ascii="Times New Roman" w:hAnsi="Times New Roman"/>
          <w:sz w:val="24"/>
          <w:szCs w:val="23"/>
        </w:rPr>
        <w:t xml:space="preserve">  </w:t>
      </w:r>
    </w:p>
    <w:p w:rsidR="002B56C0" w:rsidRPr="00BB22FB" w:rsidRDefault="006626EB" w:rsidP="00297326">
      <w:pPr>
        <w:pStyle w:val="NoSpacing"/>
        <w:rPr>
          <w:rFonts w:ascii="Times New Roman" w:eastAsia="Calibri" w:hAnsi="Times New Roman" w:cs="Times New Roman"/>
          <w:sz w:val="24"/>
          <w:szCs w:val="24"/>
        </w:rPr>
      </w:pPr>
      <w:r w:rsidRPr="00613FF8">
        <w:rPr>
          <w:rFonts w:ascii="Times New Roman" w:hAnsi="Times New Roman" w:cs="Times New Roman"/>
          <w:sz w:val="24"/>
          <w:szCs w:val="24"/>
        </w:rPr>
        <w:t xml:space="preserve"> </w:t>
      </w:r>
    </w:p>
    <w:p w:rsidR="002B56C0" w:rsidRPr="0013104F" w:rsidRDefault="002B56C0" w:rsidP="002B56C0">
      <w:pPr>
        <w:pStyle w:val="Default"/>
        <w:ind w:firstLine="1310"/>
        <w:rPr>
          <w:color w:val="auto"/>
          <w:szCs w:val="23"/>
        </w:rPr>
      </w:pPr>
      <w:r w:rsidRPr="0013104F">
        <w:rPr>
          <w:color w:val="auto"/>
          <w:szCs w:val="23"/>
          <w:u w:val="single"/>
        </w:rPr>
        <w:t>Non-Reviewable Range</w:t>
      </w:r>
      <w:r w:rsidRPr="0013104F">
        <w:rPr>
          <w:color w:val="auto"/>
          <w:szCs w:val="23"/>
        </w:rPr>
        <w:t xml:space="preserve">. Chapter V, Section 5 of the rulebook provides that the Exchange, in its sole discretion, may in certain circumstances either cancel a transaction or adjust the execution price of a transaction in a contract that has taken place outside the non-reviewable range designated for the contract. </w:t>
      </w:r>
      <w:r w:rsidR="00F2689F">
        <w:rPr>
          <w:color w:val="auto"/>
          <w:szCs w:val="23"/>
        </w:rPr>
        <w:t xml:space="preserve"> </w:t>
      </w:r>
      <w:r w:rsidRPr="0013104F">
        <w:rPr>
          <w:color w:val="auto"/>
          <w:szCs w:val="23"/>
        </w:rPr>
        <w:t>The new rules set forth the amount abo</w:t>
      </w:r>
      <w:r>
        <w:rPr>
          <w:color w:val="auto"/>
          <w:szCs w:val="23"/>
        </w:rPr>
        <w:t>ve</w:t>
      </w:r>
      <w:r w:rsidRPr="0013104F">
        <w:rPr>
          <w:color w:val="auto"/>
          <w:szCs w:val="23"/>
        </w:rPr>
        <w:t xml:space="preserve"> and below the “true market price” for the contract as set forth in the Exchange’s Error Trade Policy that will constitute the non-reviewable range for the contract for purposes of Chapter V, Section 5.</w:t>
      </w:r>
      <w:r>
        <w:rPr>
          <w:rStyle w:val="FootnoteReference"/>
          <w:color w:val="auto"/>
          <w:szCs w:val="23"/>
        </w:rPr>
        <w:footnoteReference w:id="6"/>
      </w:r>
      <w:r w:rsidR="00BB22FB">
        <w:rPr>
          <w:color w:val="auto"/>
          <w:szCs w:val="23"/>
        </w:rPr>
        <w:t xml:space="preserve">  </w:t>
      </w:r>
      <w:r w:rsidR="00BB22FB" w:rsidRPr="00BB22FB">
        <w:rPr>
          <w:color w:val="auto"/>
          <w:szCs w:val="23"/>
        </w:rPr>
        <w:t xml:space="preserve">According to the Exchange’s Error Trade Reference Guide, NASDAQ MarketWatch determines what the “true market price” for the relevant contract was immediately before the potential error trade occurred. In making such determination, NASDAQ MarketWatch may consider all relevant factors, including the last trade price for such contract, a better bid or offer price, a more recent price in a different contract month or series and the prices of related contracts trading on the Exchange or on other markets.  The Exchange believes that the $2.00 per </w:t>
      </w:r>
      <w:r w:rsidR="005F4F87">
        <w:rPr>
          <w:color w:val="auto"/>
          <w:szCs w:val="23"/>
        </w:rPr>
        <w:t>metric ton</w:t>
      </w:r>
      <w:r w:rsidR="00BB22FB" w:rsidRPr="00BB22FB">
        <w:rPr>
          <w:color w:val="auto"/>
          <w:szCs w:val="23"/>
        </w:rPr>
        <w:t xml:space="preserve"> no-bust range strikes an appropriate balance between trade certainty and erroneous price discovery.  </w:t>
      </w:r>
    </w:p>
    <w:p w:rsidR="002B56C0" w:rsidRPr="0013104F" w:rsidRDefault="002B56C0" w:rsidP="002B56C0">
      <w:pPr>
        <w:pStyle w:val="NoSpacing"/>
        <w:ind w:firstLine="1310"/>
        <w:rPr>
          <w:rFonts w:ascii="Times New Roman" w:eastAsia="Calibri" w:hAnsi="Times New Roman" w:cs="Times New Roman"/>
          <w:sz w:val="24"/>
          <w:szCs w:val="24"/>
        </w:rPr>
      </w:pPr>
    </w:p>
    <w:p w:rsidR="002B56C0" w:rsidRPr="0013104F" w:rsidRDefault="002B56C0" w:rsidP="002B56C0">
      <w:pPr>
        <w:pStyle w:val="Default"/>
        <w:ind w:left="2620"/>
        <w:rPr>
          <w:b/>
          <w:bCs/>
          <w:color w:val="auto"/>
          <w:szCs w:val="23"/>
          <w:u w:val="single"/>
        </w:rPr>
      </w:pPr>
      <w:r>
        <w:rPr>
          <w:b/>
          <w:bCs/>
          <w:color w:val="auto"/>
          <w:szCs w:val="23"/>
        </w:rPr>
        <w:t xml:space="preserve">           </w:t>
      </w:r>
      <w:r w:rsidRPr="0013104F">
        <w:rPr>
          <w:b/>
          <w:bCs/>
          <w:color w:val="auto"/>
          <w:szCs w:val="23"/>
          <w:u w:val="single"/>
        </w:rPr>
        <w:t xml:space="preserve">DCM Core Principles </w:t>
      </w:r>
    </w:p>
    <w:p w:rsidR="002B56C0" w:rsidRPr="0013104F" w:rsidRDefault="002B56C0" w:rsidP="002B56C0">
      <w:pPr>
        <w:pStyle w:val="Default"/>
        <w:ind w:left="2620"/>
        <w:rPr>
          <w:color w:val="auto"/>
        </w:rPr>
      </w:pPr>
    </w:p>
    <w:p w:rsidR="002B56C0" w:rsidRPr="0013104F" w:rsidRDefault="002B56C0" w:rsidP="002B56C0">
      <w:pPr>
        <w:pStyle w:val="Default"/>
        <w:ind w:firstLine="1310"/>
        <w:rPr>
          <w:color w:val="auto"/>
          <w:szCs w:val="23"/>
        </w:rPr>
      </w:pPr>
      <w:r w:rsidRPr="0013104F">
        <w:rPr>
          <w:color w:val="auto"/>
          <w:szCs w:val="23"/>
        </w:rPr>
        <w:t>The Exchange has reviewed the designated contract market core principles (“</w:t>
      </w:r>
      <w:r w:rsidRPr="0013104F">
        <w:rPr>
          <w:color w:val="auto"/>
          <w:szCs w:val="23"/>
          <w:u w:val="single"/>
        </w:rPr>
        <w:t>Core Principles</w:t>
      </w:r>
      <w:r w:rsidRPr="0013104F">
        <w:rPr>
          <w:color w:val="auto"/>
          <w:szCs w:val="23"/>
        </w:rPr>
        <w:t xml:space="preserve">”) as set forth in the Act in connection with the amendments presented herein. Consistent with Core Principle 7 - Availability of General Information, the Exchange will post general information, including the NFX Rulebook as amended herein, on its website: </w:t>
      </w:r>
      <w:hyperlink r:id="rId11" w:history="1">
        <w:r w:rsidR="00F2689F">
          <w:rPr>
            <w:rStyle w:val="Hyperlink"/>
          </w:rPr>
          <w:t>business.nasdaq.com/futures</w:t>
        </w:r>
      </w:hyperlink>
      <w:r w:rsidRPr="0013104F">
        <w:rPr>
          <w:color w:val="auto"/>
          <w:szCs w:val="23"/>
        </w:rPr>
        <w:t>.</w:t>
      </w:r>
    </w:p>
    <w:p w:rsidR="002B56C0" w:rsidRPr="0013104F" w:rsidRDefault="002B56C0" w:rsidP="002B56C0">
      <w:pPr>
        <w:pStyle w:val="Default"/>
        <w:ind w:firstLine="1310"/>
        <w:rPr>
          <w:color w:val="auto"/>
          <w:szCs w:val="23"/>
        </w:rPr>
      </w:pPr>
    </w:p>
    <w:p w:rsidR="002B56C0" w:rsidRPr="0013104F" w:rsidRDefault="002B56C0" w:rsidP="00BB22FB">
      <w:pPr>
        <w:pStyle w:val="Default"/>
        <w:ind w:firstLine="1310"/>
        <w:rPr>
          <w:rFonts w:eastAsia="Calibri"/>
        </w:rPr>
      </w:pPr>
      <w:r w:rsidRPr="0013104F">
        <w:rPr>
          <w:color w:val="auto"/>
          <w:szCs w:val="23"/>
        </w:rPr>
        <w:t xml:space="preserve">With respect to the block trade amendments set forth in </w:t>
      </w:r>
      <w:r w:rsidRPr="0013104F">
        <w:rPr>
          <w:color w:val="auto"/>
          <w:szCs w:val="23"/>
          <w:u w:val="single"/>
        </w:rPr>
        <w:t>Exhibit 1</w:t>
      </w:r>
      <w:r w:rsidRPr="00524518">
        <w:rPr>
          <w:color w:val="auto"/>
          <w:szCs w:val="23"/>
        </w:rPr>
        <w:t xml:space="preserve"> </w:t>
      </w:r>
      <w:r w:rsidRPr="0013104F">
        <w:rPr>
          <w:color w:val="auto"/>
          <w:szCs w:val="23"/>
        </w:rPr>
        <w:t xml:space="preserve">and Core Principle 9 - Execution of Transactions, the New Contracts will be listed for trading on the Exchange’s electronic trading system as well as by submission as block trades and Exchange for Related Position transactions pursuant to Exchange rules. </w:t>
      </w:r>
      <w:r w:rsidR="00F2689F">
        <w:rPr>
          <w:color w:val="auto"/>
          <w:szCs w:val="23"/>
        </w:rPr>
        <w:t xml:space="preserve"> </w:t>
      </w:r>
      <w:r w:rsidRPr="0013104F">
        <w:rPr>
          <w:color w:val="auto"/>
          <w:szCs w:val="23"/>
        </w:rPr>
        <w:t xml:space="preserve">The Exchange’s trading system provides a transparent, open and efficient mechanism to electronically execute trades in the New Contracts. </w:t>
      </w:r>
      <w:r w:rsidR="00F2689F">
        <w:rPr>
          <w:color w:val="auto"/>
          <w:szCs w:val="23"/>
        </w:rPr>
        <w:t xml:space="preserve"> </w:t>
      </w:r>
      <w:r w:rsidRPr="0013104F">
        <w:rPr>
          <w:color w:val="auto"/>
          <w:szCs w:val="23"/>
        </w:rPr>
        <w:t xml:space="preserve"> </w:t>
      </w:r>
      <w:r w:rsidR="00DA397E">
        <w:rPr>
          <w:color w:val="auto"/>
          <w:szCs w:val="23"/>
        </w:rPr>
        <w:t xml:space="preserve"> </w:t>
      </w:r>
    </w:p>
    <w:p w:rsidR="002B56C0" w:rsidRDefault="002B56C0" w:rsidP="002B56C0">
      <w:pPr>
        <w:pStyle w:val="Default"/>
        <w:ind w:left="2620"/>
        <w:rPr>
          <w:b/>
          <w:bCs/>
          <w:color w:val="auto"/>
          <w:szCs w:val="23"/>
          <w:u w:val="single"/>
        </w:rPr>
      </w:pPr>
    </w:p>
    <w:p w:rsidR="002B56C0" w:rsidRPr="0013104F" w:rsidRDefault="002B56C0" w:rsidP="002B56C0">
      <w:pPr>
        <w:pStyle w:val="Default"/>
        <w:ind w:left="2620"/>
        <w:rPr>
          <w:b/>
          <w:bCs/>
          <w:color w:val="auto"/>
          <w:szCs w:val="23"/>
          <w:u w:val="single"/>
        </w:rPr>
      </w:pPr>
      <w:r>
        <w:rPr>
          <w:b/>
          <w:bCs/>
          <w:color w:val="auto"/>
          <w:szCs w:val="23"/>
        </w:rPr>
        <w:t xml:space="preserve">           </w:t>
      </w:r>
      <w:r w:rsidRPr="0013104F">
        <w:rPr>
          <w:b/>
          <w:bCs/>
          <w:color w:val="auto"/>
          <w:szCs w:val="23"/>
          <w:u w:val="single"/>
        </w:rPr>
        <w:t xml:space="preserve">Certifications </w:t>
      </w:r>
    </w:p>
    <w:p w:rsidR="002B56C0" w:rsidRPr="0013104F" w:rsidRDefault="002B56C0" w:rsidP="002B56C0">
      <w:pPr>
        <w:pStyle w:val="Default"/>
        <w:ind w:left="2620"/>
        <w:rPr>
          <w:color w:val="auto"/>
        </w:rPr>
      </w:pPr>
    </w:p>
    <w:p w:rsidR="002B56C0" w:rsidRPr="0013104F" w:rsidRDefault="002B56C0" w:rsidP="002B56C0">
      <w:pPr>
        <w:pStyle w:val="PlainText"/>
        <w:ind w:firstLine="1310"/>
        <w:rPr>
          <w:rFonts w:ascii="Times New Roman" w:eastAsia="Calibri" w:hAnsi="Times New Roman"/>
          <w:sz w:val="24"/>
          <w:szCs w:val="24"/>
        </w:rPr>
      </w:pPr>
      <w:r w:rsidRPr="0013104F">
        <w:rPr>
          <w:rFonts w:ascii="Times New Roman" w:hAnsi="Times New Roman"/>
          <w:sz w:val="24"/>
          <w:szCs w:val="23"/>
        </w:rPr>
        <w:t xml:space="preserve">There were no opposing views among NFX’s Board of Directors, members or market participants. The Exchange hereby certifies that the rule amendments set forth herein comply with the Act and the Commission’s regulations thereunder. </w:t>
      </w:r>
      <w:r w:rsidR="00F2689F">
        <w:rPr>
          <w:rFonts w:ascii="Times New Roman" w:hAnsi="Times New Roman"/>
          <w:sz w:val="24"/>
          <w:szCs w:val="23"/>
        </w:rPr>
        <w:t xml:space="preserve"> </w:t>
      </w:r>
      <w:r w:rsidRPr="0013104F">
        <w:rPr>
          <w:rFonts w:ascii="Times New Roman" w:hAnsi="Times New Roman"/>
          <w:sz w:val="24"/>
          <w:szCs w:val="23"/>
        </w:rPr>
        <w:t xml:space="preserve">The Exchange also certifies that notice of pending certification and a copy of this submission have been concurrently posted on the Exchange’s website at </w:t>
      </w:r>
      <w:hyperlink r:id="rId12" w:history="1">
        <w:r w:rsidR="00F2689F">
          <w:rPr>
            <w:rStyle w:val="Hyperlink"/>
            <w:rFonts w:ascii="Times New Roman" w:hAnsi="Times New Roman"/>
            <w:sz w:val="24"/>
          </w:rPr>
          <w:t>business.nasdaq.com/futures</w:t>
        </w:r>
      </w:hyperlink>
      <w:r w:rsidRPr="0013104F">
        <w:rPr>
          <w:rFonts w:ascii="Times New Roman" w:hAnsi="Times New Roman"/>
          <w:sz w:val="24"/>
          <w:szCs w:val="23"/>
        </w:rPr>
        <w:t>.</w:t>
      </w:r>
    </w:p>
    <w:p w:rsidR="002B56C0" w:rsidRPr="0013104F" w:rsidRDefault="002B56C0" w:rsidP="002B56C0">
      <w:pPr>
        <w:pStyle w:val="PlainText"/>
        <w:ind w:firstLine="1310"/>
        <w:rPr>
          <w:rFonts w:ascii="Times New Roman" w:hAnsi="Times New Roman"/>
          <w:sz w:val="24"/>
          <w:szCs w:val="24"/>
        </w:rPr>
      </w:pPr>
    </w:p>
    <w:p w:rsidR="005948D5" w:rsidRDefault="002B56C0" w:rsidP="00AD784F">
      <w:pPr>
        <w:keepNext/>
        <w:spacing w:after="0" w:line="240" w:lineRule="auto"/>
        <w:ind w:firstLine="1310"/>
        <w:rPr>
          <w:rFonts w:ascii="Times New Roman" w:hAnsi="Times New Roman" w:cs="Times New Roman"/>
          <w:spacing w:val="-6"/>
          <w:sz w:val="24"/>
          <w:szCs w:val="24"/>
        </w:rPr>
      </w:pPr>
      <w:r w:rsidRPr="0013104F">
        <w:rPr>
          <w:rFonts w:ascii="Times New Roman" w:eastAsia="Calibri" w:hAnsi="Times New Roman" w:cs="Times New Roman"/>
          <w:sz w:val="24"/>
          <w:szCs w:val="24"/>
        </w:rPr>
        <w:t>If you require any additional information regarding th</w:t>
      </w:r>
      <w:r>
        <w:rPr>
          <w:rFonts w:ascii="Times New Roman" w:eastAsia="Calibri" w:hAnsi="Times New Roman" w:cs="Times New Roman"/>
          <w:sz w:val="24"/>
          <w:szCs w:val="24"/>
        </w:rPr>
        <w:t>is</w:t>
      </w:r>
      <w:r w:rsidRPr="0013104F">
        <w:rPr>
          <w:rFonts w:ascii="Times New Roman" w:eastAsia="Calibri" w:hAnsi="Times New Roman" w:cs="Times New Roman"/>
          <w:sz w:val="24"/>
          <w:szCs w:val="24"/>
        </w:rPr>
        <w:t xml:space="preserve"> submission, please </w:t>
      </w:r>
      <w:r w:rsidRPr="0013104F">
        <w:rPr>
          <w:rFonts w:ascii="Times New Roman" w:hAnsi="Times New Roman" w:cs="Times New Roman"/>
          <w:sz w:val="24"/>
          <w:szCs w:val="24"/>
        </w:rPr>
        <w:t>contact</w:t>
      </w:r>
      <w:r w:rsidRPr="0013104F">
        <w:rPr>
          <w:rFonts w:ascii="Times New Roman" w:hAnsi="Times New Roman" w:cs="Times New Roman"/>
          <w:spacing w:val="-6"/>
          <w:sz w:val="24"/>
          <w:szCs w:val="24"/>
        </w:rPr>
        <w:t xml:space="preserve"> </w:t>
      </w:r>
    </w:p>
    <w:p w:rsidR="002B56C0" w:rsidRPr="0013104F" w:rsidRDefault="002B56C0" w:rsidP="005948D5">
      <w:pPr>
        <w:keepNext/>
        <w:spacing w:after="0" w:line="240" w:lineRule="auto"/>
        <w:rPr>
          <w:rFonts w:ascii="Times New Roman" w:hAnsi="Times New Roman" w:cs="Times New Roman"/>
          <w:spacing w:val="-6"/>
          <w:sz w:val="24"/>
          <w:szCs w:val="24"/>
        </w:rPr>
      </w:pPr>
      <w:r w:rsidRPr="0013104F">
        <w:rPr>
          <w:rFonts w:ascii="Times New Roman" w:hAnsi="Times New Roman" w:cs="Times New Roman"/>
          <w:spacing w:val="-6"/>
          <w:sz w:val="24"/>
          <w:szCs w:val="24"/>
        </w:rPr>
        <w:t xml:space="preserve">Carla Behnfeldt at (215) 496-5208 </w:t>
      </w:r>
      <w:r w:rsidRPr="0013104F">
        <w:rPr>
          <w:rFonts w:ascii="Times New Roman" w:hAnsi="Times New Roman" w:cs="Times New Roman"/>
          <w:sz w:val="24"/>
          <w:szCs w:val="24"/>
        </w:rPr>
        <w:t>or</w:t>
      </w:r>
      <w:r w:rsidRPr="0013104F">
        <w:rPr>
          <w:rFonts w:ascii="Times New Roman" w:hAnsi="Times New Roman" w:cs="Times New Roman"/>
          <w:spacing w:val="-6"/>
          <w:sz w:val="24"/>
          <w:szCs w:val="24"/>
        </w:rPr>
        <w:t xml:space="preserve"> </w:t>
      </w:r>
      <w:r w:rsidR="00855234">
        <w:rPr>
          <w:rFonts w:ascii="Times New Roman" w:hAnsi="Times New Roman" w:cs="Times New Roman"/>
          <w:spacing w:val="-6"/>
          <w:sz w:val="24"/>
          <w:szCs w:val="24"/>
        </w:rPr>
        <w:t>Stephen Matthews at (301) 978-8458.</w:t>
      </w:r>
      <w:r w:rsidRPr="0013104F">
        <w:rPr>
          <w:rFonts w:ascii="Times New Roman" w:hAnsi="Times New Roman" w:cs="Times New Roman"/>
          <w:spacing w:val="-6"/>
          <w:sz w:val="24"/>
          <w:szCs w:val="24"/>
        </w:rPr>
        <w:t xml:space="preserve">  </w:t>
      </w:r>
      <w:r w:rsidRPr="0013104F">
        <w:rPr>
          <w:rFonts w:ascii="Times New Roman" w:hAnsi="Times New Roman" w:cs="Times New Roman"/>
          <w:sz w:val="24"/>
          <w:szCs w:val="24"/>
        </w:rPr>
        <w:t>Please</w:t>
      </w:r>
      <w:r w:rsidRPr="0013104F">
        <w:rPr>
          <w:rFonts w:ascii="Times New Roman" w:hAnsi="Times New Roman" w:cs="Times New Roman"/>
          <w:spacing w:val="-6"/>
          <w:sz w:val="24"/>
          <w:szCs w:val="24"/>
        </w:rPr>
        <w:t xml:space="preserve"> </w:t>
      </w:r>
      <w:r w:rsidRPr="0013104F">
        <w:rPr>
          <w:rFonts w:ascii="Times New Roman" w:hAnsi="Times New Roman" w:cs="Times New Roman"/>
          <w:sz w:val="24"/>
          <w:szCs w:val="24"/>
        </w:rPr>
        <w:t>refer to</w:t>
      </w:r>
      <w:r w:rsidRPr="0013104F">
        <w:rPr>
          <w:rFonts w:ascii="Times New Roman" w:hAnsi="Times New Roman" w:cs="Times New Roman"/>
          <w:spacing w:val="-6"/>
          <w:sz w:val="24"/>
          <w:szCs w:val="24"/>
        </w:rPr>
        <w:t xml:space="preserve"> </w:t>
      </w:r>
      <w:r w:rsidRPr="0013104F">
        <w:rPr>
          <w:rFonts w:ascii="Times New Roman" w:hAnsi="Times New Roman" w:cs="Times New Roman"/>
          <w:sz w:val="24"/>
          <w:szCs w:val="24"/>
        </w:rPr>
        <w:t>SR-NFX-2016-</w:t>
      </w:r>
      <w:r w:rsidR="0098665C">
        <w:rPr>
          <w:rFonts w:ascii="Times New Roman" w:hAnsi="Times New Roman" w:cs="Times New Roman"/>
          <w:sz w:val="24"/>
          <w:szCs w:val="24"/>
        </w:rPr>
        <w:t>74</w:t>
      </w:r>
      <w:r w:rsidRPr="0013104F">
        <w:rPr>
          <w:rFonts w:ascii="Times New Roman" w:hAnsi="Times New Roman" w:cs="Times New Roman"/>
          <w:spacing w:val="-9"/>
          <w:sz w:val="24"/>
          <w:szCs w:val="24"/>
        </w:rPr>
        <w:t xml:space="preserve"> </w:t>
      </w:r>
      <w:r w:rsidRPr="0013104F">
        <w:rPr>
          <w:rFonts w:ascii="Times New Roman" w:eastAsia="Calibri" w:hAnsi="Times New Roman" w:cs="Times New Roman"/>
          <w:sz w:val="24"/>
          <w:szCs w:val="24"/>
        </w:rPr>
        <w:t>in any related correspondence.</w:t>
      </w:r>
    </w:p>
    <w:p w:rsidR="002B56C0" w:rsidRPr="0013104F" w:rsidRDefault="002B56C0" w:rsidP="002B56C0">
      <w:pPr>
        <w:pStyle w:val="NoSpacing"/>
        <w:keepNext/>
        <w:rPr>
          <w:rFonts w:ascii="Times New Roman" w:eastAsia="Times New Roman" w:hAnsi="Times New Roman" w:cs="Times New Roman"/>
          <w:sz w:val="24"/>
          <w:szCs w:val="24"/>
        </w:rPr>
      </w:pPr>
    </w:p>
    <w:p w:rsidR="002B56C0" w:rsidRPr="0013104F" w:rsidRDefault="002B56C0" w:rsidP="002B56C0">
      <w:pPr>
        <w:pStyle w:val="NoSpacing"/>
        <w:keepNext/>
        <w:rPr>
          <w:rFonts w:ascii="Times New Roman" w:eastAsia="Calibri" w:hAnsi="Times New Roman" w:cs="Times New Roman"/>
          <w:sz w:val="24"/>
          <w:szCs w:val="24"/>
        </w:rPr>
      </w:pPr>
      <w:r w:rsidRPr="0013104F">
        <w:rPr>
          <w:rFonts w:ascii="Times New Roman" w:eastAsia="Calibri" w:hAnsi="Times New Roman" w:cs="Times New Roman"/>
          <w:noProof/>
          <w:sz w:val="24"/>
          <w:szCs w:val="24"/>
        </w:rPr>
        <w:drawing>
          <wp:anchor distT="0" distB="0" distL="114300" distR="114300" simplePos="0" relativeHeight="251662336" behindDoc="1" locked="0" layoutInCell="1" allowOverlap="1" wp14:anchorId="1B10040B" wp14:editId="5077E67F">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rsidR="002B56C0" w:rsidRPr="0013104F" w:rsidRDefault="002B56C0" w:rsidP="002B56C0">
      <w:pPr>
        <w:pStyle w:val="NoSpacing"/>
        <w:keepNext/>
        <w:ind w:left="2880" w:firstLine="720"/>
        <w:rPr>
          <w:rFonts w:ascii="Times New Roman" w:eastAsia="Calibri" w:hAnsi="Times New Roman" w:cs="Times New Roman"/>
          <w:sz w:val="24"/>
          <w:szCs w:val="24"/>
        </w:rPr>
      </w:pPr>
      <w:r w:rsidRPr="0013104F">
        <w:rPr>
          <w:rFonts w:ascii="Times New Roman" w:eastAsia="Calibri" w:hAnsi="Times New Roman" w:cs="Times New Roman"/>
          <w:sz w:val="24"/>
          <w:szCs w:val="24"/>
        </w:rPr>
        <w:t>Regards,</w:t>
      </w:r>
    </w:p>
    <w:p w:rsidR="002B56C0" w:rsidRPr="0013104F" w:rsidRDefault="002B56C0" w:rsidP="002B56C0">
      <w:pPr>
        <w:pStyle w:val="NoSpacing"/>
        <w:keepNext/>
        <w:ind w:left="2880" w:firstLine="720"/>
        <w:rPr>
          <w:rFonts w:ascii="Times New Roman" w:hAnsi="Times New Roman"/>
          <w:sz w:val="24"/>
        </w:rPr>
      </w:pPr>
    </w:p>
    <w:p w:rsidR="002B56C0" w:rsidRPr="0013104F" w:rsidRDefault="002B56C0" w:rsidP="002B56C0">
      <w:pPr>
        <w:pStyle w:val="NoSpacing"/>
        <w:keepNext/>
        <w:ind w:left="2880" w:firstLine="720"/>
        <w:rPr>
          <w:rFonts w:ascii="Times New Roman" w:eastAsia="Calibri" w:hAnsi="Times New Roman" w:cs="Times New Roman"/>
          <w:sz w:val="24"/>
          <w:szCs w:val="24"/>
        </w:rPr>
      </w:pPr>
    </w:p>
    <w:p w:rsidR="002B56C0" w:rsidRPr="0013104F" w:rsidRDefault="002B56C0" w:rsidP="002B56C0">
      <w:pPr>
        <w:pStyle w:val="NoSpacing"/>
        <w:keepNext/>
        <w:ind w:left="2880" w:firstLine="720"/>
        <w:rPr>
          <w:rFonts w:ascii="Times New Roman" w:eastAsia="Calibri" w:hAnsi="Times New Roman" w:cs="Times New Roman"/>
          <w:sz w:val="24"/>
          <w:szCs w:val="24"/>
        </w:rPr>
      </w:pPr>
      <w:r w:rsidRPr="0013104F">
        <w:rPr>
          <w:rFonts w:ascii="Times New Roman" w:eastAsia="Calibri" w:hAnsi="Times New Roman" w:cs="Times New Roman"/>
          <w:sz w:val="24"/>
          <w:szCs w:val="24"/>
        </w:rPr>
        <w:t>Daniel R. Carrigan</w:t>
      </w:r>
    </w:p>
    <w:p w:rsidR="002B56C0" w:rsidRPr="0013104F" w:rsidRDefault="002B56C0" w:rsidP="002B56C0">
      <w:pPr>
        <w:pStyle w:val="NoSpacing"/>
        <w:ind w:left="2880" w:firstLine="720"/>
        <w:rPr>
          <w:rFonts w:ascii="Times New Roman" w:eastAsia="Calibri" w:hAnsi="Times New Roman" w:cs="Times New Roman"/>
          <w:sz w:val="24"/>
          <w:szCs w:val="24"/>
        </w:rPr>
      </w:pPr>
      <w:r w:rsidRPr="0013104F">
        <w:rPr>
          <w:rFonts w:ascii="Times New Roman" w:eastAsia="Calibri" w:hAnsi="Times New Roman" w:cs="Times New Roman"/>
          <w:sz w:val="24"/>
          <w:szCs w:val="24"/>
        </w:rPr>
        <w:t>President</w:t>
      </w:r>
    </w:p>
    <w:p w:rsidR="002B56C0" w:rsidRPr="0013104F" w:rsidRDefault="002B56C0" w:rsidP="002B56C0">
      <w:pPr>
        <w:pStyle w:val="NoSpacing"/>
        <w:rPr>
          <w:rFonts w:ascii="Times New Roman" w:eastAsia="Calibri" w:hAnsi="Times New Roman" w:cs="Times New Roman"/>
          <w:sz w:val="24"/>
          <w:szCs w:val="24"/>
        </w:rPr>
      </w:pPr>
    </w:p>
    <w:p w:rsidR="002B56C0" w:rsidRPr="0013104F" w:rsidRDefault="002B56C0" w:rsidP="002B56C0">
      <w:pPr>
        <w:pStyle w:val="NoSpacing"/>
        <w:rPr>
          <w:rFonts w:ascii="Times New Roman" w:eastAsia="Calibri" w:hAnsi="Times New Roman" w:cs="Times New Roman"/>
          <w:sz w:val="24"/>
          <w:szCs w:val="24"/>
        </w:rPr>
      </w:pPr>
    </w:p>
    <w:p w:rsidR="004F4E47" w:rsidRDefault="002B56C0" w:rsidP="002B56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2B56C0" w:rsidRPr="0013104F" w:rsidRDefault="002B56C0" w:rsidP="002B56C0">
      <w:pPr>
        <w:spacing w:after="0" w:line="240" w:lineRule="auto"/>
        <w:rPr>
          <w:rFonts w:ascii="Times New Roman" w:hAnsi="Times New Roman" w:cs="Times New Roman"/>
          <w:sz w:val="24"/>
          <w:szCs w:val="24"/>
        </w:rPr>
      </w:pPr>
      <w:r w:rsidRPr="0013104F">
        <w:rPr>
          <w:rFonts w:ascii="Times New Roman" w:hAnsi="Times New Roman" w:cs="Times New Roman"/>
          <w:sz w:val="24"/>
          <w:szCs w:val="24"/>
        </w:rPr>
        <w:t xml:space="preserve">Attachment: </w:t>
      </w:r>
    </w:p>
    <w:p w:rsidR="004F4E47" w:rsidRDefault="002B56C0" w:rsidP="002B56C0">
      <w:pPr>
        <w:spacing w:after="0" w:line="240" w:lineRule="auto"/>
        <w:rPr>
          <w:rFonts w:ascii="Times New Roman" w:hAnsi="Times New Roman" w:cs="Times New Roman"/>
          <w:sz w:val="24"/>
          <w:szCs w:val="24"/>
        </w:rPr>
      </w:pPr>
      <w:r w:rsidRPr="0013104F">
        <w:rPr>
          <w:rFonts w:ascii="Times New Roman" w:hAnsi="Times New Roman" w:cs="Times New Roman"/>
          <w:sz w:val="24"/>
          <w:szCs w:val="24"/>
        </w:rPr>
        <w:t xml:space="preserve">  </w:t>
      </w:r>
    </w:p>
    <w:p w:rsidR="005101CA" w:rsidRDefault="004F4E47" w:rsidP="00DA397E">
      <w:pPr>
        <w:spacing w:after="0" w:line="240" w:lineRule="auto"/>
        <w:rPr>
          <w:rFonts w:ascii="Times New Roman" w:eastAsia="Calibri" w:hAnsi="Times New Roman" w:cs="Times New Roman"/>
          <w:sz w:val="24"/>
          <w:szCs w:val="24"/>
        </w:rPr>
      </w:pPr>
      <w:r>
        <w:rPr>
          <w:rFonts w:ascii="Times New Roman" w:hAnsi="Times New Roman" w:cs="Times New Roman"/>
          <w:sz w:val="24"/>
          <w:szCs w:val="24"/>
        </w:rPr>
        <w:t xml:space="preserve">   </w:t>
      </w:r>
      <w:r w:rsidR="002B56C0" w:rsidRPr="004F4E47">
        <w:rPr>
          <w:rFonts w:ascii="Times New Roman" w:hAnsi="Times New Roman" w:cs="Times New Roman"/>
          <w:sz w:val="24"/>
          <w:szCs w:val="24"/>
          <w:u w:val="single"/>
        </w:rPr>
        <w:t>Exhibit 1</w:t>
      </w:r>
      <w:r w:rsidR="002B56C0" w:rsidRPr="0013104F">
        <w:rPr>
          <w:rFonts w:ascii="Times New Roman" w:hAnsi="Times New Roman" w:cs="Times New Roman"/>
          <w:sz w:val="24"/>
          <w:szCs w:val="24"/>
        </w:rPr>
        <w:t>:</w:t>
      </w:r>
      <w:r w:rsidR="002B56C0" w:rsidRPr="0013104F">
        <w:rPr>
          <w:rFonts w:ascii="Times New Roman" w:hAnsi="Times New Roman" w:cs="Times New Roman"/>
          <w:sz w:val="24"/>
          <w:szCs w:val="24"/>
        </w:rPr>
        <w:tab/>
        <w:t>Amendments to Rulebook Appendix A – Listed Contracts</w:t>
      </w:r>
    </w:p>
    <w:p w:rsidR="005444C0" w:rsidRDefault="005444C0">
      <w:pPr>
        <w:spacing w:after="0" w:line="240" w:lineRule="auto"/>
      </w:pPr>
    </w:p>
    <w:sectPr w:rsidR="005444C0" w:rsidSect="005444C0">
      <w:headerReference w:type="default" r:id="rId14"/>
      <w:headerReference w:type="first" r:id="rId15"/>
      <w:footerReference w:type="first" r:id="rId16"/>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3392" w:rsidRDefault="00273392">
      <w:r>
        <w:separator/>
      </w:r>
    </w:p>
  </w:endnote>
  <w:endnote w:type="continuationSeparator" w:id="0">
    <w:p w:rsidR="00273392" w:rsidRDefault="00273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subsetted="1" w:fontKey="{81CDCC0F-18F0-4FE6-AB85-9892E5980F1E}"/>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2" w:fontKey="{CA0C0519-DC57-43B4-8420-339C591BC88B}"/>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098" w:rsidRDefault="00B67098"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3392" w:rsidRDefault="00273392">
      <w:r>
        <w:separator/>
      </w:r>
    </w:p>
  </w:footnote>
  <w:footnote w:type="continuationSeparator" w:id="0">
    <w:p w:rsidR="00273392" w:rsidRDefault="00273392">
      <w:r>
        <w:continuationSeparator/>
      </w:r>
    </w:p>
  </w:footnote>
  <w:footnote w:id="1">
    <w:p w:rsidR="006B7CB3" w:rsidRPr="00832D54" w:rsidRDefault="006B7CB3" w:rsidP="006B7CB3">
      <w:pPr>
        <w:pStyle w:val="FootnoteText"/>
        <w:rPr>
          <w:rFonts w:ascii="Times New Roman" w:hAnsi="Times New Roman" w:cs="Times New Roman"/>
          <w:sz w:val="24"/>
          <w:szCs w:val="24"/>
        </w:rPr>
      </w:pPr>
      <w:r>
        <w:rPr>
          <w:rStyle w:val="FootnoteReference"/>
        </w:rPr>
        <w:footnoteRef/>
      </w:r>
      <w:r>
        <w:t xml:space="preserve"> </w:t>
      </w:r>
      <w:r>
        <w:tab/>
      </w:r>
      <w:r w:rsidRPr="00AD784F">
        <w:rPr>
          <w:rFonts w:ascii="Times New Roman" w:hAnsi="Times New Roman" w:cs="Times New Roman"/>
          <w:sz w:val="24"/>
          <w:szCs w:val="24"/>
        </w:rPr>
        <w:t xml:space="preserve">The Exchange is </w:t>
      </w:r>
      <w:r w:rsidRPr="00AD784F">
        <w:rPr>
          <w:rFonts w:ascii="Times New Roman" w:hAnsi="Times New Roman" w:cs="Times New Roman"/>
          <w:sz w:val="24"/>
          <w:szCs w:val="24"/>
          <w:u w:val="single"/>
        </w:rPr>
        <w:t>separately</w:t>
      </w:r>
      <w:r w:rsidRPr="00AD784F">
        <w:rPr>
          <w:rFonts w:ascii="Times New Roman" w:hAnsi="Times New Roman" w:cs="Times New Roman"/>
          <w:sz w:val="24"/>
          <w:szCs w:val="24"/>
        </w:rPr>
        <w:t xml:space="preserve"> filing the </w:t>
      </w:r>
      <w:r>
        <w:rPr>
          <w:rFonts w:ascii="Times New Roman" w:hAnsi="Times New Roman" w:cs="Times New Roman"/>
          <w:sz w:val="24"/>
          <w:szCs w:val="24"/>
        </w:rPr>
        <w:t>New Contracts’</w:t>
      </w:r>
      <w:r w:rsidRPr="00AD784F">
        <w:rPr>
          <w:rFonts w:ascii="Times New Roman" w:hAnsi="Times New Roman" w:cs="Times New Roman"/>
          <w:sz w:val="24"/>
          <w:szCs w:val="24"/>
        </w:rPr>
        <w:t xml:space="preserve"> terms and conditions in SR-NFX-2016-</w:t>
      </w:r>
      <w:r w:rsidR="004237FA">
        <w:rPr>
          <w:rFonts w:ascii="Times New Roman" w:hAnsi="Times New Roman" w:cs="Times New Roman"/>
          <w:sz w:val="24"/>
          <w:szCs w:val="24"/>
        </w:rPr>
        <w:t>73</w:t>
      </w:r>
      <w:r w:rsidRPr="00AD784F">
        <w:rPr>
          <w:rFonts w:ascii="Times New Roman" w:hAnsi="Times New Roman" w:cs="Times New Roman"/>
          <w:sz w:val="24"/>
          <w:szCs w:val="24"/>
        </w:rPr>
        <w:t xml:space="preserve"> pursuant to Commission Rule 40.2</w:t>
      </w:r>
      <w:r>
        <w:rPr>
          <w:rFonts w:ascii="Times New Roman" w:hAnsi="Times New Roman" w:cs="Times New Roman"/>
          <w:sz w:val="24"/>
          <w:szCs w:val="24"/>
        </w:rPr>
        <w:t xml:space="preserve">.  References to </w:t>
      </w:r>
      <w:r w:rsidR="00432F9C">
        <w:rPr>
          <w:rFonts w:ascii="Times New Roman" w:hAnsi="Times New Roman" w:cs="Times New Roman"/>
          <w:sz w:val="24"/>
          <w:szCs w:val="24"/>
        </w:rPr>
        <w:t xml:space="preserve">the </w:t>
      </w:r>
      <w:r>
        <w:rPr>
          <w:rFonts w:ascii="Times New Roman" w:hAnsi="Times New Roman" w:cs="Times New Roman"/>
          <w:sz w:val="24"/>
          <w:szCs w:val="24"/>
        </w:rPr>
        <w:t xml:space="preserve">rulebook chapters corresponding to the New Contracts in the Introduction section of Rulebook Appendix A as well as language appearing elsewhere in </w:t>
      </w:r>
      <w:r w:rsidRPr="00AD784F">
        <w:rPr>
          <w:rFonts w:ascii="Times New Roman" w:hAnsi="Times New Roman" w:cs="Times New Roman"/>
          <w:sz w:val="24"/>
          <w:szCs w:val="24"/>
        </w:rPr>
        <w:t xml:space="preserve">new </w:t>
      </w:r>
      <w:r>
        <w:rPr>
          <w:rFonts w:ascii="Times New Roman" w:hAnsi="Times New Roman" w:cs="Times New Roman"/>
          <w:sz w:val="24"/>
          <w:szCs w:val="24"/>
        </w:rPr>
        <w:t xml:space="preserve">Rulebook </w:t>
      </w:r>
      <w:r w:rsidRPr="00AD784F">
        <w:rPr>
          <w:rFonts w:ascii="Times New Roman" w:hAnsi="Times New Roman" w:cs="Times New Roman"/>
          <w:sz w:val="24"/>
          <w:szCs w:val="24"/>
        </w:rPr>
        <w:t>Appendix A</w:t>
      </w:r>
      <w:r>
        <w:rPr>
          <w:rFonts w:ascii="Times New Roman" w:hAnsi="Times New Roman" w:cs="Times New Roman"/>
          <w:sz w:val="24"/>
          <w:szCs w:val="24"/>
        </w:rPr>
        <w:t xml:space="preserve"> </w:t>
      </w:r>
      <w:r w:rsidRPr="00AD784F">
        <w:rPr>
          <w:rFonts w:ascii="Times New Roman" w:hAnsi="Times New Roman" w:cs="Times New Roman"/>
          <w:sz w:val="24"/>
          <w:szCs w:val="24"/>
        </w:rPr>
        <w:t xml:space="preserve">which is not underlined in </w:t>
      </w:r>
      <w:r w:rsidRPr="00AD784F">
        <w:rPr>
          <w:rFonts w:ascii="Times New Roman" w:hAnsi="Times New Roman" w:cs="Times New Roman"/>
          <w:sz w:val="24"/>
          <w:szCs w:val="24"/>
          <w:u w:val="single"/>
        </w:rPr>
        <w:t>Exhibit 1</w:t>
      </w:r>
      <w:r w:rsidRPr="00AD784F">
        <w:rPr>
          <w:rFonts w:ascii="Times New Roman" w:hAnsi="Times New Roman" w:cs="Times New Roman"/>
          <w:sz w:val="24"/>
          <w:szCs w:val="24"/>
        </w:rPr>
        <w:t xml:space="preserve"> hereto is being separately certified in SR-NFX-2016-</w:t>
      </w:r>
      <w:r w:rsidR="004237FA">
        <w:rPr>
          <w:rFonts w:ascii="Times New Roman" w:hAnsi="Times New Roman" w:cs="Times New Roman"/>
          <w:sz w:val="24"/>
          <w:szCs w:val="24"/>
        </w:rPr>
        <w:t>73</w:t>
      </w:r>
      <w:r w:rsidRPr="00AD784F">
        <w:rPr>
          <w:rFonts w:ascii="Times New Roman" w:hAnsi="Times New Roman" w:cs="Times New Roman"/>
          <w:sz w:val="24"/>
          <w:szCs w:val="24"/>
        </w:rPr>
        <w:t>.</w:t>
      </w:r>
      <w:r>
        <w:rPr>
          <w:rFonts w:ascii="Times New Roman" w:hAnsi="Times New Roman" w:cs="Times New Roman"/>
          <w:sz w:val="24"/>
          <w:szCs w:val="24"/>
        </w:rPr>
        <w:t xml:space="preserve">  Further, certain additional language separately certified in SR-NFX-2016-</w:t>
      </w:r>
      <w:r w:rsidR="0098665C">
        <w:rPr>
          <w:rFonts w:ascii="Times New Roman" w:hAnsi="Times New Roman" w:cs="Times New Roman"/>
          <w:sz w:val="24"/>
          <w:szCs w:val="24"/>
        </w:rPr>
        <w:t>73</w:t>
      </w:r>
      <w:r>
        <w:rPr>
          <w:rFonts w:ascii="Times New Roman" w:hAnsi="Times New Roman" w:cs="Times New Roman"/>
          <w:sz w:val="24"/>
          <w:szCs w:val="24"/>
        </w:rPr>
        <w:t xml:space="preserve"> is not duplicated in </w:t>
      </w:r>
      <w:r w:rsidRPr="00832D54">
        <w:rPr>
          <w:rFonts w:ascii="Times New Roman" w:hAnsi="Times New Roman" w:cs="Times New Roman"/>
          <w:sz w:val="24"/>
          <w:szCs w:val="24"/>
          <w:u w:val="single"/>
        </w:rPr>
        <w:t>Exhibit 1</w:t>
      </w:r>
      <w:r>
        <w:rPr>
          <w:rFonts w:ascii="Times New Roman" w:hAnsi="Times New Roman" w:cs="Times New Roman"/>
          <w:sz w:val="24"/>
          <w:szCs w:val="24"/>
        </w:rPr>
        <w:t xml:space="preserve"> hereto but is instead, for purposes of brevity, represented by asterisks.</w:t>
      </w:r>
    </w:p>
    <w:p w:rsidR="006B7CB3" w:rsidRDefault="006B7CB3">
      <w:pPr>
        <w:pStyle w:val="FootnoteText"/>
      </w:pPr>
    </w:p>
  </w:footnote>
  <w:footnote w:id="2">
    <w:p w:rsidR="002B56C0" w:rsidRPr="00AD784F" w:rsidRDefault="002B56C0" w:rsidP="00D97F5B">
      <w:pPr>
        <w:rPr>
          <w:rFonts w:ascii="Times New Roman" w:hAnsi="Times New Roman" w:cs="Times New Roman"/>
          <w:sz w:val="24"/>
          <w:szCs w:val="24"/>
        </w:rPr>
      </w:pPr>
      <w:r w:rsidRPr="00AD784F">
        <w:rPr>
          <w:rStyle w:val="FootnoteReference"/>
          <w:rFonts w:ascii="Times New Roman" w:hAnsi="Times New Roman" w:cs="Times New Roman"/>
          <w:sz w:val="24"/>
          <w:szCs w:val="24"/>
        </w:rPr>
        <w:footnoteRef/>
      </w:r>
      <w:r w:rsidRPr="00AD784F">
        <w:rPr>
          <w:rFonts w:ascii="Times New Roman" w:hAnsi="Times New Roman" w:cs="Times New Roman"/>
          <w:sz w:val="24"/>
          <w:szCs w:val="24"/>
        </w:rPr>
        <w:t xml:space="preserve"> </w:t>
      </w:r>
      <w:r w:rsidRPr="00AD784F">
        <w:rPr>
          <w:rFonts w:ascii="Times New Roman" w:hAnsi="Times New Roman" w:cs="Times New Roman"/>
          <w:sz w:val="24"/>
          <w:szCs w:val="24"/>
        </w:rPr>
        <w:tab/>
      </w:r>
      <w:r w:rsidRPr="00AD784F">
        <w:rPr>
          <w:rFonts w:ascii="Times New Roman" w:hAnsi="Times New Roman" w:cs="Times New Roman"/>
          <w:sz w:val="24"/>
          <w:szCs w:val="24"/>
          <w:u w:val="single"/>
        </w:rPr>
        <w:t>See</w:t>
      </w:r>
      <w:r w:rsidR="00155670">
        <w:rPr>
          <w:rFonts w:ascii="Times New Roman" w:hAnsi="Times New Roman" w:cs="Times New Roman"/>
          <w:sz w:val="24"/>
          <w:szCs w:val="24"/>
        </w:rPr>
        <w:t xml:space="preserve"> Rules </w:t>
      </w:r>
      <w:r w:rsidR="004237FA">
        <w:rPr>
          <w:rFonts w:ascii="Times New Roman" w:hAnsi="Times New Roman" w:cs="Times New Roman"/>
          <w:sz w:val="24"/>
          <w:szCs w:val="24"/>
        </w:rPr>
        <w:t>112.04 and 113.04.</w:t>
      </w:r>
    </w:p>
    <w:p w:rsidR="002B56C0" w:rsidRPr="00AD784F" w:rsidRDefault="002B56C0" w:rsidP="002B56C0">
      <w:pPr>
        <w:pStyle w:val="FootnoteText"/>
        <w:rPr>
          <w:rFonts w:ascii="Times New Roman" w:hAnsi="Times New Roman" w:cs="Times New Roman"/>
          <w:sz w:val="24"/>
          <w:szCs w:val="24"/>
        </w:rPr>
      </w:pPr>
    </w:p>
  </w:footnote>
  <w:footnote w:id="3">
    <w:p w:rsidR="002B56C0" w:rsidRPr="00AD784F" w:rsidRDefault="002B56C0" w:rsidP="002B56C0">
      <w:pPr>
        <w:pStyle w:val="FootnoteText"/>
        <w:rPr>
          <w:rFonts w:ascii="Times New Roman" w:hAnsi="Times New Roman" w:cs="Times New Roman"/>
          <w:sz w:val="24"/>
          <w:szCs w:val="24"/>
        </w:rPr>
      </w:pPr>
      <w:r w:rsidRPr="00AD784F">
        <w:rPr>
          <w:rStyle w:val="FootnoteReference"/>
          <w:rFonts w:ascii="Times New Roman" w:hAnsi="Times New Roman" w:cs="Times New Roman"/>
          <w:sz w:val="24"/>
          <w:szCs w:val="24"/>
        </w:rPr>
        <w:footnoteRef/>
      </w:r>
      <w:r w:rsidRPr="00AD784F">
        <w:rPr>
          <w:rFonts w:ascii="Times New Roman" w:hAnsi="Times New Roman" w:cs="Times New Roman"/>
          <w:sz w:val="24"/>
          <w:szCs w:val="24"/>
        </w:rPr>
        <w:t xml:space="preserve"> </w:t>
      </w:r>
      <w:r w:rsidRPr="00AD784F">
        <w:rPr>
          <w:rFonts w:ascii="Times New Roman" w:hAnsi="Times New Roman" w:cs="Times New Roman"/>
          <w:sz w:val="24"/>
          <w:szCs w:val="24"/>
        </w:rPr>
        <w:tab/>
      </w:r>
      <w:r w:rsidRPr="00F154DD">
        <w:rPr>
          <w:rFonts w:ascii="Times New Roman" w:hAnsi="Times New Roman" w:cs="Times New Roman"/>
          <w:sz w:val="24"/>
          <w:szCs w:val="24"/>
          <w:u w:val="single"/>
        </w:rPr>
        <w:t>See</w:t>
      </w:r>
      <w:r w:rsidRPr="00AD784F">
        <w:rPr>
          <w:rFonts w:ascii="Times New Roman" w:hAnsi="Times New Roman" w:cs="Times New Roman"/>
          <w:sz w:val="24"/>
          <w:szCs w:val="24"/>
        </w:rPr>
        <w:t xml:space="preserve"> Rules Chapter IV, Section 11(F) provides: “Futures Participants must ensure that each Block Trade is reported to the Exchange within the number of minutes of the time of execution (the "Reporting Window") specified in the rules for the particular contract; except that Block Trades executed outside of Trading Hours must be reported within fifteen minutes of the commencement of the next Open Session of a Trading Session for that Contract. </w:t>
      </w:r>
      <w:r w:rsidR="00F2689F" w:rsidRPr="00AD784F">
        <w:rPr>
          <w:rFonts w:ascii="Times New Roman" w:hAnsi="Times New Roman" w:cs="Times New Roman"/>
          <w:sz w:val="24"/>
          <w:szCs w:val="24"/>
        </w:rPr>
        <w:t xml:space="preserve"> </w:t>
      </w:r>
      <w:r w:rsidRPr="00AD784F">
        <w:rPr>
          <w:rFonts w:ascii="Times New Roman" w:hAnsi="Times New Roman" w:cs="Times New Roman"/>
          <w:sz w:val="24"/>
          <w:szCs w:val="24"/>
        </w:rPr>
        <w:t xml:space="preserve">If the Block Trade includes certain legs subject to a 5 minute Reporting Window and other legs subject to a 15 minute Reporting Window, the reporting requirement for the transaction will be 15 minutes. </w:t>
      </w:r>
      <w:r w:rsidR="00F2689F" w:rsidRPr="00AD784F">
        <w:rPr>
          <w:rFonts w:ascii="Times New Roman" w:hAnsi="Times New Roman" w:cs="Times New Roman"/>
          <w:sz w:val="24"/>
          <w:szCs w:val="24"/>
        </w:rPr>
        <w:t xml:space="preserve"> </w:t>
      </w:r>
      <w:r w:rsidRPr="00AD784F">
        <w:rPr>
          <w:rFonts w:ascii="Times New Roman" w:hAnsi="Times New Roman" w:cs="Times New Roman"/>
          <w:sz w:val="24"/>
          <w:szCs w:val="24"/>
        </w:rPr>
        <w:t xml:space="preserve">The report must include the Contract, contract month, price, quantity of the transaction, the respective Clearing Futures Participants, the time of execution, and, for Options on Futures, strike price, put or call and expiration month. The Exchange shall promptly publish such information separately from the reports of transactions in the regular market. </w:t>
      </w:r>
      <w:r w:rsidR="00F2689F" w:rsidRPr="00AD784F">
        <w:rPr>
          <w:rFonts w:ascii="Times New Roman" w:hAnsi="Times New Roman" w:cs="Times New Roman"/>
          <w:sz w:val="24"/>
          <w:szCs w:val="24"/>
        </w:rPr>
        <w:t xml:space="preserve"> </w:t>
      </w:r>
      <w:r w:rsidRPr="00AD784F">
        <w:rPr>
          <w:rFonts w:ascii="Times New Roman" w:hAnsi="Times New Roman" w:cs="Times New Roman"/>
          <w:sz w:val="24"/>
          <w:szCs w:val="24"/>
        </w:rPr>
        <w:t>Failure to timely and accurately report Block Trades may subject the Futures Participant to disciplinary action.”</w:t>
      </w:r>
    </w:p>
    <w:p w:rsidR="002B56C0" w:rsidRPr="00AD784F" w:rsidRDefault="002B56C0" w:rsidP="002B56C0">
      <w:pPr>
        <w:pStyle w:val="FootnoteText"/>
        <w:rPr>
          <w:rFonts w:ascii="Times New Roman" w:hAnsi="Times New Roman" w:cs="Times New Roman"/>
          <w:sz w:val="24"/>
          <w:szCs w:val="24"/>
        </w:rPr>
      </w:pPr>
    </w:p>
  </w:footnote>
  <w:footnote w:id="4">
    <w:p w:rsidR="002B56C0" w:rsidRDefault="002B56C0" w:rsidP="004F4E47">
      <w:pPr>
        <w:pStyle w:val="NoSpacing"/>
        <w:rPr>
          <w:rFonts w:ascii="Times New Roman" w:hAnsi="Times New Roman" w:cs="Times New Roman"/>
          <w:sz w:val="24"/>
          <w:szCs w:val="24"/>
        </w:rPr>
      </w:pPr>
      <w:r w:rsidRPr="00AD784F">
        <w:rPr>
          <w:rStyle w:val="FootnoteReference"/>
          <w:rFonts w:ascii="Times New Roman" w:hAnsi="Times New Roman" w:cs="Times New Roman"/>
          <w:sz w:val="24"/>
          <w:szCs w:val="24"/>
        </w:rPr>
        <w:footnoteRef/>
      </w:r>
      <w:r w:rsidRPr="00AD784F">
        <w:t xml:space="preserve"> </w:t>
      </w:r>
      <w:r w:rsidRPr="00AD784F">
        <w:tab/>
      </w:r>
      <w:r w:rsidRPr="00F154DD">
        <w:rPr>
          <w:rFonts w:ascii="Times New Roman" w:hAnsi="Times New Roman" w:cs="Times New Roman"/>
          <w:sz w:val="24"/>
          <w:szCs w:val="24"/>
          <w:u w:val="single"/>
        </w:rPr>
        <w:t>See</w:t>
      </w:r>
      <w:r w:rsidRPr="004F4E47">
        <w:rPr>
          <w:rFonts w:ascii="Times New Roman" w:hAnsi="Times New Roman" w:cs="Times New Roman"/>
          <w:sz w:val="24"/>
          <w:szCs w:val="24"/>
        </w:rPr>
        <w:t xml:space="preserve"> Rules</w:t>
      </w:r>
      <w:r w:rsidR="00432F9C">
        <w:rPr>
          <w:rFonts w:ascii="Times New Roman" w:hAnsi="Times New Roman" w:cs="Times New Roman"/>
          <w:sz w:val="24"/>
          <w:szCs w:val="24"/>
        </w:rPr>
        <w:t xml:space="preserve"> </w:t>
      </w:r>
      <w:r w:rsidR="004237FA">
        <w:rPr>
          <w:rFonts w:ascii="Times New Roman" w:hAnsi="Times New Roman" w:cs="Times New Roman"/>
          <w:sz w:val="24"/>
          <w:szCs w:val="24"/>
        </w:rPr>
        <w:t>112.08 and 113.08.</w:t>
      </w:r>
    </w:p>
    <w:p w:rsidR="004F4E47" w:rsidRPr="004F4E47" w:rsidRDefault="004F4E47" w:rsidP="004F4E47">
      <w:pPr>
        <w:pStyle w:val="NoSpacing"/>
        <w:rPr>
          <w:rFonts w:ascii="Times New Roman" w:hAnsi="Times New Roman" w:cs="Times New Roman"/>
          <w:sz w:val="24"/>
          <w:szCs w:val="24"/>
        </w:rPr>
      </w:pPr>
    </w:p>
  </w:footnote>
  <w:footnote w:id="5">
    <w:p w:rsidR="002B56C0" w:rsidRDefault="002B56C0" w:rsidP="004F4E47">
      <w:pPr>
        <w:pStyle w:val="NoSpacing"/>
        <w:rPr>
          <w:rFonts w:ascii="Times New Roman" w:hAnsi="Times New Roman" w:cs="Times New Roman"/>
          <w:sz w:val="24"/>
          <w:szCs w:val="24"/>
        </w:rPr>
      </w:pPr>
      <w:r w:rsidRPr="00AD784F">
        <w:rPr>
          <w:rStyle w:val="FootnoteReference"/>
          <w:rFonts w:ascii="Times New Roman" w:hAnsi="Times New Roman" w:cs="Times New Roman"/>
          <w:sz w:val="24"/>
          <w:szCs w:val="24"/>
        </w:rPr>
        <w:footnoteRef/>
      </w:r>
      <w:r w:rsidRPr="00AD784F">
        <w:t xml:space="preserve"> </w:t>
      </w:r>
      <w:r w:rsidRPr="00AD784F">
        <w:tab/>
      </w:r>
      <w:r w:rsidRPr="00F154DD">
        <w:rPr>
          <w:rFonts w:ascii="Times New Roman" w:hAnsi="Times New Roman" w:cs="Times New Roman"/>
          <w:sz w:val="24"/>
          <w:szCs w:val="24"/>
          <w:u w:val="single"/>
        </w:rPr>
        <w:t>See</w:t>
      </w:r>
      <w:r w:rsidRPr="00F154DD">
        <w:rPr>
          <w:rFonts w:ascii="Times New Roman" w:hAnsi="Times New Roman" w:cs="Times New Roman"/>
          <w:sz w:val="24"/>
          <w:szCs w:val="24"/>
        </w:rPr>
        <w:t xml:space="preserve"> </w:t>
      </w:r>
      <w:r w:rsidRPr="004F4E47">
        <w:rPr>
          <w:rFonts w:ascii="Times New Roman" w:hAnsi="Times New Roman" w:cs="Times New Roman"/>
          <w:sz w:val="24"/>
          <w:szCs w:val="24"/>
        </w:rPr>
        <w:t>Rules</w:t>
      </w:r>
      <w:r w:rsidR="00155670">
        <w:rPr>
          <w:rFonts w:ascii="Times New Roman" w:hAnsi="Times New Roman" w:cs="Times New Roman"/>
          <w:sz w:val="24"/>
          <w:szCs w:val="24"/>
        </w:rPr>
        <w:t xml:space="preserve"> </w:t>
      </w:r>
      <w:r w:rsidR="00432F9C">
        <w:rPr>
          <w:rFonts w:ascii="Times New Roman" w:eastAsia="Calibri" w:hAnsi="Times New Roman" w:cs="Times New Roman"/>
          <w:sz w:val="24"/>
          <w:szCs w:val="24"/>
        </w:rPr>
        <w:t>11</w:t>
      </w:r>
      <w:r w:rsidR="004237FA">
        <w:rPr>
          <w:rFonts w:ascii="Times New Roman" w:eastAsia="Calibri" w:hAnsi="Times New Roman" w:cs="Times New Roman"/>
          <w:sz w:val="24"/>
          <w:szCs w:val="24"/>
        </w:rPr>
        <w:t>2</w:t>
      </w:r>
      <w:r w:rsidR="00432F9C">
        <w:rPr>
          <w:rFonts w:ascii="Times New Roman" w:hAnsi="Times New Roman" w:cs="Times New Roman"/>
          <w:sz w:val="24"/>
          <w:szCs w:val="24"/>
        </w:rPr>
        <w:t>.06(b) and (d),</w:t>
      </w:r>
      <w:r w:rsidR="00432F9C" w:rsidRPr="00432F9C">
        <w:rPr>
          <w:rFonts w:ascii="Times New Roman" w:eastAsia="Calibri" w:hAnsi="Times New Roman" w:cs="Times New Roman"/>
          <w:sz w:val="24"/>
          <w:szCs w:val="24"/>
        </w:rPr>
        <w:t xml:space="preserve"> </w:t>
      </w:r>
      <w:r w:rsidR="00855234">
        <w:rPr>
          <w:rFonts w:ascii="Times New Roman" w:eastAsia="Calibri" w:hAnsi="Times New Roman" w:cs="Times New Roman"/>
          <w:sz w:val="24"/>
          <w:szCs w:val="24"/>
        </w:rPr>
        <w:t xml:space="preserve">and </w:t>
      </w:r>
      <w:r w:rsidR="00432F9C">
        <w:rPr>
          <w:rFonts w:ascii="Times New Roman" w:eastAsia="Calibri" w:hAnsi="Times New Roman" w:cs="Times New Roman"/>
          <w:sz w:val="24"/>
          <w:szCs w:val="24"/>
        </w:rPr>
        <w:t>11</w:t>
      </w:r>
      <w:r w:rsidR="004237FA">
        <w:rPr>
          <w:rFonts w:ascii="Times New Roman" w:eastAsia="Calibri" w:hAnsi="Times New Roman" w:cs="Times New Roman"/>
          <w:sz w:val="24"/>
          <w:szCs w:val="24"/>
        </w:rPr>
        <w:t>3</w:t>
      </w:r>
      <w:r w:rsidR="00432F9C">
        <w:rPr>
          <w:rFonts w:ascii="Times New Roman" w:hAnsi="Times New Roman" w:cs="Times New Roman"/>
          <w:sz w:val="24"/>
          <w:szCs w:val="24"/>
        </w:rPr>
        <w:t>.06(b) and (d)</w:t>
      </w:r>
      <w:r w:rsidR="00855234">
        <w:rPr>
          <w:rFonts w:ascii="Times New Roman" w:hAnsi="Times New Roman" w:cs="Times New Roman"/>
          <w:sz w:val="24"/>
          <w:szCs w:val="24"/>
        </w:rPr>
        <w:t>.</w:t>
      </w:r>
    </w:p>
    <w:p w:rsidR="00AE7556" w:rsidRPr="004F4E47" w:rsidRDefault="00AE7556" w:rsidP="004F4E47">
      <w:pPr>
        <w:pStyle w:val="NoSpacing"/>
        <w:rPr>
          <w:rFonts w:ascii="Times New Roman" w:hAnsi="Times New Roman" w:cs="Times New Roman"/>
          <w:sz w:val="24"/>
          <w:szCs w:val="24"/>
        </w:rPr>
      </w:pPr>
    </w:p>
  </w:footnote>
  <w:footnote w:id="6">
    <w:p w:rsidR="00297326" w:rsidRDefault="002B56C0" w:rsidP="00297326">
      <w:pPr>
        <w:pStyle w:val="NoSpacing"/>
        <w:rPr>
          <w:rFonts w:ascii="Times New Roman" w:hAnsi="Times New Roman" w:cs="Times New Roman"/>
          <w:sz w:val="24"/>
          <w:szCs w:val="24"/>
        </w:rPr>
      </w:pPr>
      <w:r w:rsidRPr="00AD784F">
        <w:rPr>
          <w:rStyle w:val="FootnoteReference"/>
          <w:rFonts w:ascii="Times New Roman" w:hAnsi="Times New Roman" w:cs="Times New Roman"/>
          <w:sz w:val="24"/>
          <w:szCs w:val="24"/>
        </w:rPr>
        <w:footnoteRef/>
      </w:r>
      <w:r w:rsidR="005948D5" w:rsidRPr="00AD784F">
        <w:t xml:space="preserve"> </w:t>
      </w:r>
      <w:r w:rsidR="005948D5" w:rsidRPr="00AD784F">
        <w:tab/>
      </w:r>
      <w:r w:rsidRPr="004F4E47">
        <w:rPr>
          <w:rFonts w:ascii="Times New Roman" w:hAnsi="Times New Roman" w:cs="Times New Roman"/>
          <w:sz w:val="24"/>
          <w:szCs w:val="24"/>
          <w:u w:val="single"/>
        </w:rPr>
        <w:t>See</w:t>
      </w:r>
      <w:r w:rsidRPr="004F4E47">
        <w:rPr>
          <w:rFonts w:ascii="Times New Roman" w:hAnsi="Times New Roman" w:cs="Times New Roman"/>
          <w:sz w:val="24"/>
          <w:szCs w:val="24"/>
        </w:rPr>
        <w:t xml:space="preserve"> Rules</w:t>
      </w:r>
      <w:r w:rsidR="004237FA">
        <w:rPr>
          <w:rFonts w:ascii="Times New Roman" w:hAnsi="Times New Roman" w:cs="Times New Roman"/>
          <w:sz w:val="24"/>
          <w:szCs w:val="24"/>
        </w:rPr>
        <w:t xml:space="preserve"> </w:t>
      </w:r>
      <w:r w:rsidR="001C56A6">
        <w:rPr>
          <w:rFonts w:ascii="Times New Roman" w:hAnsi="Times New Roman" w:cs="Times New Roman"/>
          <w:sz w:val="24"/>
          <w:szCs w:val="24"/>
        </w:rPr>
        <w:t>11</w:t>
      </w:r>
      <w:r w:rsidR="004237FA">
        <w:rPr>
          <w:rFonts w:ascii="Times New Roman" w:hAnsi="Times New Roman" w:cs="Times New Roman"/>
          <w:sz w:val="24"/>
          <w:szCs w:val="24"/>
        </w:rPr>
        <w:t>2</w:t>
      </w:r>
      <w:r w:rsidR="001C56A6">
        <w:rPr>
          <w:rFonts w:ascii="Times New Roman" w:hAnsi="Times New Roman" w:cs="Times New Roman"/>
          <w:sz w:val="24"/>
          <w:szCs w:val="24"/>
        </w:rPr>
        <w:t>.1</w:t>
      </w:r>
      <w:r w:rsidR="00384F08">
        <w:rPr>
          <w:rFonts w:ascii="Times New Roman" w:hAnsi="Times New Roman" w:cs="Times New Roman"/>
          <w:sz w:val="24"/>
          <w:szCs w:val="24"/>
        </w:rPr>
        <w:t>0</w:t>
      </w:r>
      <w:r w:rsidR="00B94FFA">
        <w:rPr>
          <w:rFonts w:ascii="Times New Roman" w:hAnsi="Times New Roman" w:cs="Times New Roman"/>
          <w:sz w:val="24"/>
          <w:szCs w:val="24"/>
        </w:rPr>
        <w:t>,</w:t>
      </w:r>
      <w:r w:rsidR="001C56A6">
        <w:rPr>
          <w:rFonts w:ascii="Times New Roman" w:hAnsi="Times New Roman" w:cs="Times New Roman"/>
          <w:sz w:val="24"/>
          <w:szCs w:val="24"/>
        </w:rPr>
        <w:t xml:space="preserve"> </w:t>
      </w:r>
      <w:r w:rsidR="00855234">
        <w:rPr>
          <w:rFonts w:ascii="Times New Roman" w:hAnsi="Times New Roman" w:cs="Times New Roman"/>
          <w:sz w:val="24"/>
          <w:szCs w:val="24"/>
        </w:rPr>
        <w:t xml:space="preserve">and </w:t>
      </w:r>
      <w:r w:rsidR="004237FA">
        <w:rPr>
          <w:rFonts w:ascii="Times New Roman" w:hAnsi="Times New Roman" w:cs="Times New Roman"/>
          <w:sz w:val="24"/>
          <w:szCs w:val="24"/>
        </w:rPr>
        <w:t>113</w:t>
      </w:r>
      <w:r w:rsidR="001C56A6">
        <w:rPr>
          <w:rFonts w:ascii="Times New Roman" w:hAnsi="Times New Roman" w:cs="Times New Roman"/>
          <w:sz w:val="24"/>
          <w:szCs w:val="24"/>
        </w:rPr>
        <w:t>.1</w:t>
      </w:r>
      <w:r w:rsidR="00384F08">
        <w:rPr>
          <w:rFonts w:ascii="Times New Roman" w:hAnsi="Times New Roman" w:cs="Times New Roman"/>
          <w:sz w:val="24"/>
          <w:szCs w:val="24"/>
        </w:rPr>
        <w:t>0</w:t>
      </w:r>
      <w:r w:rsidR="00855234">
        <w:rPr>
          <w:rFonts w:ascii="Times New Roman" w:hAnsi="Times New Roman" w:cs="Times New Roman"/>
          <w:sz w:val="24"/>
          <w:szCs w:val="24"/>
        </w:rPr>
        <w:t>.</w:t>
      </w:r>
      <w:r w:rsidR="00297326">
        <w:rPr>
          <w:rFonts w:ascii="Times New Roman" w:eastAsia="Calibri" w:hAnsi="Times New Roman" w:cs="Times New Roman"/>
          <w:sz w:val="24"/>
          <w:szCs w:val="24"/>
        </w:rPr>
        <w:t xml:space="preserve"> </w:t>
      </w:r>
    </w:p>
    <w:p w:rsidR="0041155D" w:rsidRPr="004F4E47" w:rsidRDefault="0041155D" w:rsidP="004F4E47">
      <w:pPr>
        <w:pStyle w:val="NoSpacing"/>
        <w:rPr>
          <w:rFonts w:ascii="Times New Roman" w:hAnsi="Times New Roman" w:cs="Times New Roman"/>
          <w:sz w:val="24"/>
          <w:szCs w:val="24"/>
        </w:rPr>
      </w:pPr>
    </w:p>
    <w:p w:rsidR="002B56C0" w:rsidRPr="00AD784F" w:rsidRDefault="002B56C0" w:rsidP="002B56C0">
      <w:pPr>
        <w:pStyle w:val="FootnoteText"/>
        <w:rPr>
          <w:rFonts w:ascii="Times New Roman" w:hAnsi="Times New Roman" w:cs="Times New Roman"/>
          <w:sz w:val="24"/>
          <w:szCs w:val="24"/>
        </w:rPr>
      </w:pPr>
    </w:p>
    <w:p w:rsidR="002B56C0" w:rsidRPr="00AD784F" w:rsidRDefault="002B56C0" w:rsidP="002B56C0">
      <w:pPr>
        <w:pStyle w:val="FootnoteText"/>
        <w:rPr>
          <w:rFonts w:ascii="Times New Roman" w:hAnsi="Times New Roman" w:cs="Times New Roman"/>
          <w:sz w:val="24"/>
          <w:szCs w:val="2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098" w:rsidRPr="00B67098" w:rsidRDefault="00B67098"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371610" w:rsidRDefault="00B94FFA"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July</w:t>
    </w:r>
    <w:r w:rsidR="00855234">
      <w:rPr>
        <w:rFonts w:ascii="Times New Roman" w:hAnsi="Times New Roman" w:cs="Times New Roman"/>
        <w:sz w:val="20"/>
        <w:szCs w:val="20"/>
      </w:rPr>
      <w:t xml:space="preserve"> 15</w:t>
    </w:r>
    <w:r w:rsidR="008225AC">
      <w:rPr>
        <w:rFonts w:ascii="Times New Roman" w:hAnsi="Times New Roman" w:cs="Times New Roman"/>
        <w:sz w:val="20"/>
        <w:szCs w:val="20"/>
      </w:rPr>
      <w:t>, 2016</w:t>
    </w:r>
  </w:p>
  <w:p w:rsidR="005444C0" w:rsidRDefault="008225A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SR-NFX-2016</w:t>
    </w:r>
    <w:r w:rsidR="00371610">
      <w:rPr>
        <w:rFonts w:ascii="Times New Roman" w:hAnsi="Times New Roman" w:cs="Times New Roman"/>
        <w:sz w:val="20"/>
        <w:szCs w:val="20"/>
      </w:rPr>
      <w:t>-</w:t>
    </w:r>
    <w:r w:rsidR="004237FA">
      <w:rPr>
        <w:rFonts w:ascii="Times New Roman" w:hAnsi="Times New Roman" w:cs="Times New Roman"/>
        <w:sz w:val="20"/>
        <w:szCs w:val="20"/>
      </w:rPr>
      <w:t>74</w:t>
    </w:r>
  </w:p>
  <w:p w:rsidR="00B67098" w:rsidRPr="00B67098" w:rsidRDefault="00B67098"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F914E5">
      <w:rPr>
        <w:rFonts w:ascii="Times New Roman" w:hAnsi="Times New Roman" w:cs="Times New Roman"/>
        <w:noProof/>
        <w:sz w:val="20"/>
        <w:szCs w:val="20"/>
      </w:rPr>
      <w:t>4</w:t>
    </w:r>
    <w:r w:rsidRPr="00B67098">
      <w:rPr>
        <w:rFonts w:ascii="Times New Roman" w:hAnsi="Times New Roman" w:cs="Times New Roman"/>
        <w:sz w:val="20"/>
        <w:szCs w:val="20"/>
      </w:rPr>
      <w:fldChar w:fldCharType="end"/>
    </w:r>
  </w:p>
  <w:p w:rsidR="00B67098" w:rsidRPr="00B67098" w:rsidRDefault="00B67098"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ADA" w:rsidRDefault="001B6ADA">
    <w:pPr>
      <w:spacing w:after="960"/>
    </w:pPr>
  </w:p>
  <w:p w:rsidR="001B6ADA" w:rsidRPr="00CF4B16" w:rsidRDefault="001B6ADA" w:rsidP="001B6ADA">
    <w:pPr>
      <w:pStyle w:val="LetterheadAddress"/>
      <w:ind w:left="6550"/>
      <w:rPr>
        <w:sz w:val="20"/>
      </w:rPr>
    </w:pPr>
    <w:r w:rsidRPr="00CF4B16">
      <w:rPr>
        <w:sz w:val="20"/>
      </w:rPr>
      <w:t>Nasdaq Futures, Inc.</w:t>
    </w:r>
  </w:p>
  <w:p w:rsidR="001B6ADA" w:rsidRPr="00CF4B16" w:rsidRDefault="001B6ADA" w:rsidP="001B6ADA">
    <w:pPr>
      <w:pStyle w:val="LetterheadAddress"/>
      <w:ind w:left="6550"/>
      <w:rPr>
        <w:sz w:val="20"/>
      </w:rPr>
    </w:pPr>
    <w:r w:rsidRPr="00CF4B16">
      <w:rPr>
        <w:sz w:val="20"/>
      </w:rPr>
      <w:t>1900 Market Street</w:t>
    </w:r>
  </w:p>
  <w:p w:rsidR="001B6ADA" w:rsidRPr="00CF4B16" w:rsidRDefault="001B6ADA" w:rsidP="001B6ADA">
    <w:pPr>
      <w:pStyle w:val="LetterheadAddress"/>
      <w:ind w:left="6550"/>
      <w:rPr>
        <w:sz w:val="20"/>
      </w:rPr>
    </w:pPr>
    <w:r w:rsidRPr="00CF4B16">
      <w:rPr>
        <w:sz w:val="20"/>
      </w:rPr>
      <w:t>Philadelphia, PA 19103 / USA</w:t>
    </w:r>
  </w:p>
  <w:p w:rsidR="001B6ADA" w:rsidRPr="00CF4B16" w:rsidRDefault="001B6ADA" w:rsidP="001B6ADA">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p>
  <w:p w:rsidR="00300E44" w:rsidRDefault="001B6ADA" w:rsidP="001B6ADA">
    <w:pPr>
      <w:tabs>
        <w:tab w:val="left" w:pos="7560"/>
      </w:tabs>
      <w:spacing w:after="960"/>
    </w:pPr>
    <w:r w:rsidRPr="002E383E">
      <w:rPr>
        <w:noProof/>
      </w:rPr>
      <w:drawing>
        <wp:anchor distT="0" distB="0" distL="114300" distR="114300" simplePos="0" relativeHeight="251662336" behindDoc="0" locked="1" layoutInCell="1" allowOverlap="1" wp14:anchorId="26F8B0C3" wp14:editId="2DA1FF9C">
          <wp:simplePos x="0" y="0"/>
          <wp:positionH relativeFrom="column">
            <wp:posOffset>3569335</wp:posOffset>
          </wp:positionH>
          <wp:positionV relativeFrom="page">
            <wp:posOffset>689610</wp:posOffset>
          </wp:positionV>
          <wp:extent cx="1724025" cy="481965"/>
          <wp:effectExtent l="0" t="0" r="9525" b="0"/>
          <wp:wrapNone/>
          <wp:docPr id="5" name="Picture 5"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819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19241FC"/>
    <w:multiLevelType w:val="hybridMultilevel"/>
    <w:tmpl w:val="E0943B7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5E25CF"/>
    <w:multiLevelType w:val="hybridMultilevel"/>
    <w:tmpl w:val="5A284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1"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2"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3"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2"/>
  </w:num>
  <w:num w:numId="5">
    <w:abstractNumId w:val="16"/>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2"/>
  </w:num>
  <w:num w:numId="18">
    <w:abstractNumId w:val="9"/>
  </w:num>
  <w:num w:numId="19">
    <w:abstractNumId w:val="12"/>
  </w:num>
  <w:num w:numId="20">
    <w:abstractNumId w:val="10"/>
  </w:num>
  <w:num w:numId="21">
    <w:abstractNumId w:val="22"/>
  </w:num>
  <w:num w:numId="22">
    <w:abstractNumId w:val="9"/>
  </w:num>
  <w:num w:numId="23">
    <w:abstractNumId w:val="12"/>
  </w:num>
  <w:num w:numId="24">
    <w:abstractNumId w:val="10"/>
  </w:num>
  <w:num w:numId="25">
    <w:abstractNumId w:val="22"/>
  </w:num>
  <w:num w:numId="26">
    <w:abstractNumId w:val="20"/>
  </w:num>
  <w:num w:numId="27">
    <w:abstractNumId w:val="22"/>
  </w:num>
  <w:num w:numId="28">
    <w:abstractNumId w:val="20"/>
  </w:num>
  <w:num w:numId="29">
    <w:abstractNumId w:val="19"/>
  </w:num>
  <w:num w:numId="30">
    <w:abstractNumId w:val="21"/>
  </w:num>
  <w:num w:numId="31">
    <w:abstractNumId w:val="17"/>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18"/>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embedTrueTypeFonts/>
  <w:saveSubsetFonts/>
  <w:hideSpellingErrors/>
  <w:hideGrammaticalErrors/>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71681">
      <o:colormru v:ext="edit" colors="#3d007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538"/>
    <w:rsid w:val="00004769"/>
    <w:rsid w:val="000049A2"/>
    <w:rsid w:val="00010152"/>
    <w:rsid w:val="000277E6"/>
    <w:rsid w:val="000313E1"/>
    <w:rsid w:val="00035AE7"/>
    <w:rsid w:val="00043BF8"/>
    <w:rsid w:val="000467B2"/>
    <w:rsid w:val="00051023"/>
    <w:rsid w:val="00054E16"/>
    <w:rsid w:val="000718CD"/>
    <w:rsid w:val="000764FA"/>
    <w:rsid w:val="00095F3F"/>
    <w:rsid w:val="000A0FF7"/>
    <w:rsid w:val="000A3874"/>
    <w:rsid w:val="000B0F2E"/>
    <w:rsid w:val="000D02B9"/>
    <w:rsid w:val="000D1939"/>
    <w:rsid w:val="000D4A76"/>
    <w:rsid w:val="000D6BF4"/>
    <w:rsid w:val="000F3BC3"/>
    <w:rsid w:val="001265C8"/>
    <w:rsid w:val="00135BE1"/>
    <w:rsid w:val="00153179"/>
    <w:rsid w:val="00155670"/>
    <w:rsid w:val="001746B9"/>
    <w:rsid w:val="001750FA"/>
    <w:rsid w:val="0018088D"/>
    <w:rsid w:val="00197F73"/>
    <w:rsid w:val="001B6ADA"/>
    <w:rsid w:val="001C4306"/>
    <w:rsid w:val="001C56A6"/>
    <w:rsid w:val="001E53F3"/>
    <w:rsid w:val="002230A7"/>
    <w:rsid w:val="00242C21"/>
    <w:rsid w:val="00261A57"/>
    <w:rsid w:val="00273392"/>
    <w:rsid w:val="00297326"/>
    <w:rsid w:val="002A147E"/>
    <w:rsid w:val="002A70DC"/>
    <w:rsid w:val="002B0DB3"/>
    <w:rsid w:val="002B56C0"/>
    <w:rsid w:val="002D1A0E"/>
    <w:rsid w:val="002E0658"/>
    <w:rsid w:val="00300E44"/>
    <w:rsid w:val="003017B3"/>
    <w:rsid w:val="00304F17"/>
    <w:rsid w:val="00310833"/>
    <w:rsid w:val="00337B63"/>
    <w:rsid w:val="00352533"/>
    <w:rsid w:val="003579D4"/>
    <w:rsid w:val="00363601"/>
    <w:rsid w:val="003658B4"/>
    <w:rsid w:val="00371610"/>
    <w:rsid w:val="00372973"/>
    <w:rsid w:val="003742C7"/>
    <w:rsid w:val="00377E3B"/>
    <w:rsid w:val="00384F08"/>
    <w:rsid w:val="00394142"/>
    <w:rsid w:val="003A1E6B"/>
    <w:rsid w:val="003D071F"/>
    <w:rsid w:val="003D7D45"/>
    <w:rsid w:val="003F1332"/>
    <w:rsid w:val="003F5035"/>
    <w:rsid w:val="00400D58"/>
    <w:rsid w:val="0041155D"/>
    <w:rsid w:val="004166F5"/>
    <w:rsid w:val="00420946"/>
    <w:rsid w:val="004237FA"/>
    <w:rsid w:val="00425E24"/>
    <w:rsid w:val="00432F9C"/>
    <w:rsid w:val="004416D1"/>
    <w:rsid w:val="004446AE"/>
    <w:rsid w:val="00444B42"/>
    <w:rsid w:val="004468C6"/>
    <w:rsid w:val="00451810"/>
    <w:rsid w:val="004520D0"/>
    <w:rsid w:val="004623F3"/>
    <w:rsid w:val="00471651"/>
    <w:rsid w:val="00474DFD"/>
    <w:rsid w:val="004B336E"/>
    <w:rsid w:val="004B4800"/>
    <w:rsid w:val="004C1038"/>
    <w:rsid w:val="004C595C"/>
    <w:rsid w:val="004E0359"/>
    <w:rsid w:val="004F4A5F"/>
    <w:rsid w:val="004F4E47"/>
    <w:rsid w:val="004F6A14"/>
    <w:rsid w:val="005101CA"/>
    <w:rsid w:val="005112E4"/>
    <w:rsid w:val="00517EAC"/>
    <w:rsid w:val="00521FB4"/>
    <w:rsid w:val="005444C0"/>
    <w:rsid w:val="00550D5C"/>
    <w:rsid w:val="0055465F"/>
    <w:rsid w:val="0055547F"/>
    <w:rsid w:val="00557005"/>
    <w:rsid w:val="0056301F"/>
    <w:rsid w:val="00575375"/>
    <w:rsid w:val="005948D5"/>
    <w:rsid w:val="0059608D"/>
    <w:rsid w:val="005B121C"/>
    <w:rsid w:val="005B3A86"/>
    <w:rsid w:val="005C2E8D"/>
    <w:rsid w:val="005C4063"/>
    <w:rsid w:val="005C40E6"/>
    <w:rsid w:val="005D6916"/>
    <w:rsid w:val="005E244B"/>
    <w:rsid w:val="005E4060"/>
    <w:rsid w:val="005E518E"/>
    <w:rsid w:val="005F1A38"/>
    <w:rsid w:val="005F4F87"/>
    <w:rsid w:val="00613FF8"/>
    <w:rsid w:val="00615BE5"/>
    <w:rsid w:val="0061772D"/>
    <w:rsid w:val="00623F3F"/>
    <w:rsid w:val="0064234D"/>
    <w:rsid w:val="00642E1A"/>
    <w:rsid w:val="00645538"/>
    <w:rsid w:val="006505E1"/>
    <w:rsid w:val="006532B0"/>
    <w:rsid w:val="006626EB"/>
    <w:rsid w:val="00662BF1"/>
    <w:rsid w:val="00672BD3"/>
    <w:rsid w:val="00674E96"/>
    <w:rsid w:val="00682E52"/>
    <w:rsid w:val="00687FED"/>
    <w:rsid w:val="006A23F0"/>
    <w:rsid w:val="006B55A4"/>
    <w:rsid w:val="006B7CB3"/>
    <w:rsid w:val="006C2BD3"/>
    <w:rsid w:val="006C7C6D"/>
    <w:rsid w:val="006D0516"/>
    <w:rsid w:val="006D7316"/>
    <w:rsid w:val="006E620B"/>
    <w:rsid w:val="006F78A0"/>
    <w:rsid w:val="00704A07"/>
    <w:rsid w:val="00723F8E"/>
    <w:rsid w:val="00746658"/>
    <w:rsid w:val="00746EFF"/>
    <w:rsid w:val="007525F5"/>
    <w:rsid w:val="00752A6A"/>
    <w:rsid w:val="007667BD"/>
    <w:rsid w:val="007870CE"/>
    <w:rsid w:val="0079548F"/>
    <w:rsid w:val="00796FBD"/>
    <w:rsid w:val="007B39B4"/>
    <w:rsid w:val="007D48A6"/>
    <w:rsid w:val="007F6B89"/>
    <w:rsid w:val="00803051"/>
    <w:rsid w:val="008225AC"/>
    <w:rsid w:val="00823846"/>
    <w:rsid w:val="0083294B"/>
    <w:rsid w:val="00832D54"/>
    <w:rsid w:val="00840E13"/>
    <w:rsid w:val="00845388"/>
    <w:rsid w:val="00847210"/>
    <w:rsid w:val="008504E3"/>
    <w:rsid w:val="00855234"/>
    <w:rsid w:val="008601E9"/>
    <w:rsid w:val="00862FB8"/>
    <w:rsid w:val="008A5035"/>
    <w:rsid w:val="008A6F33"/>
    <w:rsid w:val="008D0EA0"/>
    <w:rsid w:val="008D2006"/>
    <w:rsid w:val="008D575B"/>
    <w:rsid w:val="008E113C"/>
    <w:rsid w:val="008E5622"/>
    <w:rsid w:val="008F2A00"/>
    <w:rsid w:val="008F34CB"/>
    <w:rsid w:val="008F39CF"/>
    <w:rsid w:val="00901585"/>
    <w:rsid w:val="009325A9"/>
    <w:rsid w:val="00940AE9"/>
    <w:rsid w:val="00962C60"/>
    <w:rsid w:val="0098665C"/>
    <w:rsid w:val="009A2490"/>
    <w:rsid w:val="009D51E8"/>
    <w:rsid w:val="009D691D"/>
    <w:rsid w:val="009F7A70"/>
    <w:rsid w:val="00A01B4B"/>
    <w:rsid w:val="00A03815"/>
    <w:rsid w:val="00A06C10"/>
    <w:rsid w:val="00A137D7"/>
    <w:rsid w:val="00A35B1F"/>
    <w:rsid w:val="00A3713A"/>
    <w:rsid w:val="00A43066"/>
    <w:rsid w:val="00A568CC"/>
    <w:rsid w:val="00A62A66"/>
    <w:rsid w:val="00A85786"/>
    <w:rsid w:val="00A87D38"/>
    <w:rsid w:val="00AB4A64"/>
    <w:rsid w:val="00AB5353"/>
    <w:rsid w:val="00AB6119"/>
    <w:rsid w:val="00AB649F"/>
    <w:rsid w:val="00AC119B"/>
    <w:rsid w:val="00AD07B6"/>
    <w:rsid w:val="00AD646A"/>
    <w:rsid w:val="00AD784F"/>
    <w:rsid w:val="00AE3B10"/>
    <w:rsid w:val="00AE7556"/>
    <w:rsid w:val="00AF47D9"/>
    <w:rsid w:val="00B01B83"/>
    <w:rsid w:val="00B03D03"/>
    <w:rsid w:val="00B040FC"/>
    <w:rsid w:val="00B04429"/>
    <w:rsid w:val="00B15314"/>
    <w:rsid w:val="00B16521"/>
    <w:rsid w:val="00B17E36"/>
    <w:rsid w:val="00B34650"/>
    <w:rsid w:val="00B45B23"/>
    <w:rsid w:val="00B46E8E"/>
    <w:rsid w:val="00B5273F"/>
    <w:rsid w:val="00B569C1"/>
    <w:rsid w:val="00B61518"/>
    <w:rsid w:val="00B65CC7"/>
    <w:rsid w:val="00B67098"/>
    <w:rsid w:val="00B679D2"/>
    <w:rsid w:val="00B817A8"/>
    <w:rsid w:val="00B8408C"/>
    <w:rsid w:val="00B90BF8"/>
    <w:rsid w:val="00B94FFA"/>
    <w:rsid w:val="00BB1623"/>
    <w:rsid w:val="00BB22FB"/>
    <w:rsid w:val="00BC7B09"/>
    <w:rsid w:val="00BD5978"/>
    <w:rsid w:val="00BD66AD"/>
    <w:rsid w:val="00BF0157"/>
    <w:rsid w:val="00BF2D2F"/>
    <w:rsid w:val="00C03127"/>
    <w:rsid w:val="00C0680F"/>
    <w:rsid w:val="00C2091F"/>
    <w:rsid w:val="00C22DCB"/>
    <w:rsid w:val="00C325EA"/>
    <w:rsid w:val="00C32D24"/>
    <w:rsid w:val="00C43D2B"/>
    <w:rsid w:val="00C628A0"/>
    <w:rsid w:val="00C654A6"/>
    <w:rsid w:val="00CA65E5"/>
    <w:rsid w:val="00CB6A80"/>
    <w:rsid w:val="00CD6D2F"/>
    <w:rsid w:val="00CE4500"/>
    <w:rsid w:val="00CF7C6B"/>
    <w:rsid w:val="00D05049"/>
    <w:rsid w:val="00D138C3"/>
    <w:rsid w:val="00D31404"/>
    <w:rsid w:val="00D33F34"/>
    <w:rsid w:val="00D44C87"/>
    <w:rsid w:val="00D527EA"/>
    <w:rsid w:val="00D63C25"/>
    <w:rsid w:val="00D70163"/>
    <w:rsid w:val="00D86D6F"/>
    <w:rsid w:val="00D936DD"/>
    <w:rsid w:val="00D97F5B"/>
    <w:rsid w:val="00DA397E"/>
    <w:rsid w:val="00DA6428"/>
    <w:rsid w:val="00DB1B21"/>
    <w:rsid w:val="00DC305C"/>
    <w:rsid w:val="00DD389D"/>
    <w:rsid w:val="00E00A30"/>
    <w:rsid w:val="00E0574E"/>
    <w:rsid w:val="00E05D32"/>
    <w:rsid w:val="00E07DDC"/>
    <w:rsid w:val="00E149BA"/>
    <w:rsid w:val="00E31039"/>
    <w:rsid w:val="00E360CB"/>
    <w:rsid w:val="00E36D1C"/>
    <w:rsid w:val="00E418B5"/>
    <w:rsid w:val="00E453F6"/>
    <w:rsid w:val="00E462DD"/>
    <w:rsid w:val="00E50F10"/>
    <w:rsid w:val="00E52B01"/>
    <w:rsid w:val="00E60C22"/>
    <w:rsid w:val="00E67374"/>
    <w:rsid w:val="00E74ECF"/>
    <w:rsid w:val="00E81CD4"/>
    <w:rsid w:val="00E87C9F"/>
    <w:rsid w:val="00EA57C7"/>
    <w:rsid w:val="00EC12B3"/>
    <w:rsid w:val="00EC1F98"/>
    <w:rsid w:val="00EE0EE5"/>
    <w:rsid w:val="00F06CCD"/>
    <w:rsid w:val="00F12343"/>
    <w:rsid w:val="00F154DD"/>
    <w:rsid w:val="00F16B3B"/>
    <w:rsid w:val="00F16EA3"/>
    <w:rsid w:val="00F17C44"/>
    <w:rsid w:val="00F255EE"/>
    <w:rsid w:val="00F25FF4"/>
    <w:rsid w:val="00F2689F"/>
    <w:rsid w:val="00F535EB"/>
    <w:rsid w:val="00F609A9"/>
    <w:rsid w:val="00F7071A"/>
    <w:rsid w:val="00F914E5"/>
    <w:rsid w:val="00F978A6"/>
    <w:rsid w:val="00FC0CF6"/>
    <w:rsid w:val="00FD25EA"/>
    <w:rsid w:val="00FE61BC"/>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81">
      <o:colormru v:ext="edit" colors="#3d0073"/>
    </o:shapedefaults>
    <o:shapelayout v:ext="edit">
      <o:idmap v:ext="edit" data="1"/>
    </o:shapelayout>
  </w:shapeDefaults>
  <w:decimalSymbol w:val="."/>
  <w:listSeparator w:val=","/>
  <w15:docId w15:val="{49581EFC-EC40-4F49-802E-15C323C99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136262734">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1040397108">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191643253">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91805662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94663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nasdaq-futures/nfx-marke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usiness.nasdaq.com/nasdaq-futures/nfx-marke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CT xmlns="4b47aac5-4c46-444f-8595-ce09b406fc61">false</RCT>
    <DocGuid xmlns="4b47aac5-4c46-444f-8595-ce09b406fc61">b28dfef4-1014-4d0c-b403-bbf70b95c8ca</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2016-07-15T17:52:18+00:00</Document_x0020_Date>
    <Document_x0020_No xmlns="4b47aac5-4c46-444f-8595-ce09b406fc61">25186</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F62E73A1F670314296D6E6EFEA0FFF39" ma:contentTypeVersion="0" ma:contentTypeDescription="" ma:contentTypeScope="" ma:versionID="c98075efb68efcbdea0371e3905cca6b">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744706-6416-4C13-B9B4-F6EDAC756B1A}"/>
</file>

<file path=customXml/itemProps2.xml><?xml version="1.0" encoding="utf-8"?>
<ds:datastoreItem xmlns:ds="http://schemas.openxmlformats.org/officeDocument/2006/customXml" ds:itemID="{B184A8EE-3483-42B9-B39C-FFC6B1B9097D}"/>
</file>

<file path=customXml/itemProps3.xml><?xml version="1.0" encoding="utf-8"?>
<ds:datastoreItem xmlns:ds="http://schemas.openxmlformats.org/officeDocument/2006/customXml" ds:itemID="{EF15CA83-F73B-409E-94A8-CA292E015980}"/>
</file>

<file path=customXml/itemProps4.xml><?xml version="1.0" encoding="utf-8"?>
<ds:datastoreItem xmlns:ds="http://schemas.openxmlformats.org/officeDocument/2006/customXml" ds:itemID="{AFAD669E-ECFD-46B3-839E-8F13C68FEEC9}"/>
</file>

<file path=customXml/itemProps5.xml><?xml version="1.0" encoding="utf-8"?>
<ds:datastoreItem xmlns:ds="http://schemas.openxmlformats.org/officeDocument/2006/customXml" ds:itemID="{CA6B1966-FC03-49B0-8C13-580DD0897FD2}"/>
</file>

<file path=docProps/app.xml><?xml version="1.0" encoding="utf-8"?>
<Properties xmlns="http://schemas.openxmlformats.org/officeDocument/2006/extended-properties" xmlns:vt="http://schemas.openxmlformats.org/officeDocument/2006/docPropsVTypes">
  <Template>NASDAQ Futures NFX_Philadelphia letterhead</Template>
  <TotalTime>0</TotalTime>
  <Pages>4</Pages>
  <Words>1130</Words>
  <Characters>6441</Characters>
  <Application>Microsoft Office Word</Application>
  <DocSecurity>6</DocSecurity>
  <Lines>53</Lines>
  <Paragraphs>15</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7556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Sherry Hill</cp:lastModifiedBy>
  <cp:revision>2</cp:revision>
  <cp:lastPrinted>2008-04-01T17:51:00Z</cp:lastPrinted>
  <dcterms:created xsi:type="dcterms:W3CDTF">2016-07-15T14:19:00Z</dcterms:created>
  <dcterms:modified xsi:type="dcterms:W3CDTF">2016-07-15T14:19:00Z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0x01010045B0BEB1BCDC4B408D1662109AEB463800F62E73A1F670314296D6E6EFEA0FFF39</vt:lpwstr>
  </property>
  <property fmtid="{D5CDD505-2E9C-101B-9397-08002B2CF9AE}" pid="3" name="_CopySource">
    <vt:lpwstr>\Cftc.gov</vt:lpwstr>
  </property>
  <property fmtid="{D5CDD505-2E9C-101B-9397-08002B2CF9AE}" pid="4" name="Order">
    <vt:r8>2700800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