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42" w:rsidRPr="00F00A18" w:rsidRDefault="00DF1942" w:rsidP="00DF1942">
      <w:pPr>
        <w:spacing w:before="120" w:after="0"/>
        <w:ind w:left="6550" w:hanging="6550"/>
        <w:rPr>
          <w:sz w:val="18"/>
          <w:szCs w:val="18"/>
        </w:rPr>
      </w:pPr>
      <w:r w:rsidRPr="00F00A18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6E78EBC8" wp14:editId="2FFA3B89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A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0A18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Pr="00F00A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2EC6">
        <w:rPr>
          <w:rFonts w:ascii="Times New Roman" w:eastAsia="Calibri" w:hAnsi="Times New Roman" w:cs="Times New Roman"/>
          <w:noProof/>
          <w:sz w:val="24"/>
          <w:szCs w:val="24"/>
        </w:rPr>
        <w:t>July 25, 2018</w:t>
      </w:r>
      <w:r w:rsidRPr="00F00A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00A18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F00A18">
        <w:rPr>
          <w:sz w:val="18"/>
          <w:szCs w:val="18"/>
        </w:rPr>
        <w:t>Nasdaq Futures, Inc.</w:t>
      </w:r>
      <w:proofErr w:type="gramEnd"/>
    </w:p>
    <w:p w:rsidR="00DF1942" w:rsidRPr="00F00A18" w:rsidRDefault="00DF1942" w:rsidP="00DF1942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F00A18">
        <w:rPr>
          <w:rFonts w:ascii="Times New Roman" w:eastAsia="Calibri" w:hAnsi="Times New Roman"/>
          <w:sz w:val="24"/>
          <w:szCs w:val="24"/>
        </w:rPr>
        <w:tab/>
      </w:r>
      <w:r w:rsidRPr="00F00A18">
        <w:rPr>
          <w:rFonts w:asciiTheme="minorHAnsi" w:hAnsiTheme="minorHAnsi"/>
        </w:rPr>
        <w:t xml:space="preserve">FMC Tower, Level 8, </w:t>
      </w:r>
    </w:p>
    <w:p w:rsidR="00DF1942" w:rsidRPr="00F00A18" w:rsidRDefault="00DF1942" w:rsidP="00DF194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00A18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DF1942" w:rsidRPr="00F00A18" w:rsidRDefault="00DF1942" w:rsidP="00DF194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00A18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DF1942" w:rsidRPr="00F00A18" w:rsidRDefault="00DF1942" w:rsidP="00DF194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F1942" w:rsidRPr="00F00A18" w:rsidRDefault="00DF1942" w:rsidP="00DF194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00A18">
        <w:rPr>
          <w:rFonts w:cs="Times New Roman"/>
          <w:sz w:val="18"/>
          <w:szCs w:val="18"/>
        </w:rPr>
        <w:t>business.nasdaq.com/futures</w:t>
      </w:r>
    </w:p>
    <w:p w:rsidR="00DF1942" w:rsidRPr="00F00A18" w:rsidRDefault="00DF1942" w:rsidP="00DF194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1155 21</w:t>
      </w:r>
      <w:r w:rsidRPr="00F00A18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00A18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DF1942" w:rsidRPr="00F00A18" w:rsidRDefault="00DF1942" w:rsidP="00DF194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DF1942" w:rsidRPr="00F00A18" w:rsidRDefault="00DF1942" w:rsidP="00DF19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67C3E" w:rsidRPr="00F00A18" w:rsidRDefault="00DF1942" w:rsidP="00D67C3E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F00A1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Self-Certification:</w:t>
      </w:r>
      <w:r w:rsidRPr="00F00A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0A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209D">
        <w:rPr>
          <w:rFonts w:ascii="Times New Roman" w:eastAsia="Calibri" w:hAnsi="Times New Roman" w:cs="Times New Roman"/>
          <w:b/>
          <w:sz w:val="24"/>
          <w:szCs w:val="24"/>
        </w:rPr>
        <w:t xml:space="preserve">Amendment to Block Trade Thresholds for </w:t>
      </w:r>
    </w:p>
    <w:p w:rsidR="00D67C3E" w:rsidRPr="00F00A18" w:rsidRDefault="00D67C3E" w:rsidP="00D67C3E">
      <w:pPr>
        <w:pStyle w:val="NoSpacing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b/>
          <w:sz w:val="24"/>
          <w:szCs w:val="24"/>
        </w:rPr>
        <w:t>Dry Freight Futures and Option</w:t>
      </w:r>
      <w:r w:rsidR="00252A74" w:rsidRPr="00F00A1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F00A18">
        <w:rPr>
          <w:rFonts w:ascii="Times New Roman" w:eastAsia="Calibri" w:hAnsi="Times New Roman" w:cs="Times New Roman"/>
          <w:b/>
          <w:sz w:val="24"/>
          <w:szCs w:val="24"/>
        </w:rPr>
        <w:t xml:space="preserve"> Contracts</w:t>
      </w:r>
    </w:p>
    <w:p w:rsidR="00DF1942" w:rsidRPr="00F00A18" w:rsidRDefault="00DF1942" w:rsidP="00D67C3E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0A18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SR-NFX-201</w:t>
      </w:r>
      <w:r w:rsidR="001653B5" w:rsidRPr="00F00A18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F00A18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494505">
        <w:rPr>
          <w:rFonts w:ascii="Times New Roman" w:eastAsia="Calibri" w:hAnsi="Times New Roman" w:cs="Times New Roman"/>
          <w:b/>
          <w:sz w:val="24"/>
          <w:szCs w:val="24"/>
          <w:u w:val="single"/>
        </w:rPr>
        <w:t>36</w:t>
      </w:r>
    </w:p>
    <w:p w:rsidR="0008423C" w:rsidRPr="00F00A18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F00A18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F00A18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E42DD" w:rsidRPr="00F00A18" w:rsidRDefault="005E3020" w:rsidP="009E42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F00A18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F00A18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F00A18">
        <w:rPr>
          <w:rFonts w:ascii="Times New Roman" w:hAnsi="Times New Roman" w:cs="Times New Roman"/>
          <w:sz w:val="24"/>
          <w:szCs w:val="24"/>
        </w:rPr>
        <w:t xml:space="preserve">40.6 </w:t>
      </w:r>
      <w:r w:rsidRPr="00F00A18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F00A18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F00A18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00A18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F00A18">
        <w:rPr>
          <w:rFonts w:ascii="Times New Roman" w:eastAsia="Calibri" w:hAnsi="Times New Roman" w:cs="Times New Roman"/>
          <w:sz w:val="24"/>
          <w:szCs w:val="24"/>
        </w:rPr>
        <w:t>”) hereby submits rules relating to block trade minimum quantity thresholds</w:t>
      </w:r>
      <w:r w:rsidR="001A3199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9E42DD" w:rsidRPr="00F00A18">
        <w:rPr>
          <w:rFonts w:ascii="Times New Roman" w:eastAsia="Calibri" w:hAnsi="Times New Roman" w:cs="Times New Roman"/>
          <w:sz w:val="24"/>
          <w:szCs w:val="24"/>
        </w:rPr>
        <w:t xml:space="preserve">NFX Dry Freight Futures and Options </w:t>
      </w:r>
      <w:r w:rsidR="009E42DD" w:rsidRPr="00F00A18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contracts </w:t>
      </w:r>
      <w:r w:rsidR="009E42DD" w:rsidRPr="00F00A18">
        <w:rPr>
          <w:rFonts w:ascii="Times New Roman" w:eastAsia="Calibri" w:hAnsi="Times New Roman" w:cs="Times New Roman"/>
          <w:sz w:val="24"/>
          <w:szCs w:val="24"/>
        </w:rPr>
        <w:t>(“Dry Freight contracts”)</w:t>
      </w:r>
      <w:r w:rsidRPr="00F00A1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9E42DD" w:rsidRPr="00F00A18">
        <w:rPr>
          <w:rFonts w:ascii="Times New Roman" w:eastAsia="Calibri" w:hAnsi="Times New Roman" w:cs="Times New Roman"/>
          <w:sz w:val="24"/>
          <w:szCs w:val="24"/>
        </w:rPr>
        <w:t xml:space="preserve">The Exchange anticipates </w:t>
      </w:r>
      <w:proofErr w:type="gramStart"/>
      <w:r w:rsidR="001A3199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="001A3199">
        <w:rPr>
          <w:rFonts w:ascii="Times New Roman" w:eastAsia="Calibri" w:hAnsi="Times New Roman" w:cs="Times New Roman"/>
          <w:sz w:val="24"/>
          <w:szCs w:val="24"/>
        </w:rPr>
        <w:t xml:space="preserve"> new rules going into effect </w:t>
      </w:r>
      <w:r w:rsidR="009E42DD" w:rsidRPr="00F00A18">
        <w:rPr>
          <w:rFonts w:ascii="Times New Roman" w:eastAsia="Calibri" w:hAnsi="Times New Roman" w:cs="Times New Roman"/>
          <w:sz w:val="24"/>
          <w:szCs w:val="24"/>
        </w:rPr>
        <w:t xml:space="preserve">beginning </w:t>
      </w:r>
      <w:r w:rsidR="001A3199">
        <w:rPr>
          <w:rFonts w:ascii="Times New Roman" w:eastAsia="Calibri" w:hAnsi="Times New Roman" w:cs="Times New Roman"/>
          <w:sz w:val="24"/>
          <w:szCs w:val="24"/>
        </w:rPr>
        <w:t>August 8</w:t>
      </w:r>
      <w:r w:rsidR="009E42DD" w:rsidRPr="00F00A18">
        <w:rPr>
          <w:rFonts w:ascii="Times New Roman" w:eastAsia="Calibri" w:hAnsi="Times New Roman" w:cs="Times New Roman"/>
          <w:sz w:val="24"/>
          <w:szCs w:val="24"/>
        </w:rPr>
        <w:t xml:space="preserve">, 2018, for trade date </w:t>
      </w:r>
      <w:r w:rsidR="001A3199">
        <w:rPr>
          <w:rFonts w:ascii="Times New Roman" w:eastAsia="Calibri" w:hAnsi="Times New Roman" w:cs="Times New Roman"/>
          <w:sz w:val="24"/>
          <w:szCs w:val="24"/>
        </w:rPr>
        <w:t>August 9</w:t>
      </w:r>
      <w:r w:rsidR="009E42DD" w:rsidRPr="00F00A18">
        <w:rPr>
          <w:rFonts w:ascii="Times New Roman" w:eastAsia="Calibri" w:hAnsi="Times New Roman" w:cs="Times New Roman"/>
          <w:sz w:val="24"/>
          <w:szCs w:val="24"/>
        </w:rPr>
        <w:t xml:space="preserve">, 2018.    </w:t>
      </w:r>
    </w:p>
    <w:p w:rsidR="0008423C" w:rsidRPr="00F00A18" w:rsidRDefault="0008423C" w:rsidP="00154FD5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F00A18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hAnsi="Times New Roman" w:cs="Times New Roman"/>
          <w:sz w:val="24"/>
          <w:szCs w:val="24"/>
        </w:rPr>
        <w:t xml:space="preserve">The rule amendments proposed herein are attached to this letter in </w:t>
      </w:r>
      <w:r w:rsidR="00317C2C" w:rsidRPr="00F00A18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Pr="00F00A18">
        <w:rPr>
          <w:rFonts w:ascii="Times New Roman" w:hAnsi="Times New Roman" w:cs="Times New Roman"/>
          <w:sz w:val="24"/>
          <w:szCs w:val="24"/>
        </w:rPr>
        <w:t xml:space="preserve"> which amends Rulebook Appendix </w:t>
      </w:r>
      <w:proofErr w:type="gramStart"/>
      <w:r w:rsidRPr="00F00A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0A18">
        <w:rPr>
          <w:rFonts w:ascii="Times New Roman" w:hAnsi="Times New Roman" w:cs="Times New Roman"/>
          <w:sz w:val="24"/>
          <w:szCs w:val="24"/>
        </w:rPr>
        <w:t xml:space="preserve">, Listed Contracts.  </w:t>
      </w:r>
    </w:p>
    <w:p w:rsidR="0008423C" w:rsidRPr="00F00A18" w:rsidRDefault="0008423C" w:rsidP="000842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8423C" w:rsidRPr="00F00A18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F00A18" w:rsidRDefault="0008423C" w:rsidP="0008423C">
      <w:pPr>
        <w:pStyle w:val="Default"/>
        <w:ind w:left="1310"/>
        <w:rPr>
          <w:color w:val="auto"/>
        </w:rPr>
      </w:pPr>
      <w:r w:rsidRPr="00F00A18">
        <w:rPr>
          <w:b/>
          <w:bCs/>
          <w:color w:val="auto"/>
          <w:u w:val="single"/>
        </w:rPr>
        <w:t xml:space="preserve">Exhibit 1 - Amendments to Rulebook Appendix A, Listed Contracts </w:t>
      </w:r>
    </w:p>
    <w:p w:rsidR="0008423C" w:rsidRPr="00F00A18" w:rsidRDefault="0008423C" w:rsidP="0008423C">
      <w:pPr>
        <w:pStyle w:val="NoSpacing"/>
        <w:ind w:firstLine="1310"/>
        <w:rPr>
          <w:rFonts w:ascii="Times New Roman" w:hAnsi="Times New Roman" w:cs="Times New Roman"/>
          <w:sz w:val="24"/>
          <w:szCs w:val="24"/>
          <w:u w:val="single"/>
        </w:rPr>
      </w:pPr>
    </w:p>
    <w:p w:rsidR="001A3199" w:rsidRDefault="0008423C" w:rsidP="00E1206A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F00A18">
        <w:rPr>
          <w:rFonts w:ascii="Times New Roman" w:hAnsi="Times New Roman" w:cs="Times New Roman"/>
          <w:sz w:val="24"/>
          <w:szCs w:val="24"/>
          <w:u w:val="single"/>
        </w:rPr>
        <w:t>Block Trade Minimum Quantity Threshold and Reporting Times.</w:t>
      </w:r>
      <w:r w:rsidRPr="00F00A18">
        <w:rPr>
          <w:rFonts w:ascii="Times New Roman" w:hAnsi="Times New Roman" w:cs="Times New Roman"/>
          <w:sz w:val="24"/>
          <w:szCs w:val="24"/>
        </w:rPr>
        <w:t xml:space="preserve"> </w:t>
      </w:r>
      <w:r w:rsidR="001A3199">
        <w:rPr>
          <w:rFonts w:ascii="Times New Roman" w:hAnsi="Times New Roman" w:cs="Times New Roman"/>
          <w:sz w:val="24"/>
          <w:szCs w:val="24"/>
        </w:rPr>
        <w:t>NFX launched the Dry Freight contract</w:t>
      </w:r>
      <w:r w:rsidR="00DA508B">
        <w:rPr>
          <w:rFonts w:ascii="Times New Roman" w:hAnsi="Times New Roman" w:cs="Times New Roman"/>
          <w:sz w:val="24"/>
          <w:szCs w:val="24"/>
        </w:rPr>
        <w:t>s</w:t>
      </w:r>
      <w:r w:rsidR="001A3199">
        <w:rPr>
          <w:rFonts w:ascii="Times New Roman" w:hAnsi="Times New Roman" w:cs="Times New Roman"/>
          <w:sz w:val="24"/>
          <w:szCs w:val="24"/>
        </w:rPr>
        <w:t xml:space="preserve"> on </w:t>
      </w:r>
      <w:r w:rsidR="00F41EA7">
        <w:rPr>
          <w:rFonts w:ascii="Times New Roman" w:hAnsi="Times New Roman" w:cs="Times New Roman"/>
          <w:sz w:val="24"/>
          <w:szCs w:val="24"/>
        </w:rPr>
        <w:t xml:space="preserve">July 4, 2018.  When the new contracts were certified to the Commission NFX included a rule for each contract allowing NFX to submit block trades in the Dry Freight contracts with a block trade minimum threshold of one contract.  This rule </w:t>
      </w:r>
      <w:r w:rsidR="00DA508B">
        <w:rPr>
          <w:rFonts w:ascii="Times New Roman" w:hAnsi="Times New Roman" w:cs="Times New Roman"/>
          <w:sz w:val="24"/>
          <w:szCs w:val="24"/>
        </w:rPr>
        <w:t xml:space="preserve">was </w:t>
      </w:r>
      <w:r w:rsidR="00F41EA7">
        <w:rPr>
          <w:rFonts w:ascii="Times New Roman" w:hAnsi="Times New Roman" w:cs="Times New Roman"/>
          <w:sz w:val="24"/>
          <w:szCs w:val="24"/>
        </w:rPr>
        <w:t>added in order to allow the migration of position</w:t>
      </w:r>
      <w:r w:rsidR="00853E19">
        <w:rPr>
          <w:rFonts w:ascii="Times New Roman" w:hAnsi="Times New Roman" w:cs="Times New Roman"/>
          <w:sz w:val="24"/>
          <w:szCs w:val="24"/>
        </w:rPr>
        <w:t>s</w:t>
      </w:r>
      <w:r w:rsidR="00F41EA7">
        <w:rPr>
          <w:rFonts w:ascii="Times New Roman" w:hAnsi="Times New Roman" w:cs="Times New Roman"/>
          <w:sz w:val="24"/>
          <w:szCs w:val="24"/>
        </w:rPr>
        <w:t xml:space="preserve"> in the Dry Freight contracts that had previously been listed on Nasdaq Commodities Europe to </w:t>
      </w:r>
      <w:r w:rsidR="00853E19">
        <w:rPr>
          <w:rFonts w:ascii="Times New Roman" w:hAnsi="Times New Roman" w:cs="Times New Roman"/>
          <w:sz w:val="24"/>
          <w:szCs w:val="24"/>
        </w:rPr>
        <w:t>NFX.  On July 12, 2018</w:t>
      </w:r>
      <w:r w:rsidR="00DA508B">
        <w:rPr>
          <w:rFonts w:ascii="Times New Roman" w:hAnsi="Times New Roman" w:cs="Times New Roman"/>
          <w:sz w:val="24"/>
          <w:szCs w:val="24"/>
        </w:rPr>
        <w:t>,</w:t>
      </w:r>
      <w:r w:rsidR="00853E19">
        <w:rPr>
          <w:rFonts w:ascii="Times New Roman" w:hAnsi="Times New Roman" w:cs="Times New Roman"/>
          <w:sz w:val="24"/>
          <w:szCs w:val="24"/>
        </w:rPr>
        <w:t xml:space="preserve"> NFX completed the migration of Dry Freight contracts from the Nasdaq Commodities Europe platform.  Now that the migration is complete, NFX is amending the rules for the Dry Freight contract</w:t>
      </w:r>
      <w:r w:rsidR="00DA508B">
        <w:rPr>
          <w:rFonts w:ascii="Times New Roman" w:hAnsi="Times New Roman" w:cs="Times New Roman"/>
          <w:sz w:val="24"/>
          <w:szCs w:val="24"/>
        </w:rPr>
        <w:t>s</w:t>
      </w:r>
      <w:r w:rsidR="00853E19">
        <w:rPr>
          <w:rFonts w:ascii="Times New Roman" w:hAnsi="Times New Roman" w:cs="Times New Roman"/>
          <w:sz w:val="24"/>
          <w:szCs w:val="24"/>
        </w:rPr>
        <w:t xml:space="preserve"> to remove the provision allowing NFX to submit block trades with a one contract minimum threshold. </w:t>
      </w:r>
      <w:r w:rsidR="00F4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3C" w:rsidRPr="00F00A18" w:rsidRDefault="0008423C" w:rsidP="0008423C">
      <w:pPr>
        <w:pStyle w:val="Default"/>
        <w:ind w:firstLine="1310"/>
        <w:rPr>
          <w:rFonts w:eastAsia="Calibri"/>
        </w:rPr>
      </w:pPr>
    </w:p>
    <w:p w:rsidR="0008423C" w:rsidRPr="00F00A18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F00A18">
        <w:rPr>
          <w:b/>
          <w:bCs/>
          <w:color w:val="auto"/>
        </w:rPr>
        <w:t xml:space="preserve">           </w:t>
      </w:r>
      <w:r w:rsidRPr="00F00A18">
        <w:rPr>
          <w:b/>
          <w:bCs/>
          <w:color w:val="auto"/>
          <w:u w:val="single"/>
        </w:rPr>
        <w:t xml:space="preserve">DCM Core Principles </w:t>
      </w:r>
    </w:p>
    <w:p w:rsidR="0008423C" w:rsidRPr="00F00A18" w:rsidRDefault="0008423C" w:rsidP="0008423C">
      <w:pPr>
        <w:pStyle w:val="Default"/>
        <w:ind w:left="2620"/>
        <w:rPr>
          <w:color w:val="auto"/>
        </w:rPr>
      </w:pPr>
    </w:p>
    <w:p w:rsidR="0008423C" w:rsidRPr="00F00A18" w:rsidRDefault="0008423C" w:rsidP="0008423C">
      <w:pPr>
        <w:pStyle w:val="Default"/>
        <w:ind w:firstLine="1310"/>
        <w:rPr>
          <w:color w:val="auto"/>
        </w:rPr>
      </w:pPr>
      <w:r w:rsidRPr="00F00A18">
        <w:rPr>
          <w:color w:val="auto"/>
        </w:rPr>
        <w:t>The Exchange has reviewed the designated contract market core principles (“</w:t>
      </w:r>
      <w:r w:rsidRPr="00F00A18">
        <w:rPr>
          <w:color w:val="auto"/>
          <w:u w:val="single"/>
        </w:rPr>
        <w:t>Core Principles</w:t>
      </w:r>
      <w:r w:rsidRPr="00F00A18">
        <w:rPr>
          <w:color w:val="auto"/>
        </w:rPr>
        <w:t xml:space="preserve">”) as set forth in the Act in connection with the amendments presented herein. Consistent with Core Principle 7 - Availability of General Information, the Exchange will post general information, including the NFX Rulebook as amended herein, on its website: </w:t>
      </w:r>
      <w:hyperlink r:id="rId11" w:history="1">
        <w:r w:rsidRPr="00F00A18">
          <w:rPr>
            <w:rStyle w:val="Hyperlink"/>
          </w:rPr>
          <w:t>business.nasdaq.com/futures</w:t>
        </w:r>
      </w:hyperlink>
      <w:r w:rsidRPr="00F00A18">
        <w:rPr>
          <w:color w:val="auto"/>
        </w:rPr>
        <w:t>.</w:t>
      </w:r>
    </w:p>
    <w:p w:rsidR="0008423C" w:rsidRPr="00F00A18" w:rsidRDefault="0008423C" w:rsidP="0008423C">
      <w:pPr>
        <w:pStyle w:val="Default"/>
        <w:ind w:firstLine="1310"/>
        <w:rPr>
          <w:color w:val="auto"/>
        </w:rPr>
      </w:pPr>
    </w:p>
    <w:p w:rsidR="00853E19" w:rsidRDefault="00853E19" w:rsidP="0008423C">
      <w:pPr>
        <w:pStyle w:val="Default"/>
        <w:ind w:left="2620"/>
        <w:rPr>
          <w:b/>
          <w:bCs/>
          <w:color w:val="auto"/>
        </w:rPr>
      </w:pPr>
    </w:p>
    <w:p w:rsidR="0008423C" w:rsidRPr="00F00A18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F00A18">
        <w:rPr>
          <w:b/>
          <w:bCs/>
          <w:color w:val="auto"/>
        </w:rPr>
        <w:t xml:space="preserve">           </w:t>
      </w:r>
      <w:r w:rsidRPr="00F00A18">
        <w:rPr>
          <w:b/>
          <w:bCs/>
          <w:color w:val="auto"/>
          <w:u w:val="single"/>
        </w:rPr>
        <w:t xml:space="preserve">Certifications </w:t>
      </w:r>
    </w:p>
    <w:p w:rsidR="0008423C" w:rsidRPr="00F00A18" w:rsidRDefault="0008423C" w:rsidP="0008423C">
      <w:pPr>
        <w:pStyle w:val="Default"/>
        <w:ind w:left="2620"/>
        <w:rPr>
          <w:color w:val="auto"/>
        </w:rPr>
      </w:pPr>
    </w:p>
    <w:p w:rsidR="0008423C" w:rsidRPr="00F00A18" w:rsidRDefault="0008423C" w:rsidP="0008423C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F00A18">
        <w:rPr>
          <w:rFonts w:ascii="Times New Roman" w:hAnsi="Times New Roman"/>
          <w:sz w:val="24"/>
          <w:szCs w:val="24"/>
        </w:rPr>
        <w:t>There were no opposing views among NFX’s Board of Directors, members or market participants. The Exchange hereby certifies that the rule amendment</w:t>
      </w:r>
      <w:r w:rsidR="00DA508B">
        <w:rPr>
          <w:rFonts w:ascii="Times New Roman" w:hAnsi="Times New Roman"/>
          <w:sz w:val="24"/>
          <w:szCs w:val="24"/>
        </w:rPr>
        <w:t>s</w:t>
      </w:r>
      <w:r w:rsidRPr="00F00A18">
        <w:rPr>
          <w:rFonts w:ascii="Times New Roman" w:hAnsi="Times New Roman"/>
          <w:sz w:val="24"/>
          <w:szCs w:val="24"/>
        </w:rPr>
        <w:t xml:space="preserve"> set forth herein compl</w:t>
      </w:r>
      <w:r w:rsidR="00DA508B">
        <w:rPr>
          <w:rFonts w:ascii="Times New Roman" w:hAnsi="Times New Roman"/>
          <w:sz w:val="24"/>
          <w:szCs w:val="24"/>
        </w:rPr>
        <w:t>y</w:t>
      </w:r>
      <w:r w:rsidRPr="00F00A18">
        <w:rPr>
          <w:rFonts w:ascii="Times New Roman" w:hAnsi="Times New Roman"/>
          <w:sz w:val="24"/>
          <w:szCs w:val="24"/>
        </w:rPr>
        <w:t xml:space="preserve"> with the Act and the Commission’s regulations thereunder.  The Exchange also certifies that notice of pending certification and a copy of this submission have been concurrently posted on the Exchange’s website at </w:t>
      </w:r>
      <w:hyperlink r:id="rId12" w:history="1">
        <w:r w:rsidRPr="00F00A18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Pr="00F00A18">
        <w:rPr>
          <w:rFonts w:ascii="Times New Roman" w:hAnsi="Times New Roman"/>
          <w:sz w:val="24"/>
          <w:szCs w:val="24"/>
        </w:rPr>
        <w:t>.</w:t>
      </w:r>
    </w:p>
    <w:p w:rsidR="0008423C" w:rsidRPr="00F00A18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F00A18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F00A18">
        <w:rPr>
          <w:rFonts w:ascii="Times New Roman" w:hAnsi="Times New Roman" w:cs="Times New Roman"/>
          <w:sz w:val="24"/>
          <w:szCs w:val="24"/>
        </w:rPr>
        <w:t>contact</w:t>
      </w:r>
      <w:r w:rsidRPr="00F00A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00A18">
        <w:rPr>
          <w:rFonts w:ascii="Times New Roman" w:hAnsi="Times New Roman" w:cs="Times New Roman"/>
          <w:spacing w:val="-6"/>
          <w:sz w:val="24"/>
          <w:szCs w:val="24"/>
        </w:rPr>
        <w:t>Aravind</w:t>
      </w:r>
      <w:proofErr w:type="spellEnd"/>
      <w:r w:rsidRPr="00F00A18">
        <w:rPr>
          <w:rFonts w:ascii="Times New Roman" w:hAnsi="Times New Roman" w:cs="Times New Roman"/>
          <w:spacing w:val="-6"/>
          <w:sz w:val="24"/>
          <w:szCs w:val="24"/>
        </w:rPr>
        <w:t xml:space="preserve"> Menon at (301) 978-8416 </w:t>
      </w:r>
      <w:r w:rsidRPr="00F00A18">
        <w:rPr>
          <w:rFonts w:ascii="Times New Roman" w:hAnsi="Times New Roman" w:cs="Times New Roman"/>
          <w:sz w:val="24"/>
          <w:szCs w:val="24"/>
        </w:rPr>
        <w:t>or</w:t>
      </w:r>
      <w:r w:rsidRPr="00F00A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0A18">
        <w:rPr>
          <w:rFonts w:ascii="Times New Roman" w:hAnsi="Times New Roman" w:cs="Times New Roman"/>
          <w:sz w:val="24"/>
          <w:szCs w:val="24"/>
        </w:rPr>
        <w:t>aravind.menon@nasdaq.com</w:t>
      </w:r>
      <w:r w:rsidRPr="00F00A18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F00A18">
        <w:rPr>
          <w:rFonts w:ascii="Times New Roman" w:hAnsi="Times New Roman" w:cs="Times New Roman"/>
          <w:sz w:val="24"/>
          <w:szCs w:val="24"/>
        </w:rPr>
        <w:t>Please</w:t>
      </w:r>
      <w:r w:rsidRPr="00F00A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0A18">
        <w:rPr>
          <w:rFonts w:ascii="Times New Roman" w:hAnsi="Times New Roman" w:cs="Times New Roman"/>
          <w:sz w:val="24"/>
          <w:szCs w:val="24"/>
        </w:rPr>
        <w:t>refer to</w:t>
      </w:r>
      <w:r w:rsidRPr="00F00A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0A18">
        <w:rPr>
          <w:rFonts w:ascii="Times New Roman" w:hAnsi="Times New Roman" w:cs="Times New Roman"/>
          <w:sz w:val="24"/>
          <w:szCs w:val="24"/>
        </w:rPr>
        <w:t>SR-NFX-201</w:t>
      </w:r>
      <w:r w:rsidR="00684349" w:rsidRPr="00F00A18">
        <w:rPr>
          <w:rFonts w:ascii="Times New Roman" w:hAnsi="Times New Roman" w:cs="Times New Roman"/>
          <w:sz w:val="24"/>
          <w:szCs w:val="24"/>
        </w:rPr>
        <w:t>8</w:t>
      </w:r>
      <w:r w:rsidRPr="00F00A18">
        <w:rPr>
          <w:rFonts w:ascii="Times New Roman" w:hAnsi="Times New Roman" w:cs="Times New Roman"/>
          <w:sz w:val="24"/>
          <w:szCs w:val="24"/>
        </w:rPr>
        <w:t>-</w:t>
      </w:r>
      <w:r w:rsidR="00684349" w:rsidRPr="00F00A18">
        <w:rPr>
          <w:rFonts w:ascii="Times New Roman" w:hAnsi="Times New Roman" w:cs="Times New Roman"/>
          <w:sz w:val="24"/>
          <w:szCs w:val="24"/>
        </w:rPr>
        <w:t>3</w:t>
      </w:r>
      <w:r w:rsidR="004178BB">
        <w:rPr>
          <w:rFonts w:ascii="Times New Roman" w:hAnsi="Times New Roman" w:cs="Times New Roman"/>
          <w:sz w:val="24"/>
          <w:szCs w:val="24"/>
        </w:rPr>
        <w:t>6</w:t>
      </w:r>
      <w:r w:rsidR="00684349" w:rsidRPr="00F00A18">
        <w:rPr>
          <w:rFonts w:ascii="Times New Roman" w:hAnsi="Times New Roman" w:cs="Times New Roman"/>
          <w:sz w:val="24"/>
          <w:szCs w:val="24"/>
        </w:rPr>
        <w:t xml:space="preserve"> </w:t>
      </w:r>
      <w:r w:rsidRPr="00F00A1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F93853" w:rsidRPr="00F00A1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423C" w:rsidRPr="00F00A18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F00A18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3E7BFD" w:rsidRDefault="003E7BFD" w:rsidP="004178BB">
      <w:pPr>
        <w:pStyle w:val="NoSpacing"/>
        <w:keepNext/>
        <w:ind w:left="4320"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4178BB" w:rsidRDefault="004178BB" w:rsidP="003E7BFD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00A1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CEDE45" wp14:editId="0E31AC59">
            <wp:extent cx="2400300" cy="645795"/>
            <wp:effectExtent l="0" t="0" r="0" b="1905"/>
            <wp:docPr id="2" name="Picture 2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2" cy="74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BB" w:rsidRDefault="004178BB" w:rsidP="004178BB">
      <w:pPr>
        <w:pStyle w:val="NoSpacing"/>
        <w:keepNext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3E7BFD" w:rsidRPr="00F00A18" w:rsidRDefault="003E7BFD" w:rsidP="004178BB">
      <w:pPr>
        <w:pStyle w:val="NoSpacing"/>
        <w:keepNext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 w:rsidRPr="00F00A18"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3E7BFD" w:rsidRPr="00F00A18" w:rsidRDefault="003E7BFD" w:rsidP="004178BB">
      <w:pPr>
        <w:pStyle w:val="NoSpacing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F00A18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08423C" w:rsidRPr="00F00A18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F00A18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F00A18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18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:rsidR="0008423C" w:rsidRPr="00F00A18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08423C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18">
        <w:rPr>
          <w:rFonts w:ascii="Times New Roman" w:hAnsi="Times New Roman" w:cs="Times New Roman"/>
          <w:sz w:val="24"/>
          <w:szCs w:val="24"/>
        </w:rPr>
        <w:t xml:space="preserve">  </w:t>
      </w:r>
      <w:r w:rsidRPr="00F00A18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5A08AE" w:rsidRPr="00F00A1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00A18">
        <w:rPr>
          <w:rFonts w:ascii="Times New Roman" w:hAnsi="Times New Roman" w:cs="Times New Roman"/>
          <w:sz w:val="24"/>
          <w:szCs w:val="24"/>
        </w:rPr>
        <w:t>:</w:t>
      </w:r>
      <w:r w:rsidRPr="00F00A18">
        <w:rPr>
          <w:rFonts w:ascii="Times New Roman" w:hAnsi="Times New Roman" w:cs="Times New Roman"/>
          <w:sz w:val="24"/>
          <w:szCs w:val="24"/>
        </w:rPr>
        <w:tab/>
        <w:t xml:space="preserve"> Amendments to Rulebook Appendix A – Listed Contracts</w:t>
      </w: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C5" w:rsidRPr="00E1206A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E1206A" w:rsidSect="00E12802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BC" w:rsidRDefault="00F017BC" w:rsidP="0008423C">
      <w:pPr>
        <w:spacing w:after="0" w:line="240" w:lineRule="auto"/>
      </w:pPr>
      <w:r>
        <w:separator/>
      </w:r>
    </w:p>
  </w:endnote>
  <w:endnote w:type="continuationSeparator" w:id="0">
    <w:p w:rsidR="00F017BC" w:rsidRDefault="00F017BC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BC" w:rsidRDefault="00F017BC" w:rsidP="0008423C">
      <w:pPr>
        <w:spacing w:after="0" w:line="240" w:lineRule="auto"/>
      </w:pPr>
      <w:r>
        <w:separator/>
      </w:r>
    </w:p>
  </w:footnote>
  <w:footnote w:type="continuationSeparator" w:id="0">
    <w:p w:rsidR="00F017BC" w:rsidRDefault="00F017BC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92EC6">
      <w:rPr>
        <w:rFonts w:ascii="Times New Roman" w:hAnsi="Times New Roman" w:cs="Times New Roman"/>
        <w:noProof/>
        <w:sz w:val="20"/>
        <w:szCs w:val="20"/>
      </w:rPr>
      <w:t>July 25,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1653B5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SR-NFX-2018</w:t>
    </w:r>
    <w:r w:rsidR="00E12802" w:rsidRPr="00C54BB6">
      <w:rPr>
        <w:rFonts w:ascii="Times New Roman" w:hAnsi="Times New Roman" w:cs="Times New Roman"/>
        <w:sz w:val="20"/>
        <w:szCs w:val="20"/>
      </w:rPr>
      <w:t>-</w:t>
    </w:r>
    <w:r w:rsidR="00F1209D">
      <w:rPr>
        <w:rFonts w:ascii="Times New Roman" w:hAnsi="Times New Roman" w:cs="Times New Roman"/>
        <w:sz w:val="20"/>
        <w:szCs w:val="20"/>
      </w:rPr>
      <w:t>36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A92EC6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40BA5"/>
    <w:rsid w:val="00066BB7"/>
    <w:rsid w:val="0008423C"/>
    <w:rsid w:val="000E26AE"/>
    <w:rsid w:val="000E415C"/>
    <w:rsid w:val="0012529D"/>
    <w:rsid w:val="00154FD5"/>
    <w:rsid w:val="001653B5"/>
    <w:rsid w:val="001A3199"/>
    <w:rsid w:val="001C7DCA"/>
    <w:rsid w:val="00204EC5"/>
    <w:rsid w:val="00252A74"/>
    <w:rsid w:val="00253701"/>
    <w:rsid w:val="002549B0"/>
    <w:rsid w:val="002C0A34"/>
    <w:rsid w:val="002E1303"/>
    <w:rsid w:val="00317C2C"/>
    <w:rsid w:val="00344F4D"/>
    <w:rsid w:val="003636D7"/>
    <w:rsid w:val="003D40B8"/>
    <w:rsid w:val="003E1242"/>
    <w:rsid w:val="003E7BFD"/>
    <w:rsid w:val="004178BB"/>
    <w:rsid w:val="00494505"/>
    <w:rsid w:val="004965FA"/>
    <w:rsid w:val="004A256C"/>
    <w:rsid w:val="004A53F9"/>
    <w:rsid w:val="004B0524"/>
    <w:rsid w:val="004D7E5D"/>
    <w:rsid w:val="004F3A36"/>
    <w:rsid w:val="005013E3"/>
    <w:rsid w:val="00534FAB"/>
    <w:rsid w:val="00543CA2"/>
    <w:rsid w:val="005A08AE"/>
    <w:rsid w:val="005C7A32"/>
    <w:rsid w:val="005E3020"/>
    <w:rsid w:val="005F3337"/>
    <w:rsid w:val="00682A97"/>
    <w:rsid w:val="00684349"/>
    <w:rsid w:val="006A0AAF"/>
    <w:rsid w:val="006B3A2F"/>
    <w:rsid w:val="006C4647"/>
    <w:rsid w:val="006D1F62"/>
    <w:rsid w:val="007076E9"/>
    <w:rsid w:val="007958C5"/>
    <w:rsid w:val="007C7601"/>
    <w:rsid w:val="00821537"/>
    <w:rsid w:val="0082421C"/>
    <w:rsid w:val="008321A8"/>
    <w:rsid w:val="0083533B"/>
    <w:rsid w:val="00853E19"/>
    <w:rsid w:val="00893E15"/>
    <w:rsid w:val="008B041F"/>
    <w:rsid w:val="008C3F5C"/>
    <w:rsid w:val="0096726E"/>
    <w:rsid w:val="00974A0B"/>
    <w:rsid w:val="009D0582"/>
    <w:rsid w:val="009D7341"/>
    <w:rsid w:val="009E42DD"/>
    <w:rsid w:val="00A92EC6"/>
    <w:rsid w:val="00AD7CB9"/>
    <w:rsid w:val="00B53FAF"/>
    <w:rsid w:val="00B6273B"/>
    <w:rsid w:val="00B6532A"/>
    <w:rsid w:val="00BF3AF0"/>
    <w:rsid w:val="00C4068B"/>
    <w:rsid w:val="00C53AEA"/>
    <w:rsid w:val="00C750E2"/>
    <w:rsid w:val="00CA52C3"/>
    <w:rsid w:val="00CA6E45"/>
    <w:rsid w:val="00CB53DA"/>
    <w:rsid w:val="00CE43B6"/>
    <w:rsid w:val="00D0050D"/>
    <w:rsid w:val="00D327C6"/>
    <w:rsid w:val="00D60246"/>
    <w:rsid w:val="00D67C3E"/>
    <w:rsid w:val="00D70718"/>
    <w:rsid w:val="00D97ECA"/>
    <w:rsid w:val="00DA508B"/>
    <w:rsid w:val="00DF1942"/>
    <w:rsid w:val="00E0471C"/>
    <w:rsid w:val="00E1206A"/>
    <w:rsid w:val="00E12802"/>
    <w:rsid w:val="00E27B87"/>
    <w:rsid w:val="00E339AB"/>
    <w:rsid w:val="00E34482"/>
    <w:rsid w:val="00E429AB"/>
    <w:rsid w:val="00E5289A"/>
    <w:rsid w:val="00E74C83"/>
    <w:rsid w:val="00E75614"/>
    <w:rsid w:val="00EC432B"/>
    <w:rsid w:val="00F00A18"/>
    <w:rsid w:val="00F017BC"/>
    <w:rsid w:val="00F02F13"/>
    <w:rsid w:val="00F1209D"/>
    <w:rsid w:val="00F20122"/>
    <w:rsid w:val="00F41EA7"/>
    <w:rsid w:val="00F452FD"/>
    <w:rsid w:val="00F86B2E"/>
    <w:rsid w:val="00F93853"/>
    <w:rsid w:val="00FB3245"/>
    <w:rsid w:val="00FB65E4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usiness.nasdaq.com/nasdaq-futures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b905b77e-8379-4435-8169-e233a5d1978d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2018-07-25T20:40:46+00:00</Document_x0020_Date>
    <Document_x0020_No xmlns="4b47aac5-4c46-444f-8595-ce09b406fc61">40649</Document_x0020_No>
  </documentManagement>
</p:properties>
</file>

<file path=customXml/itemProps1.xml><?xml version="1.0" encoding="utf-8"?>
<ds:datastoreItem xmlns:ds="http://schemas.openxmlformats.org/officeDocument/2006/customXml" ds:itemID="{A349DA82-79FD-40D9-92FC-DF7BE697CA0B}"/>
</file>

<file path=customXml/itemProps2.xml><?xml version="1.0" encoding="utf-8"?>
<ds:datastoreItem xmlns:ds="http://schemas.openxmlformats.org/officeDocument/2006/customXml" ds:itemID="{C4341E66-73D6-4BC5-B485-F19232D2FEB8}"/>
</file>

<file path=customXml/itemProps3.xml><?xml version="1.0" encoding="utf-8"?>
<ds:datastoreItem xmlns:ds="http://schemas.openxmlformats.org/officeDocument/2006/customXml" ds:itemID="{1ECBB18B-C3D8-488D-8064-5B7F71B957B8}"/>
</file>

<file path=customXml/itemProps4.xml><?xml version="1.0" encoding="utf-8"?>
<ds:datastoreItem xmlns:ds="http://schemas.openxmlformats.org/officeDocument/2006/customXml" ds:itemID="{742AE1E5-549E-435C-A1FE-DEDA0A418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9</cp:revision>
  <cp:lastPrinted>2018-06-19T18:57:00Z</cp:lastPrinted>
  <dcterms:created xsi:type="dcterms:W3CDTF">2018-07-25T14:17:00Z</dcterms:created>
  <dcterms:modified xsi:type="dcterms:W3CDTF">2018-07-25T19:46:00Z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5706600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