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5D" w:rsidRDefault="0005755D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05755D" w:rsidRDefault="0005755D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EC1F98" w:rsidRPr="00650B32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5755D" w:rsidRDefault="0005755D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C26B7B" w:rsidRDefault="00700F18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C6DAA">
        <w:rPr>
          <w:rFonts w:ascii="Times New Roman" w:eastAsia="Calibri" w:hAnsi="Times New Roman" w:cs="Times New Roman"/>
          <w:noProof/>
          <w:sz w:val="24"/>
          <w:szCs w:val="24"/>
        </w:rPr>
        <w:t>September 5, 2017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1155 21</w:t>
      </w:r>
      <w:r w:rsidRPr="00C26B7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C26B7B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C26B7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00F18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C73623">
        <w:rPr>
          <w:rFonts w:ascii="Times New Roman" w:eastAsia="Calibri" w:hAnsi="Times New Roman" w:cs="Times New Roman"/>
          <w:b/>
          <w:sz w:val="24"/>
          <w:szCs w:val="24"/>
          <w:u w:val="single"/>
        </w:rPr>
        <w:t>38</w:t>
      </w:r>
    </w:p>
    <w:p w:rsidR="00700F18" w:rsidRDefault="00700F18" w:rsidP="00700F1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C12" w:rsidRPr="00C26B7B" w:rsidRDefault="008D2C12" w:rsidP="00700F1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DE235E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DE235E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DE235E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E235E">
        <w:rPr>
          <w:rFonts w:ascii="Times New Roman" w:eastAsia="Calibri" w:hAnsi="Times New Roman" w:cs="Times New Roman"/>
          <w:sz w:val="24"/>
          <w:szCs w:val="24"/>
        </w:rPr>
        <w:t>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35E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>
        <w:rPr>
          <w:rFonts w:ascii="Times New Roman" w:eastAsia="Calibri" w:hAnsi="Times New Roman" w:cs="Times New Roman"/>
          <w:sz w:val="24"/>
          <w:szCs w:val="24"/>
        </w:rPr>
        <w:t>d</w:t>
      </w:r>
      <w:r w:rsidRPr="00DE235E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0D3824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(“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Exchang</w:t>
      </w:r>
      <w:r w:rsidRPr="000D3824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="0085416B" w:rsidRPr="000D382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0D3824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</w:p>
    <w:p w:rsidR="002A6D1B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D3824" w:rsidRDefault="000D3824" w:rsidP="00C73623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C73623">
        <w:rPr>
          <w:rFonts w:ascii="Times New Roman" w:eastAsia="Calibri" w:hAnsi="Times New Roman" w:cs="Times New Roman"/>
          <w:sz w:val="24"/>
          <w:szCs w:val="24"/>
        </w:rPr>
        <w:t>August 9</w:t>
      </w:r>
      <w:r w:rsidR="002A2EE7">
        <w:rPr>
          <w:rFonts w:ascii="Times New Roman" w:eastAsia="Calibri" w:hAnsi="Times New Roman" w:cs="Times New Roman"/>
          <w:sz w:val="24"/>
          <w:szCs w:val="24"/>
        </w:rPr>
        <w:t>, 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0D3824">
        <w:rPr>
          <w:rFonts w:ascii="Times New Roman" w:eastAsia="Calibri" w:hAnsi="Times New Roman" w:cs="Times New Roman"/>
          <w:sz w:val="24"/>
          <w:szCs w:val="24"/>
        </w:rPr>
        <w:t>, the Exchan</w:t>
      </w:r>
      <w:r w:rsidRPr="002A6D1B">
        <w:rPr>
          <w:rFonts w:ascii="Times New Roman" w:eastAsia="Calibri" w:hAnsi="Times New Roman" w:cs="Times New Roman"/>
          <w:sz w:val="24"/>
          <w:szCs w:val="24"/>
        </w:rPr>
        <w:t>ge issued Futures Trader Alert #201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73623">
        <w:rPr>
          <w:rFonts w:ascii="Times New Roman" w:eastAsia="Calibri" w:hAnsi="Times New Roman" w:cs="Times New Roman"/>
          <w:sz w:val="24"/>
          <w:szCs w:val="24"/>
        </w:rPr>
        <w:t>17</w:t>
      </w:r>
      <w:r w:rsidRPr="002A6D1B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>
        <w:rPr>
          <w:rFonts w:ascii="Times New Roman" w:eastAsia="Calibri" w:hAnsi="Times New Roman" w:cs="Times New Roman"/>
          <w:sz w:val="24"/>
          <w:szCs w:val="24"/>
        </w:rPr>
        <w:t>months in</w:t>
      </w:r>
      <w:r w:rsidR="002A6D1B" w:rsidRPr="002A6D1B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r w:rsidR="00700F18" w:rsidRPr="00700F18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C73623">
        <w:rPr>
          <w:rFonts w:ascii="Times New Roman" w:eastAsia="Calibri" w:hAnsi="Times New Roman" w:cs="Times New Roman"/>
          <w:sz w:val="24"/>
          <w:szCs w:val="24"/>
        </w:rPr>
        <w:t>PJM and ISO-NE Zonal Financial Futures</w:t>
      </w:r>
      <w:r w:rsidRPr="002A6D1B">
        <w:rPr>
          <w:rFonts w:ascii="Times New Roman" w:eastAsia="Calibri" w:hAnsi="Times New Roman" w:cs="Times New Roman"/>
          <w:sz w:val="24"/>
          <w:szCs w:val="24"/>
        </w:rPr>
        <w:t>,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C73623">
        <w:rPr>
          <w:rFonts w:ascii="Times New Roman" w:eastAsia="Times New Roman" w:hAnsi="Times New Roman" w:cs="Times New Roman"/>
          <w:sz w:val="24"/>
          <w:szCs w:val="24"/>
        </w:rPr>
        <w:t>August 23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00F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for trade date </w:t>
      </w:r>
      <w:r w:rsidR="00C73623">
        <w:rPr>
          <w:rFonts w:ascii="Times New Roman" w:eastAsia="Times New Roman" w:hAnsi="Times New Roman" w:cs="Times New Roman"/>
          <w:sz w:val="24"/>
          <w:szCs w:val="24"/>
        </w:rPr>
        <w:t>August 24</w:t>
      </w:r>
      <w:r w:rsidR="00700F18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916A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commencing with the </w:t>
      </w:r>
      <w:r w:rsidR="00C73623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contract month. </w:t>
      </w:r>
      <w:r w:rsidR="002A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The trading months for the new contracts, which were previ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ously certified pursuant to Commission Rule 40.2 on </w:t>
      </w:r>
      <w:r w:rsidR="00C73623">
        <w:rPr>
          <w:rFonts w:ascii="Times New Roman" w:eastAsia="Times New Roman" w:hAnsi="Times New Roman" w:cs="Times New Roman"/>
          <w:sz w:val="24"/>
          <w:szCs w:val="24"/>
        </w:rPr>
        <w:t>August 7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00F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382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BA1" w:rsidRDefault="00A03BA1" w:rsidP="00700F1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Default="002B56C0" w:rsidP="00FA574E">
      <w:pPr>
        <w:pStyle w:val="PlainText"/>
        <w:rPr>
          <w:rFonts w:ascii="Times New Roman" w:hAnsi="Times New Roman"/>
          <w:sz w:val="24"/>
          <w:szCs w:val="24"/>
        </w:rPr>
      </w:pPr>
    </w:p>
    <w:p w:rsidR="00FA574E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W w:w="96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537"/>
        <w:gridCol w:w="1699"/>
        <w:gridCol w:w="2070"/>
      </w:tblGrid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Rulebook</w:t>
            </w: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Appendix A Chapter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Name of Energy Futures Contract and Trading Symbol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Number of Contract Months Listed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FA574E">
            <w:pPr>
              <w:spacing w:after="0" w:line="240" w:lineRule="auto"/>
              <w:ind w:left="-472" w:firstLine="472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First and </w:t>
            </w: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Last Months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355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BGE Zone Day-Ahead Peak Financial Futures (BGEQ)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355A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BGE Zone Day-Ahead Peak Mini Financial Futures - 5MW (BGYQ)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355B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BGE Zone Day-Ahead Peak Mini Financial Futures - 1MW (BGAQ)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356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BGE Zone Day-Ahead Off-Peak Financial Futures (BGOQ)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356A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BGE Zone Day-Ahead Off-Peak Mini Financial Futures - 25MWh (BGBQ)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356B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BGE Zone Day-Ahead Off-Peak Mini Financial Futures - 5MWh (BGZQ)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356C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BGE Zone Day-Ahead Off-Peak Mini Financial Futures - 1MWh (OBBQ)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357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PPL Zone Day-Ahead Peak Financial Futures (PPLQ)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357A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PPL Zone Day-Ahead Peak Mini Financial Futures - 5MW (PPXQ)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357B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PPL Zone Day-Ahead Peak Mini Financial Futures - 1MW (PPAQ)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358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PPL Zone Day-Ahead Off-Peak Financial Futures (PPMQ)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358A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PPL Zone Day-Ahead Off-Peak Mini Financial Futures - 25MWh (PPVQ)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358B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PPL Zone Day-Ahead Off-Peak Mini Financial Futures - 5MWh (PPOQ)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358C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PPL Zone Day-Ahead Off-Peak Mini Financial Futures - 1MWh (PPBQ)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359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 xml:space="preserve">NFX PJM </w:t>
            </w:r>
            <w:proofErr w:type="spellStart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ComEd</w:t>
            </w:r>
            <w:proofErr w:type="spellEnd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Zone Day-Ahead Peak Financial Futures (DEFQ)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359A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 xml:space="preserve">NFX PJM </w:t>
            </w:r>
            <w:proofErr w:type="spellStart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ComEd</w:t>
            </w:r>
            <w:proofErr w:type="spellEnd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Zone Day-Ahead Peak Mini Financial Futures - 5MW (DEIQ)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359B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 xml:space="preserve">NFX PJM </w:t>
            </w:r>
            <w:proofErr w:type="spellStart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ComEd</w:t>
            </w:r>
            <w:proofErr w:type="spellEnd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Zone Day-Ahead Peak Mini Financial Futures - 1MW (DEOQ)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360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 xml:space="preserve">NFX PJM </w:t>
            </w:r>
            <w:proofErr w:type="spellStart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ComEd</w:t>
            </w:r>
            <w:proofErr w:type="spellEnd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Zone Day-Ahead Off-Peak Financial Futures (DNFQ)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360A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 xml:space="preserve">NFX PJM </w:t>
            </w:r>
            <w:proofErr w:type="spellStart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ComEd</w:t>
            </w:r>
            <w:proofErr w:type="spellEnd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Zone Day-Ahead Off-Peak Mini Financial Futures - 25MWh (DNTQ)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360B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 xml:space="preserve">NFX PJM </w:t>
            </w:r>
            <w:proofErr w:type="spellStart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ComEd</w:t>
            </w:r>
            <w:proofErr w:type="spellEnd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Zone Day-Ahead Off-Peak Mini Financial Futures - 5MWh (DNIQ)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360C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 xml:space="preserve">NFX PJM </w:t>
            </w:r>
            <w:proofErr w:type="spellStart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ComEd</w:t>
            </w:r>
            <w:proofErr w:type="spellEnd"/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Zone Day-Ahead Off-Peak Mini Financial Futures - 1MWh (DNOQ)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361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AECO Zone Day-Ahead Peak Financial Futures (YOFQ)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361A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AECO Zone Day-Ahead Peak Mini Financial Futures - 5MW (YOIQ)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361B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AECO Zone Day-Ahead Peak Mini Financial Futures - 1MW (YOOQ)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362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AECO Zone Day-Ahead Off-Peak Financial Futures (XOFQ)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362A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AECO Zone Day-Ahead Off-Peak Mini Financial Futures - 25MWh (XOTQ)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362B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AECO Zone Day-Ahead Off-Peak Mini Financial Futures - 5MWh (XOIQ)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362C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AECO Zone Day-Ahead Off-Peak Mini Financial Futures - 1MWh (XOOQ)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363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FE-Ohio Day-Ahead Peak Financial Futures (PFNQ)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363A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FE-Ohio Day-Ahead Peak Mini Financial Futures - 5MW (PFIQ)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363B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FE-Ohio Day-Ahead Peak Mini Financial Futures - 1MW (PFOQ)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364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FE-Ohio Day-Ahead Off-Peak Financial Futures (PFFQ)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364A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FE-Ohio Day-Ahead Off-Peak Mini Financial Futures - 25MWh (PFTQ)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364B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FE-Ohio Day-Ahead Off-Peak Mini Financial Futures - 5MWh (PFVQ)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364C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FE-Ohio Day-Ahead Off-Peak Mini Financial Futures - 1MWh (PFEQ)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365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METED Zone Day-Ahead Peak Financial Futures (FSFQ)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365A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METED Zone Day-Ahead Peak Mini Financial Futures - 5MW (FSIQ)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365B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METED Zone Day-Ahead Peak Mini Financial Futures - 1MW (FSOQ)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366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METED Zone Day-Ahead Off-Peak Financial Futures (FIFQ)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366A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METED Zone Day-Ahead Off-Peak Mini Financial Futures - 25MWh (FITQ)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366B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METED Zone Day-Ahead Off-Peak Mini Financial Futures - 5MWh (FIIQ)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366C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PJM METED Zone Day-Ahead Off-Peak Mini Financial Futures - 1MWh (FIOQ)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367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ISO-NE Connecticut Zone Day-Ahead Peak Financial Futures (ICPQ)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367A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ISO-NE Connecticut Zone Day-Ahead Peak Mini Financial Futures - 5MW (ICFQ)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367B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ISO-NE Connecticut Zone Day-Ahead Peak Mini Financial Futures - 1MW (ICNQ)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368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ISO-NE Connecticut Zone Day-Ahead Off-Peak Financial Futures (ICOQ)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368A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ISO-NE Connecticut Zone Day-Ahead Off-Peak Mini Financial Futures - 25MWh (ICTQ)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368B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ISO-NE Connecticut Zone Day-Ahead Off-Peak Mini Financial Futures - 5MWh (ICIQ)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  <w:tr w:rsidR="00FA574E" w:rsidRPr="00FA574E" w:rsidTr="00FA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368C</w:t>
            </w:r>
          </w:p>
        </w:tc>
        <w:tc>
          <w:tcPr>
            <w:tcW w:w="4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NFX ISO-NE Connecticut Zone Day-Ahead Off-Peak Mini Financial Futures - 1MWh (ICEQ)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64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574E" w:rsidRPr="00FA574E" w:rsidRDefault="00FA574E" w:rsidP="00FA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Sep. 2017,</w:t>
            </w:r>
            <w:r w:rsidRPr="00FA574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br/>
              <w:t>Dec. 2022</w:t>
            </w:r>
          </w:p>
        </w:tc>
      </w:tr>
    </w:tbl>
    <w:p w:rsidR="00FA574E" w:rsidRPr="00224146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p w:rsidR="002B56C0" w:rsidRPr="0013104F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C26B7B">
        <w:rPr>
          <w:rFonts w:ascii="Times New Roman" w:hAnsi="Times New Roman" w:cs="Times New Roman"/>
          <w:sz w:val="24"/>
          <w:szCs w:val="24"/>
        </w:rPr>
        <w:t>Please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refer to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SR-NFX-201</w:t>
      </w:r>
      <w:r w:rsidR="00A03BA1">
        <w:rPr>
          <w:rFonts w:ascii="Times New Roman" w:hAnsi="Times New Roman" w:cs="Times New Roman"/>
          <w:sz w:val="24"/>
          <w:szCs w:val="24"/>
        </w:rPr>
        <w:t>7</w:t>
      </w:r>
      <w:r w:rsidRPr="00C26B7B">
        <w:rPr>
          <w:rFonts w:ascii="Times New Roman" w:hAnsi="Times New Roman" w:cs="Times New Roman"/>
          <w:sz w:val="24"/>
          <w:szCs w:val="24"/>
        </w:rPr>
        <w:t>-</w:t>
      </w:r>
      <w:r w:rsidR="00FA574E">
        <w:rPr>
          <w:rFonts w:ascii="Times New Roman" w:hAnsi="Times New Roman" w:cs="Times New Roman"/>
          <w:sz w:val="24"/>
          <w:szCs w:val="24"/>
        </w:rPr>
        <w:t>38</w:t>
      </w:r>
      <w:r w:rsidR="007C4348">
        <w:rPr>
          <w:rFonts w:ascii="Times New Roman" w:hAnsi="Times New Roman" w:cs="Times New Roman"/>
          <w:sz w:val="24"/>
          <w:szCs w:val="24"/>
        </w:rPr>
        <w:t xml:space="preserve"> </w:t>
      </w:r>
      <w:r w:rsidRPr="00C26B7B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13104F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21AC14" wp14:editId="7DD364E9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hAnsi="Times New Roman"/>
          <w:sz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Sect="005444C0">
      <w:headerReference w:type="default" r:id="rId12"/>
      <w:headerReference w:type="first" r:id="rId13"/>
      <w:footerReference w:type="first" r:id="rId14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7E" w:rsidRDefault="00C3287E">
      <w:r>
        <w:separator/>
      </w:r>
    </w:p>
  </w:endnote>
  <w:endnote w:type="continuationSeparator" w:id="0">
    <w:p w:rsidR="00C3287E" w:rsidRDefault="00C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fontKey="{F185B81E-0CB3-4BCC-A9B9-B9B916989B3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7E" w:rsidRDefault="00C3287E">
      <w:r>
        <w:separator/>
      </w:r>
    </w:p>
  </w:footnote>
  <w:footnote w:type="continuationSeparator" w:id="0">
    <w:p w:rsidR="00C3287E" w:rsidRDefault="00C3287E">
      <w:r>
        <w:continuationSeparator/>
      </w:r>
    </w:p>
  </w:footnote>
  <w:footnote w:id="1">
    <w:p w:rsidR="00606C40" w:rsidRPr="00224146" w:rsidRDefault="000D3824" w:rsidP="00606C40">
      <w:pPr>
        <w:pStyle w:val="PlainText"/>
        <w:rPr>
          <w:rFonts w:ascii="Times New Roman" w:eastAsia="Calibri" w:hAnsi="Times New Roman"/>
          <w:sz w:val="24"/>
          <w:szCs w:val="24"/>
        </w:rPr>
      </w:pPr>
      <w:r w:rsidRPr="006D3E2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6D3E2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D3E2B">
        <w:rPr>
          <w:rFonts w:ascii="Times New Roman" w:hAnsi="Times New Roman"/>
          <w:sz w:val="24"/>
          <w:szCs w:val="24"/>
        </w:rPr>
        <w:t>Available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E2B">
        <w:rPr>
          <w:rFonts w:ascii="Times New Roman" w:hAnsi="Times New Roman"/>
          <w:sz w:val="24"/>
          <w:szCs w:val="24"/>
        </w:rPr>
        <w:t xml:space="preserve">on the NFX website </w:t>
      </w:r>
      <w:r w:rsidRPr="00E31761">
        <w:rPr>
          <w:rFonts w:ascii="Times New Roman" w:hAnsi="Times New Roman"/>
          <w:sz w:val="24"/>
          <w:szCs w:val="24"/>
        </w:rPr>
        <w:t>at</w:t>
      </w:r>
      <w:r w:rsidR="00606C40">
        <w:rPr>
          <w:rFonts w:ascii="Times New Roman" w:hAnsi="Times New Roman"/>
          <w:sz w:val="24"/>
          <w:szCs w:val="24"/>
        </w:rPr>
        <w:t xml:space="preserve"> </w:t>
      </w:r>
      <w:hyperlink r:id="rId1" w:history="1">
        <w:r w:rsidR="00606C40" w:rsidRPr="00224146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="00606C40" w:rsidRPr="00224146">
        <w:rPr>
          <w:rFonts w:ascii="Times New Roman" w:hAnsi="Times New Roman"/>
          <w:sz w:val="24"/>
          <w:szCs w:val="24"/>
        </w:rPr>
        <w:t>.</w:t>
      </w:r>
    </w:p>
    <w:p w:rsidR="000D3824" w:rsidRPr="00E31761" w:rsidRDefault="000D3824" w:rsidP="000D3824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0D3824" w:rsidRPr="00F10492" w:rsidRDefault="000D3824" w:rsidP="000D382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10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10492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492">
        <w:rPr>
          <w:rFonts w:ascii="Times New Roman" w:hAnsi="Times New Roman" w:cs="Times New Roman"/>
          <w:sz w:val="24"/>
          <w:szCs w:val="24"/>
          <w:u w:val="single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SR-NFX-201</w:t>
      </w:r>
      <w:r w:rsidR="00700F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0F18">
        <w:rPr>
          <w:rFonts w:ascii="Times New Roman" w:hAnsi="Times New Roman" w:cs="Times New Roman"/>
          <w:sz w:val="24"/>
          <w:szCs w:val="24"/>
        </w:rPr>
        <w:t>3</w:t>
      </w:r>
      <w:r w:rsidR="00C73623">
        <w:rPr>
          <w:rFonts w:ascii="Times New Roman" w:hAnsi="Times New Roman" w:cs="Times New Roman"/>
          <w:sz w:val="24"/>
          <w:szCs w:val="24"/>
        </w:rPr>
        <w:t>1</w:t>
      </w:r>
      <w:r w:rsidRPr="00F1049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C6DAA">
      <w:rPr>
        <w:rFonts w:ascii="Times New Roman" w:hAnsi="Times New Roman" w:cs="Times New Roman"/>
        <w:noProof/>
        <w:sz w:val="20"/>
        <w:szCs w:val="20"/>
      </w:rPr>
      <w:t>September 5,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A03BA1">
      <w:rPr>
        <w:rFonts w:ascii="Times New Roman" w:hAnsi="Times New Roman" w:cs="Times New Roman"/>
        <w:sz w:val="20"/>
        <w:szCs w:val="20"/>
      </w:rPr>
      <w:t>7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785C72">
      <w:rPr>
        <w:rFonts w:ascii="Times New Roman" w:hAnsi="Times New Roman" w:cs="Times New Roman"/>
        <w:sz w:val="20"/>
        <w:szCs w:val="20"/>
      </w:rPr>
      <w:t>38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6C6DAA">
      <w:rPr>
        <w:rFonts w:ascii="Times New Roman" w:hAnsi="Times New Roman" w:cs="Times New Roman"/>
        <w:noProof/>
        <w:sz w:val="20"/>
        <w:szCs w:val="20"/>
      </w:rPr>
      <w:t>4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1B6ADA" w:rsidRPr="00CF4B16" w:rsidRDefault="00006A51" w:rsidP="001B6ADA">
    <w:pPr>
      <w:pStyle w:val="LetterheadAddress"/>
      <w:ind w:left="6550"/>
      <w:rPr>
        <w:sz w:val="20"/>
      </w:rPr>
    </w:pPr>
    <w:r>
      <w:rPr>
        <w:sz w:val="20"/>
      </w:rPr>
      <w:t xml:space="preserve">2929 Walnut </w:t>
    </w:r>
    <w:r w:rsidR="001B6ADA" w:rsidRPr="00CF4B16">
      <w:rPr>
        <w:sz w:val="20"/>
      </w:rPr>
      <w:t>Street</w:t>
    </w:r>
  </w:p>
  <w:p w:rsidR="001B6ADA" w:rsidRPr="00CF4B16" w:rsidRDefault="00006A51" w:rsidP="001B6ADA">
    <w:pPr>
      <w:pStyle w:val="LetterheadAddress"/>
      <w:ind w:left="6550"/>
      <w:rPr>
        <w:sz w:val="20"/>
      </w:rPr>
    </w:pPr>
    <w:r>
      <w:rPr>
        <w:sz w:val="20"/>
      </w:rPr>
      <w:t>Philadelphia, PA 19104</w:t>
    </w:r>
    <w:r w:rsidR="001B6ADA"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70D673D4" wp14:editId="6E26840C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5" name="Picture 5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06A51"/>
    <w:rsid w:val="00010152"/>
    <w:rsid w:val="000141C6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5F3F"/>
    <w:rsid w:val="000A0FF7"/>
    <w:rsid w:val="000A3874"/>
    <w:rsid w:val="000A762C"/>
    <w:rsid w:val="000B0B22"/>
    <w:rsid w:val="000B0F2E"/>
    <w:rsid w:val="000B5E2C"/>
    <w:rsid w:val="000D02B9"/>
    <w:rsid w:val="000D1939"/>
    <w:rsid w:val="000D3824"/>
    <w:rsid w:val="000D4A76"/>
    <w:rsid w:val="000D6BF4"/>
    <w:rsid w:val="000E7A11"/>
    <w:rsid w:val="000F3BC3"/>
    <w:rsid w:val="0011314A"/>
    <w:rsid w:val="001265C8"/>
    <w:rsid w:val="00135BE1"/>
    <w:rsid w:val="00153179"/>
    <w:rsid w:val="00165602"/>
    <w:rsid w:val="001746B9"/>
    <w:rsid w:val="0018088D"/>
    <w:rsid w:val="00197F73"/>
    <w:rsid w:val="001A2BBF"/>
    <w:rsid w:val="001B4FAC"/>
    <w:rsid w:val="001B6ADA"/>
    <w:rsid w:val="001C4306"/>
    <w:rsid w:val="001D02FB"/>
    <w:rsid w:val="001D4C1F"/>
    <w:rsid w:val="001E53F3"/>
    <w:rsid w:val="002230A7"/>
    <w:rsid w:val="00224146"/>
    <w:rsid w:val="00232FFF"/>
    <w:rsid w:val="0024176E"/>
    <w:rsid w:val="00242C21"/>
    <w:rsid w:val="00243744"/>
    <w:rsid w:val="00252BCC"/>
    <w:rsid w:val="00253B2F"/>
    <w:rsid w:val="00261A57"/>
    <w:rsid w:val="0027064A"/>
    <w:rsid w:val="00273392"/>
    <w:rsid w:val="00286B9C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C46F3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155D"/>
    <w:rsid w:val="004166F5"/>
    <w:rsid w:val="00417991"/>
    <w:rsid w:val="00420946"/>
    <w:rsid w:val="00425E24"/>
    <w:rsid w:val="00431328"/>
    <w:rsid w:val="004416D1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E0359"/>
    <w:rsid w:val="004E0D16"/>
    <w:rsid w:val="004F0491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26EB"/>
    <w:rsid w:val="00662BF1"/>
    <w:rsid w:val="00672BD3"/>
    <w:rsid w:val="00674E96"/>
    <w:rsid w:val="0067686C"/>
    <w:rsid w:val="00682E52"/>
    <w:rsid w:val="00687FED"/>
    <w:rsid w:val="006974BA"/>
    <w:rsid w:val="006A23F0"/>
    <w:rsid w:val="006A2E0C"/>
    <w:rsid w:val="006A58E9"/>
    <w:rsid w:val="006B55A4"/>
    <w:rsid w:val="006C028A"/>
    <w:rsid w:val="006C2BD3"/>
    <w:rsid w:val="006C6DAA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6658"/>
    <w:rsid w:val="00746EFF"/>
    <w:rsid w:val="007525F5"/>
    <w:rsid w:val="00752A6A"/>
    <w:rsid w:val="0075745C"/>
    <w:rsid w:val="007667BD"/>
    <w:rsid w:val="007824A2"/>
    <w:rsid w:val="00785C72"/>
    <w:rsid w:val="0079548F"/>
    <w:rsid w:val="00796FBD"/>
    <w:rsid w:val="007B39B4"/>
    <w:rsid w:val="007B4445"/>
    <w:rsid w:val="007C4348"/>
    <w:rsid w:val="007C6C99"/>
    <w:rsid w:val="007D48A6"/>
    <w:rsid w:val="007F6B89"/>
    <w:rsid w:val="00803051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6683"/>
    <w:rsid w:val="00880D85"/>
    <w:rsid w:val="00896143"/>
    <w:rsid w:val="008A5035"/>
    <w:rsid w:val="008A6F33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B3774"/>
    <w:rsid w:val="009C7C2A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D38"/>
    <w:rsid w:val="00A87F46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D2"/>
    <w:rsid w:val="00B75523"/>
    <w:rsid w:val="00B75AE0"/>
    <w:rsid w:val="00B817A8"/>
    <w:rsid w:val="00B8408C"/>
    <w:rsid w:val="00B90BF8"/>
    <w:rsid w:val="00B96E91"/>
    <w:rsid w:val="00BA7A8A"/>
    <w:rsid w:val="00BB1623"/>
    <w:rsid w:val="00BB22FB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6B7B"/>
    <w:rsid w:val="00C32763"/>
    <w:rsid w:val="00C3287E"/>
    <w:rsid w:val="00C32D24"/>
    <w:rsid w:val="00C34EC0"/>
    <w:rsid w:val="00C42A1F"/>
    <w:rsid w:val="00C43D2B"/>
    <w:rsid w:val="00C45B43"/>
    <w:rsid w:val="00C628A0"/>
    <w:rsid w:val="00C654A6"/>
    <w:rsid w:val="00C70A44"/>
    <w:rsid w:val="00C71ADA"/>
    <w:rsid w:val="00C73623"/>
    <w:rsid w:val="00CA65E5"/>
    <w:rsid w:val="00CB1969"/>
    <w:rsid w:val="00CB2F87"/>
    <w:rsid w:val="00CB6A80"/>
    <w:rsid w:val="00CB7A5C"/>
    <w:rsid w:val="00CD54F5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3780"/>
    <w:rsid w:val="00D86D6F"/>
    <w:rsid w:val="00D94689"/>
    <w:rsid w:val="00D97F5B"/>
    <w:rsid w:val="00DA1AFC"/>
    <w:rsid w:val="00DA4A81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DDC"/>
    <w:rsid w:val="00E13B37"/>
    <w:rsid w:val="00E149BA"/>
    <w:rsid w:val="00E25247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B6BC1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ecf3445d-bf62-437b-8298-b56531d40ed5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2017-09-05T20:48:58+00:00</Document_x0020_Date>
    <Document_x0020_No xmlns="4b47aac5-4c46-444f-8595-ce09b406fc61">33100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5D636-77D1-4AED-981D-D256CC712523}"/>
</file>

<file path=customXml/itemProps2.xml><?xml version="1.0" encoding="utf-8"?>
<ds:datastoreItem xmlns:ds="http://schemas.openxmlformats.org/officeDocument/2006/customXml" ds:itemID="{3297D0A9-0F18-4578-9B87-5C6DFE6302EF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307386D2-5A57-4E57-AF57-A5CD19E9CBDF}"/>
</file>

<file path=customXml/itemProps5.xml><?xml version="1.0" encoding="utf-8"?>
<ds:datastoreItem xmlns:ds="http://schemas.openxmlformats.org/officeDocument/2006/customXml" ds:itemID="{B184A8EE-3483-42B9-B39C-FFC6B1B9097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</TotalTime>
  <Pages>1</Pages>
  <Words>991</Words>
  <Characters>5650</Characters>
  <Application>Microsoft Office Word</Application>
  <DocSecurity>2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Aravind Menon</cp:lastModifiedBy>
  <cp:revision>2</cp:revision>
  <cp:lastPrinted>2017-09-05T20:27:00Z</cp:lastPrinted>
  <dcterms:created xsi:type="dcterms:W3CDTF">2017-09-05T20:28:00Z</dcterms:created>
  <dcterms:modified xsi:type="dcterms:W3CDTF">2017-09-05T20:28:00Z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4240200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