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8C0" w:rsidRPr="00151B94" w:rsidRDefault="004008C0" w:rsidP="004008C0">
      <w:pPr>
        <w:spacing w:before="120" w:after="0"/>
        <w:ind w:left="6550" w:hanging="6550"/>
        <w:rPr>
          <w:sz w:val="18"/>
          <w:szCs w:val="18"/>
        </w:rPr>
      </w:pPr>
      <w:r w:rsidRPr="00151B94">
        <w:rPr>
          <w:noProof/>
          <w:sz w:val="18"/>
          <w:szCs w:val="18"/>
        </w:rPr>
        <w:drawing>
          <wp:anchor distT="0" distB="0" distL="114300" distR="114300" simplePos="0" relativeHeight="251661312" behindDoc="0" locked="1" layoutInCell="1" allowOverlap="1" wp14:anchorId="120D19FA" wp14:editId="1BAA59E6">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1A33D8">
        <w:rPr>
          <w:rFonts w:ascii="Times New Roman" w:eastAsia="Calibri" w:hAnsi="Times New Roman" w:cs="Times New Roman"/>
          <w:noProof/>
          <w:sz w:val="24"/>
          <w:szCs w:val="24"/>
        </w:rPr>
        <w:t>September 19, 2018</w:t>
      </w:r>
      <w:r>
        <w:rPr>
          <w:rFonts w:ascii="Times New Roman" w:eastAsia="Calibri" w:hAnsi="Times New Roman" w:cs="Times New Roman"/>
          <w:sz w:val="24"/>
          <w:szCs w:val="24"/>
        </w:rPr>
        <w:fldChar w:fldCharType="end"/>
      </w:r>
      <w:r>
        <w:rPr>
          <w:rFonts w:ascii="Times New Roman" w:eastAsia="Calibri" w:hAnsi="Times New Roman"/>
          <w:sz w:val="24"/>
          <w:szCs w:val="24"/>
        </w:rPr>
        <w:tab/>
      </w:r>
      <w:proofErr w:type="gramStart"/>
      <w:r w:rsidRPr="000964D7">
        <w:rPr>
          <w:sz w:val="18"/>
          <w:szCs w:val="18"/>
        </w:rPr>
        <w:t>N</w:t>
      </w:r>
      <w:r w:rsidRPr="00151B94">
        <w:rPr>
          <w:sz w:val="18"/>
          <w:szCs w:val="18"/>
        </w:rPr>
        <w:t>asdaq Futures, Inc.</w:t>
      </w:r>
      <w:proofErr w:type="gramEnd"/>
    </w:p>
    <w:p w:rsidR="004008C0" w:rsidRPr="00E1206A" w:rsidRDefault="004008C0" w:rsidP="004008C0">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rsidR="004008C0" w:rsidRPr="00E1206A" w:rsidRDefault="004008C0" w:rsidP="004008C0">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Pr="00B741AD">
        <w:rPr>
          <w:rFonts w:eastAsiaTheme="minorEastAsia" w:cs="Times New Roman"/>
          <w:sz w:val="18"/>
          <w:szCs w:val="18"/>
          <w:lang w:eastAsia="ja-JP"/>
        </w:rPr>
        <w:t>2929 Walnut Street</w:t>
      </w:r>
    </w:p>
    <w:p w:rsidR="004008C0" w:rsidRPr="00E1206A" w:rsidRDefault="004008C0" w:rsidP="004008C0">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Pr="00B741AD">
        <w:rPr>
          <w:rFonts w:eastAsiaTheme="minorEastAsia" w:cs="Times New Roman"/>
          <w:sz w:val="18"/>
          <w:szCs w:val="18"/>
          <w:lang w:eastAsia="ja-JP"/>
        </w:rPr>
        <w:t>Philadelphia, PA 19104 / USA</w:t>
      </w:r>
    </w:p>
    <w:p w:rsidR="004008C0" w:rsidRPr="00E1206A" w:rsidRDefault="004008C0" w:rsidP="004008C0">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p>
    <w:p w:rsidR="004008C0" w:rsidRPr="00E1206A" w:rsidRDefault="004008C0" w:rsidP="004008C0">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Pr="00151B94">
        <w:rPr>
          <w:rFonts w:cs="Times New Roman"/>
          <w:sz w:val="18"/>
          <w:szCs w:val="18"/>
        </w:rPr>
        <w:t>business.nasdaq.com/futures</w:t>
      </w:r>
    </w:p>
    <w:p w:rsidR="004008C0" w:rsidRPr="00E1206A" w:rsidRDefault="004008C0" w:rsidP="004008C0">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rsidR="004008C0" w:rsidRPr="00E1206A" w:rsidRDefault="004008C0" w:rsidP="004008C0">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rsidR="004008C0" w:rsidRPr="00E1206A" w:rsidRDefault="004008C0" w:rsidP="004008C0">
      <w:pPr>
        <w:pStyle w:val="NoSpacing"/>
        <w:rPr>
          <w:rFonts w:ascii="Times New Roman" w:eastAsia="Times New Roman" w:hAnsi="Times New Roman" w:cs="Times New Roman"/>
          <w:sz w:val="24"/>
          <w:szCs w:val="24"/>
        </w:rPr>
      </w:pPr>
    </w:p>
    <w:p w:rsidR="004008C0" w:rsidRPr="002D558A" w:rsidRDefault="004008C0" w:rsidP="002F3EE2">
      <w:pPr>
        <w:pStyle w:val="NoSpacing"/>
        <w:ind w:left="2880" w:hanging="2880"/>
        <w:rPr>
          <w:rFonts w:ascii="Times New Roman" w:eastAsia="Calibri" w:hAnsi="Times New Roman" w:cs="Times New Roman"/>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Pr="002D558A">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ab/>
      </w:r>
      <w:r w:rsidRPr="002D558A">
        <w:rPr>
          <w:rFonts w:ascii="Times New Roman" w:eastAsia="Calibri" w:hAnsi="Times New Roman" w:cs="Times New Roman"/>
          <w:b/>
          <w:sz w:val="24"/>
          <w:szCs w:val="24"/>
        </w:rPr>
        <w:t xml:space="preserve">Rule Certification for </w:t>
      </w:r>
      <w:r w:rsidR="002F3EE2">
        <w:rPr>
          <w:rFonts w:ascii="Times New Roman" w:eastAsia="Calibri" w:hAnsi="Times New Roman" w:cs="Times New Roman"/>
          <w:b/>
          <w:sz w:val="24"/>
          <w:szCs w:val="24"/>
        </w:rPr>
        <w:t xml:space="preserve">Upgrades to </w:t>
      </w:r>
      <w:proofErr w:type="spellStart"/>
      <w:r w:rsidR="002F3EE2">
        <w:rPr>
          <w:rFonts w:ascii="Times New Roman" w:eastAsia="Calibri" w:hAnsi="Times New Roman" w:cs="Times New Roman"/>
          <w:b/>
          <w:sz w:val="24"/>
          <w:szCs w:val="24"/>
        </w:rPr>
        <w:t>TradeGuard</w:t>
      </w:r>
      <w:proofErr w:type="spellEnd"/>
      <w:r w:rsidR="002F3EE2">
        <w:rPr>
          <w:rFonts w:ascii="Times New Roman" w:eastAsia="Calibri" w:hAnsi="Times New Roman" w:cs="Times New Roman"/>
          <w:b/>
          <w:sz w:val="24"/>
          <w:szCs w:val="24"/>
        </w:rPr>
        <w:t xml:space="preserve"> Risk Limit Functionality</w:t>
      </w:r>
    </w:p>
    <w:p w:rsidR="004008C0" w:rsidRPr="00E1206A" w:rsidRDefault="004008C0" w:rsidP="004008C0">
      <w:pPr>
        <w:pStyle w:val="NoSpacing"/>
        <w:ind w:left="2160" w:firstLine="720"/>
        <w:rPr>
          <w:rFonts w:ascii="Times New Roman" w:eastAsia="Calibri" w:hAnsi="Times New Roman" w:cs="Times New Roman"/>
          <w:b/>
          <w:sz w:val="24"/>
          <w:szCs w:val="24"/>
          <w:u w:val="single"/>
        </w:rPr>
      </w:pPr>
      <w:r w:rsidRPr="00E1206A">
        <w:rPr>
          <w:rFonts w:ascii="Times New Roman" w:eastAsia="Calibri" w:hAnsi="Times New Roman" w:cs="Times New Roman"/>
          <w:b/>
          <w:sz w:val="24"/>
          <w:szCs w:val="24"/>
          <w:u w:val="single"/>
        </w:rPr>
        <w:t xml:space="preserve">Reference File: </w:t>
      </w:r>
      <w:r w:rsidR="0095411C">
        <w:rPr>
          <w:rFonts w:ascii="Times New Roman" w:eastAsia="Calibri" w:hAnsi="Times New Roman" w:cs="Times New Roman"/>
          <w:b/>
          <w:sz w:val="24"/>
          <w:szCs w:val="24"/>
          <w:u w:val="single"/>
        </w:rPr>
        <w:t>SR-NFX-2018</w:t>
      </w:r>
      <w:r w:rsidRPr="007B139D">
        <w:rPr>
          <w:rFonts w:ascii="Times New Roman" w:eastAsia="Calibri" w:hAnsi="Times New Roman" w:cs="Times New Roman"/>
          <w:b/>
          <w:sz w:val="24"/>
          <w:szCs w:val="24"/>
          <w:u w:val="single"/>
        </w:rPr>
        <w:t>-</w:t>
      </w:r>
      <w:r w:rsidR="001B6E4C">
        <w:rPr>
          <w:rFonts w:ascii="Times New Roman" w:eastAsia="Calibri" w:hAnsi="Times New Roman" w:cs="Times New Roman"/>
          <w:b/>
          <w:sz w:val="24"/>
          <w:szCs w:val="24"/>
          <w:u w:val="single"/>
        </w:rPr>
        <w:t>41</w:t>
      </w:r>
    </w:p>
    <w:p w:rsidR="0008423C" w:rsidRPr="00E1206A" w:rsidRDefault="0008423C" w:rsidP="0008423C">
      <w:pPr>
        <w:pStyle w:val="NoSpacing"/>
        <w:ind w:left="720" w:hanging="720"/>
        <w:rPr>
          <w:rFonts w:ascii="Times New Roman" w:hAnsi="Times New Roman" w:cs="Times New Roman"/>
          <w:b/>
          <w:sz w:val="24"/>
          <w:szCs w:val="24"/>
          <w:u w:val="single"/>
        </w:rPr>
      </w:pPr>
    </w:p>
    <w:p w:rsidR="0008423C" w:rsidRPr="00E1206A" w:rsidRDefault="0008423C" w:rsidP="0008423C">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Dear Mr. Kirkpatrick:</w:t>
      </w:r>
    </w:p>
    <w:p w:rsidR="0008423C" w:rsidRPr="00E1206A" w:rsidRDefault="0008423C" w:rsidP="0008423C">
      <w:pPr>
        <w:pStyle w:val="NoSpacing"/>
        <w:rPr>
          <w:rFonts w:ascii="Times New Roman" w:eastAsia="Calibri" w:hAnsi="Times New Roman" w:cs="Times New Roman"/>
          <w:sz w:val="24"/>
          <w:szCs w:val="24"/>
        </w:rPr>
      </w:pPr>
    </w:p>
    <w:p w:rsidR="0008423C" w:rsidRPr="00E1206A" w:rsidRDefault="005E3020" w:rsidP="002F3EE2">
      <w:pPr>
        <w:pStyle w:val="NoSpacing"/>
        <w:ind w:firstLine="1310"/>
        <w:rPr>
          <w:rFonts w:ascii="Times New Roman" w:hAnsi="Times New Roman" w:cs="Times New Roman"/>
          <w:sz w:val="24"/>
          <w:szCs w:val="24"/>
        </w:rPr>
      </w:pPr>
      <w:r w:rsidRPr="00E1206A">
        <w:rPr>
          <w:rFonts w:ascii="Times New Roman" w:eastAsia="Calibri" w:hAnsi="Times New Roman" w:cs="Times New Roman"/>
          <w:sz w:val="24"/>
          <w:szCs w:val="24"/>
        </w:rPr>
        <w:t>Pursuant to Section 5c(c)(1) of the Commodity Exchange Act, as amended (“</w:t>
      </w:r>
      <w:r w:rsidRPr="00E1206A">
        <w:rPr>
          <w:rFonts w:ascii="Times New Roman" w:eastAsia="Calibri" w:hAnsi="Times New Roman" w:cs="Times New Roman"/>
          <w:sz w:val="24"/>
          <w:szCs w:val="24"/>
          <w:u w:val="single"/>
        </w:rPr>
        <w:t>Act</w:t>
      </w:r>
      <w:r w:rsidRPr="00E1206A">
        <w:rPr>
          <w:rFonts w:ascii="Times New Roman" w:eastAsia="Calibri" w:hAnsi="Times New Roman" w:cs="Times New Roman"/>
          <w:sz w:val="24"/>
          <w:szCs w:val="24"/>
        </w:rPr>
        <w:t xml:space="preserve">”), and Section </w:t>
      </w:r>
      <w:r w:rsidRPr="00E1206A">
        <w:rPr>
          <w:rFonts w:ascii="Times New Roman" w:hAnsi="Times New Roman" w:cs="Times New Roman"/>
          <w:sz w:val="24"/>
          <w:szCs w:val="24"/>
        </w:rPr>
        <w:t xml:space="preserve">40.6 </w:t>
      </w:r>
      <w:r w:rsidRPr="00E1206A">
        <w:rPr>
          <w:rFonts w:ascii="Times New Roman" w:eastAsia="Calibri" w:hAnsi="Times New Roman" w:cs="Times New Roman"/>
          <w:sz w:val="24"/>
          <w:szCs w:val="24"/>
        </w:rPr>
        <w:t>of the Commission’s regulations thereunder, NASDAQ Futures, Inc. (“</w:t>
      </w:r>
      <w:r w:rsidRPr="00E1206A">
        <w:rPr>
          <w:rFonts w:ascii="Times New Roman" w:eastAsia="Calibri" w:hAnsi="Times New Roman" w:cs="Times New Roman"/>
          <w:sz w:val="24"/>
          <w:szCs w:val="24"/>
          <w:u w:val="single"/>
        </w:rPr>
        <w:t>NFX</w:t>
      </w:r>
      <w:r w:rsidRPr="00E1206A">
        <w:rPr>
          <w:rFonts w:ascii="Times New Roman" w:eastAsia="Calibri" w:hAnsi="Times New Roman" w:cs="Times New Roman"/>
          <w:sz w:val="24"/>
          <w:szCs w:val="24"/>
        </w:rPr>
        <w:t>” or “</w:t>
      </w:r>
      <w:r w:rsidRPr="00E1206A">
        <w:rPr>
          <w:rFonts w:ascii="Times New Roman" w:eastAsia="Calibri" w:hAnsi="Times New Roman" w:cs="Times New Roman"/>
          <w:sz w:val="24"/>
          <w:szCs w:val="24"/>
          <w:u w:val="single"/>
        </w:rPr>
        <w:t>Exchange</w:t>
      </w:r>
      <w:r w:rsidRPr="00E1206A">
        <w:rPr>
          <w:rFonts w:ascii="Times New Roman" w:eastAsia="Calibri" w:hAnsi="Times New Roman" w:cs="Times New Roman"/>
          <w:sz w:val="24"/>
          <w:szCs w:val="24"/>
        </w:rPr>
        <w:t xml:space="preserve">”) hereby submits rules relating to </w:t>
      </w:r>
      <w:proofErr w:type="spellStart"/>
      <w:r w:rsidR="002F3EE2">
        <w:rPr>
          <w:rFonts w:ascii="Times New Roman" w:eastAsia="Calibri" w:hAnsi="Times New Roman" w:cs="Times New Roman"/>
          <w:sz w:val="24"/>
          <w:szCs w:val="24"/>
        </w:rPr>
        <w:t>TradeGuard</w:t>
      </w:r>
      <w:proofErr w:type="spellEnd"/>
      <w:r w:rsidR="002F3EE2">
        <w:rPr>
          <w:rFonts w:ascii="Times New Roman" w:eastAsia="Calibri" w:hAnsi="Times New Roman" w:cs="Times New Roman"/>
          <w:sz w:val="24"/>
          <w:szCs w:val="24"/>
        </w:rPr>
        <w:t xml:space="preserve"> pre-trade risk management implementing improved functionality for NFX Power futures contract.  </w:t>
      </w:r>
      <w:r w:rsidR="00154FD5" w:rsidRPr="00E1206A">
        <w:rPr>
          <w:rFonts w:ascii="Times New Roman" w:eastAsia="Calibri" w:hAnsi="Times New Roman" w:cs="Times New Roman"/>
          <w:sz w:val="24"/>
          <w:szCs w:val="24"/>
        </w:rPr>
        <w:t xml:space="preserve">The Exchange anticipates </w:t>
      </w:r>
      <w:r w:rsidR="002F3EE2">
        <w:rPr>
          <w:rFonts w:ascii="Times New Roman" w:eastAsia="Calibri" w:hAnsi="Times New Roman" w:cs="Times New Roman"/>
          <w:sz w:val="24"/>
          <w:szCs w:val="24"/>
        </w:rPr>
        <w:t xml:space="preserve">the amendments going into effect on October 3, 2018 for trade date October 4, 2018.  </w:t>
      </w:r>
    </w:p>
    <w:p w:rsidR="0008423C" w:rsidRPr="00E1206A" w:rsidRDefault="0008423C" w:rsidP="0008423C">
      <w:pPr>
        <w:pStyle w:val="NoSpacing"/>
        <w:ind w:firstLine="1310"/>
        <w:rPr>
          <w:rFonts w:ascii="Times New Roman" w:eastAsia="Calibri" w:hAnsi="Times New Roman" w:cs="Times New Roman"/>
          <w:sz w:val="24"/>
          <w:szCs w:val="24"/>
        </w:rPr>
      </w:pPr>
    </w:p>
    <w:p w:rsidR="0008423C" w:rsidRPr="00E1206A" w:rsidRDefault="0008423C" w:rsidP="0008423C">
      <w:pPr>
        <w:pStyle w:val="Default"/>
        <w:ind w:left="1310"/>
        <w:rPr>
          <w:color w:val="auto"/>
        </w:rPr>
      </w:pPr>
      <w:r w:rsidRPr="00E1206A">
        <w:rPr>
          <w:b/>
          <w:bCs/>
          <w:color w:val="auto"/>
          <w:u w:val="single"/>
        </w:rPr>
        <w:t xml:space="preserve">Amendments </w:t>
      </w:r>
      <w:r w:rsidR="002F3EE2">
        <w:rPr>
          <w:b/>
          <w:bCs/>
          <w:color w:val="auto"/>
          <w:u w:val="single"/>
        </w:rPr>
        <w:t xml:space="preserve">Incorporating </w:t>
      </w:r>
      <w:r w:rsidR="002F3EE2" w:rsidRPr="002F3EE2">
        <w:rPr>
          <w:b/>
          <w:bCs/>
          <w:color w:val="auto"/>
          <w:u w:val="single"/>
        </w:rPr>
        <w:t>Instrument Class Limit Group</w:t>
      </w:r>
      <w:r w:rsidR="006842A0">
        <w:rPr>
          <w:b/>
          <w:bCs/>
          <w:color w:val="auto"/>
          <w:u w:val="single"/>
        </w:rPr>
        <w:t>s</w:t>
      </w:r>
      <w:r w:rsidR="002F3EE2" w:rsidRPr="002F3EE2">
        <w:rPr>
          <w:b/>
          <w:bCs/>
          <w:color w:val="auto"/>
          <w:u w:val="single"/>
        </w:rPr>
        <w:t xml:space="preserve"> </w:t>
      </w:r>
      <w:r w:rsidRPr="00E1206A">
        <w:rPr>
          <w:b/>
          <w:bCs/>
          <w:color w:val="auto"/>
          <w:u w:val="single"/>
        </w:rPr>
        <w:t xml:space="preserve">to </w:t>
      </w:r>
      <w:r w:rsidR="002F3EE2">
        <w:rPr>
          <w:b/>
          <w:bCs/>
          <w:color w:val="auto"/>
          <w:u w:val="single"/>
        </w:rPr>
        <w:t xml:space="preserve">the </w:t>
      </w:r>
      <w:proofErr w:type="spellStart"/>
      <w:r w:rsidR="002F3EE2">
        <w:rPr>
          <w:b/>
          <w:bCs/>
          <w:color w:val="auto"/>
          <w:u w:val="single"/>
        </w:rPr>
        <w:t>TradeGuard</w:t>
      </w:r>
      <w:proofErr w:type="spellEnd"/>
      <w:r w:rsidR="002F3EE2">
        <w:rPr>
          <w:b/>
          <w:bCs/>
          <w:color w:val="auto"/>
          <w:u w:val="single"/>
        </w:rPr>
        <w:t xml:space="preserve"> Pre-Trade Risk Management System</w:t>
      </w:r>
      <w:r w:rsidRPr="00E1206A">
        <w:rPr>
          <w:b/>
          <w:bCs/>
          <w:color w:val="auto"/>
          <w:u w:val="single"/>
        </w:rPr>
        <w:t xml:space="preserve"> </w:t>
      </w:r>
    </w:p>
    <w:p w:rsidR="0008423C" w:rsidRPr="00E1206A" w:rsidRDefault="0008423C" w:rsidP="0008423C">
      <w:pPr>
        <w:pStyle w:val="NoSpacing"/>
        <w:ind w:firstLine="1310"/>
        <w:rPr>
          <w:rFonts w:ascii="Times New Roman" w:hAnsi="Times New Roman" w:cs="Times New Roman"/>
          <w:sz w:val="24"/>
          <w:szCs w:val="24"/>
          <w:u w:val="single"/>
        </w:rPr>
      </w:pPr>
    </w:p>
    <w:p w:rsidR="001977C9" w:rsidRDefault="002F3EE2" w:rsidP="0008423C">
      <w:pPr>
        <w:pStyle w:val="NoSpacing"/>
        <w:ind w:firstLine="1310"/>
        <w:rPr>
          <w:rFonts w:ascii="Times New Roman" w:hAnsi="Times New Roman" w:cs="Times New Roman"/>
          <w:sz w:val="24"/>
          <w:szCs w:val="24"/>
        </w:rPr>
      </w:pPr>
      <w:r w:rsidRPr="002F3EE2">
        <w:rPr>
          <w:rFonts w:ascii="Times New Roman" w:hAnsi="Times New Roman" w:cs="Times New Roman"/>
          <w:sz w:val="24"/>
          <w:szCs w:val="24"/>
        </w:rPr>
        <w:t xml:space="preserve">NFX is adding </w:t>
      </w:r>
      <w:r w:rsidR="00843B46">
        <w:rPr>
          <w:rFonts w:ascii="Times New Roman" w:hAnsi="Times New Roman" w:cs="Times New Roman"/>
          <w:sz w:val="24"/>
          <w:szCs w:val="24"/>
        </w:rPr>
        <w:t xml:space="preserve">upgraded </w:t>
      </w:r>
      <w:r w:rsidRPr="002F3EE2">
        <w:rPr>
          <w:rFonts w:ascii="Times New Roman" w:hAnsi="Times New Roman" w:cs="Times New Roman"/>
          <w:sz w:val="24"/>
          <w:szCs w:val="24"/>
        </w:rPr>
        <w:t xml:space="preserve">functionality to the </w:t>
      </w:r>
      <w:proofErr w:type="spellStart"/>
      <w:r w:rsidRPr="002F3EE2">
        <w:rPr>
          <w:rFonts w:ascii="Times New Roman" w:hAnsi="Times New Roman" w:cs="Times New Roman"/>
          <w:sz w:val="24"/>
          <w:szCs w:val="24"/>
        </w:rPr>
        <w:t>TradeGuard</w:t>
      </w:r>
      <w:proofErr w:type="spellEnd"/>
      <w:r w:rsidRPr="002F3EE2">
        <w:rPr>
          <w:rFonts w:ascii="Times New Roman" w:hAnsi="Times New Roman" w:cs="Times New Roman"/>
          <w:sz w:val="24"/>
          <w:szCs w:val="24"/>
        </w:rPr>
        <w:t xml:space="preserve"> Pre-Trade Risk Management system to allow market participants to establish </w:t>
      </w:r>
      <w:r>
        <w:rPr>
          <w:rFonts w:ascii="Times New Roman" w:hAnsi="Times New Roman" w:cs="Times New Roman"/>
          <w:sz w:val="24"/>
          <w:szCs w:val="24"/>
        </w:rPr>
        <w:t>Instrument Class Limit Groups (ICLGs)</w:t>
      </w:r>
      <w:r w:rsidR="0008423C" w:rsidRPr="002F3EE2">
        <w:rPr>
          <w:rFonts w:ascii="Times New Roman" w:hAnsi="Times New Roman" w:cs="Times New Roman"/>
          <w:sz w:val="24"/>
          <w:szCs w:val="24"/>
        </w:rPr>
        <w:t xml:space="preserve">. </w:t>
      </w:r>
      <w:proofErr w:type="spellStart"/>
      <w:r w:rsidR="006842A0">
        <w:rPr>
          <w:rFonts w:ascii="Times New Roman" w:hAnsi="Times New Roman" w:cs="Times New Roman"/>
          <w:sz w:val="24"/>
          <w:szCs w:val="24"/>
        </w:rPr>
        <w:t>TradeGuard</w:t>
      </w:r>
      <w:proofErr w:type="spellEnd"/>
      <w:r w:rsidR="006842A0">
        <w:rPr>
          <w:rFonts w:ascii="Times New Roman" w:hAnsi="Times New Roman" w:cs="Times New Roman"/>
          <w:sz w:val="24"/>
          <w:szCs w:val="24"/>
        </w:rPr>
        <w:t xml:space="preserve"> is a complementary service offered by NFX allowing market participants to establish pre-determined maximum risk exposures for a single account or a group of accounts</w:t>
      </w:r>
      <w:r w:rsidR="00A652E8">
        <w:rPr>
          <w:rFonts w:ascii="Times New Roman" w:hAnsi="Times New Roman"/>
          <w:sz w:val="24"/>
          <w:szCs w:val="24"/>
        </w:rPr>
        <w:t xml:space="preserve">, </w:t>
      </w:r>
      <w:r w:rsidR="00A652E8" w:rsidRPr="00A652E8">
        <w:rPr>
          <w:rFonts w:ascii="Times New Roman" w:hAnsi="Times New Roman"/>
          <w:sz w:val="24"/>
          <w:szCs w:val="24"/>
        </w:rPr>
        <w:t>a trading user or group of trading users</w:t>
      </w:r>
      <w:r w:rsidR="00A652E8">
        <w:rPr>
          <w:rFonts w:ascii="Times New Roman" w:hAnsi="Times New Roman"/>
          <w:sz w:val="24"/>
          <w:szCs w:val="24"/>
        </w:rPr>
        <w:t xml:space="preserve"> </w:t>
      </w:r>
      <w:r w:rsidR="006842A0">
        <w:rPr>
          <w:rFonts w:ascii="Times New Roman" w:hAnsi="Times New Roman" w:cs="Times New Roman"/>
          <w:sz w:val="24"/>
          <w:szCs w:val="24"/>
        </w:rPr>
        <w:t xml:space="preserve">connected to the same </w:t>
      </w:r>
      <w:r w:rsidR="002A4AAF">
        <w:rPr>
          <w:rFonts w:ascii="Times New Roman" w:hAnsi="Times New Roman" w:cs="Times New Roman"/>
          <w:sz w:val="24"/>
          <w:szCs w:val="24"/>
        </w:rPr>
        <w:t xml:space="preserve">Market Participant </w:t>
      </w:r>
      <w:r w:rsidR="006842A0">
        <w:rPr>
          <w:rFonts w:ascii="Times New Roman" w:hAnsi="Times New Roman" w:cs="Times New Roman"/>
          <w:sz w:val="24"/>
          <w:szCs w:val="24"/>
        </w:rPr>
        <w:t>User Identification (</w:t>
      </w:r>
      <w:r w:rsidR="002A4AAF">
        <w:rPr>
          <w:rFonts w:ascii="Times New Roman" w:hAnsi="Times New Roman" w:cs="Times New Roman"/>
          <w:sz w:val="24"/>
          <w:szCs w:val="24"/>
        </w:rPr>
        <w:t>MP</w:t>
      </w:r>
      <w:r w:rsidR="006842A0">
        <w:rPr>
          <w:rFonts w:ascii="Times New Roman" w:hAnsi="Times New Roman" w:cs="Times New Roman"/>
          <w:sz w:val="24"/>
          <w:szCs w:val="24"/>
        </w:rPr>
        <w:t xml:space="preserve">ID).  The new </w:t>
      </w:r>
      <w:r>
        <w:rPr>
          <w:rFonts w:ascii="Times New Roman" w:hAnsi="Times New Roman" w:cs="Times New Roman"/>
          <w:sz w:val="24"/>
          <w:szCs w:val="24"/>
        </w:rPr>
        <w:t>ICLG</w:t>
      </w:r>
      <w:r w:rsidR="006842A0">
        <w:rPr>
          <w:rFonts w:ascii="Times New Roman" w:hAnsi="Times New Roman" w:cs="Times New Roman"/>
          <w:sz w:val="24"/>
          <w:szCs w:val="24"/>
        </w:rPr>
        <w:t xml:space="preserve"> service will allow market participants to establish </w:t>
      </w:r>
      <w:r>
        <w:rPr>
          <w:rFonts w:ascii="Times New Roman" w:hAnsi="Times New Roman" w:cs="Times New Roman"/>
          <w:sz w:val="24"/>
          <w:szCs w:val="24"/>
        </w:rPr>
        <w:t xml:space="preserve">pre-defined risk </w:t>
      </w:r>
      <w:r w:rsidR="00843B46">
        <w:rPr>
          <w:rFonts w:ascii="Times New Roman" w:hAnsi="Times New Roman" w:cs="Times New Roman"/>
          <w:sz w:val="24"/>
          <w:szCs w:val="24"/>
        </w:rPr>
        <w:t xml:space="preserve">categories </w:t>
      </w:r>
      <w:r>
        <w:rPr>
          <w:rFonts w:ascii="Times New Roman" w:hAnsi="Times New Roman" w:cs="Times New Roman"/>
          <w:sz w:val="24"/>
          <w:szCs w:val="24"/>
        </w:rPr>
        <w:t>grouping instrument and Combination Order classes together, allowing for more efficient risk limit associations.  ICLGs will be used for Power (Electricity) contract</w:t>
      </w:r>
      <w:r w:rsidR="009C31AE">
        <w:rPr>
          <w:rFonts w:ascii="Times New Roman" w:hAnsi="Times New Roman" w:cs="Times New Roman"/>
          <w:sz w:val="24"/>
          <w:szCs w:val="24"/>
        </w:rPr>
        <w:t>s</w:t>
      </w:r>
      <w:r w:rsidR="00843B46">
        <w:rPr>
          <w:rFonts w:ascii="Times New Roman" w:hAnsi="Times New Roman" w:cs="Times New Roman"/>
          <w:sz w:val="24"/>
          <w:szCs w:val="24"/>
        </w:rPr>
        <w:t xml:space="preserve"> only</w:t>
      </w:r>
      <w:r>
        <w:rPr>
          <w:rFonts w:ascii="Times New Roman" w:hAnsi="Times New Roman" w:cs="Times New Roman"/>
          <w:sz w:val="24"/>
          <w:szCs w:val="24"/>
        </w:rPr>
        <w:t xml:space="preserve">.  These changes are being implemented </w:t>
      </w:r>
      <w:r w:rsidR="00843B46">
        <w:rPr>
          <w:rFonts w:ascii="Times New Roman" w:hAnsi="Times New Roman" w:cs="Times New Roman"/>
          <w:sz w:val="24"/>
          <w:szCs w:val="24"/>
        </w:rPr>
        <w:t>in order to offer market participants a more efficient means of limiting their risk when trading Power futures contract</w:t>
      </w:r>
      <w:r w:rsidR="001977C9">
        <w:rPr>
          <w:rFonts w:ascii="Times New Roman" w:hAnsi="Times New Roman" w:cs="Times New Roman"/>
          <w:sz w:val="24"/>
          <w:szCs w:val="24"/>
        </w:rPr>
        <w:t>s</w:t>
      </w:r>
      <w:r w:rsidR="00843B46">
        <w:rPr>
          <w:rFonts w:ascii="Times New Roman" w:hAnsi="Times New Roman" w:cs="Times New Roman"/>
          <w:sz w:val="24"/>
          <w:szCs w:val="24"/>
        </w:rPr>
        <w:t xml:space="preserve">.  </w:t>
      </w:r>
    </w:p>
    <w:p w:rsidR="003244CA" w:rsidRDefault="003244CA" w:rsidP="0008423C">
      <w:pPr>
        <w:pStyle w:val="NoSpacing"/>
        <w:ind w:firstLine="1310"/>
        <w:rPr>
          <w:rFonts w:ascii="Times New Roman" w:hAnsi="Times New Roman" w:cs="Times New Roman"/>
          <w:sz w:val="24"/>
          <w:szCs w:val="24"/>
        </w:rPr>
      </w:pPr>
    </w:p>
    <w:p w:rsidR="002F3EE2" w:rsidRDefault="001977C9" w:rsidP="0008423C">
      <w:pPr>
        <w:pStyle w:val="NoSpacing"/>
        <w:ind w:firstLine="1310"/>
        <w:rPr>
          <w:rFonts w:ascii="Times New Roman" w:hAnsi="Times New Roman" w:cs="Times New Roman"/>
          <w:sz w:val="24"/>
          <w:szCs w:val="24"/>
        </w:rPr>
      </w:pPr>
      <w:r>
        <w:rPr>
          <w:rFonts w:ascii="Times New Roman" w:hAnsi="Times New Roman" w:cs="Times New Roman"/>
          <w:sz w:val="24"/>
          <w:szCs w:val="24"/>
        </w:rPr>
        <w:t>The ICLGs will work as follows.  A market participant</w:t>
      </w:r>
      <w:r w:rsidR="00843B46">
        <w:rPr>
          <w:rFonts w:ascii="Times New Roman" w:hAnsi="Times New Roman" w:cs="Times New Roman"/>
          <w:sz w:val="24"/>
          <w:szCs w:val="24"/>
        </w:rPr>
        <w:t xml:space="preserve"> may establish </w:t>
      </w:r>
      <w:r w:rsidR="009C31AE">
        <w:rPr>
          <w:rFonts w:ascii="Times New Roman" w:hAnsi="Times New Roman" w:cs="Times New Roman"/>
          <w:sz w:val="24"/>
          <w:szCs w:val="24"/>
        </w:rPr>
        <w:t xml:space="preserve">daily </w:t>
      </w:r>
      <w:r w:rsidR="00843B46">
        <w:rPr>
          <w:rFonts w:ascii="Times New Roman" w:hAnsi="Times New Roman" w:cs="Times New Roman"/>
          <w:sz w:val="24"/>
          <w:szCs w:val="24"/>
        </w:rPr>
        <w:t xml:space="preserve">risk limits when trading NFX ISO-New England (NE) Power Futures Contracts.  The limits would be structured such that contracts for the ISO-NE Massachusetts Hub Off-Peak Financial Futures </w:t>
      </w:r>
      <w:r>
        <w:rPr>
          <w:rFonts w:ascii="Times New Roman" w:hAnsi="Times New Roman" w:cs="Times New Roman"/>
          <w:sz w:val="24"/>
          <w:szCs w:val="24"/>
        </w:rPr>
        <w:t xml:space="preserve">contract </w:t>
      </w:r>
      <w:r w:rsidR="00843B46">
        <w:rPr>
          <w:rFonts w:ascii="Times New Roman" w:hAnsi="Times New Roman" w:cs="Times New Roman"/>
          <w:sz w:val="24"/>
          <w:szCs w:val="24"/>
        </w:rPr>
        <w:t>will have a maximum exposure of 8,000</w:t>
      </w:r>
      <w:r>
        <w:rPr>
          <w:rFonts w:ascii="Times New Roman" w:hAnsi="Times New Roman" w:cs="Times New Roman"/>
          <w:sz w:val="24"/>
          <w:szCs w:val="24"/>
        </w:rPr>
        <w:t xml:space="preserve"> megawatt hours (MWh)</w:t>
      </w:r>
      <w:r w:rsidR="00843B46">
        <w:rPr>
          <w:rFonts w:ascii="Times New Roman" w:hAnsi="Times New Roman" w:cs="Times New Roman"/>
          <w:sz w:val="24"/>
          <w:szCs w:val="24"/>
        </w:rPr>
        <w:t>.  Financial futures contracts for this category of Power contract range from 1</w:t>
      </w:r>
      <w:r>
        <w:rPr>
          <w:rFonts w:ascii="Times New Roman" w:hAnsi="Times New Roman" w:cs="Times New Roman"/>
          <w:sz w:val="24"/>
          <w:szCs w:val="24"/>
        </w:rPr>
        <w:t xml:space="preserve"> </w:t>
      </w:r>
      <w:r w:rsidR="00843B46">
        <w:rPr>
          <w:rFonts w:ascii="Times New Roman" w:hAnsi="Times New Roman" w:cs="Times New Roman"/>
          <w:sz w:val="24"/>
          <w:szCs w:val="24"/>
        </w:rPr>
        <w:t>MWh to 50 MWh.  With the new ICLG functionality, market participants may trade any combination of ISO-NE Massachusetts Hub Off-Peak contracts up until they have established a combined MWh exposure equal to 8,000 MWhs</w:t>
      </w:r>
      <w:r>
        <w:rPr>
          <w:rFonts w:ascii="Times New Roman" w:hAnsi="Times New Roman" w:cs="Times New Roman"/>
          <w:sz w:val="24"/>
          <w:szCs w:val="24"/>
        </w:rPr>
        <w:t xml:space="preserve"> for off-peak contracts at this hub</w:t>
      </w:r>
      <w:r w:rsidR="00843B46">
        <w:rPr>
          <w:rFonts w:ascii="Times New Roman" w:hAnsi="Times New Roman" w:cs="Times New Roman"/>
          <w:sz w:val="24"/>
          <w:szCs w:val="24"/>
        </w:rPr>
        <w:t xml:space="preserve">.  </w:t>
      </w:r>
      <w:r>
        <w:rPr>
          <w:rFonts w:ascii="Times New Roman" w:hAnsi="Times New Roman" w:cs="Times New Roman"/>
          <w:sz w:val="24"/>
          <w:szCs w:val="24"/>
        </w:rPr>
        <w:t xml:space="preserve">Contracts in the ISO-NE Massachusetts Hub Peak Financial Futures would not count towards the Off-Peak ICLG limit.  A separate ICLG may be established for that Trader ID at that Hub during Peak hours.  </w:t>
      </w:r>
      <w:r w:rsidR="009062C7">
        <w:rPr>
          <w:rFonts w:ascii="Times New Roman" w:hAnsi="Times New Roman" w:cs="Times New Roman"/>
          <w:sz w:val="24"/>
          <w:szCs w:val="24"/>
        </w:rPr>
        <w:t>Market participants may establish a</w:t>
      </w:r>
      <w:r w:rsidR="002A4AAF">
        <w:rPr>
          <w:rFonts w:ascii="Times New Roman" w:hAnsi="Times New Roman" w:cs="Times New Roman"/>
          <w:sz w:val="24"/>
          <w:szCs w:val="24"/>
        </w:rPr>
        <w:t xml:space="preserve">n ICLG for any Power </w:t>
      </w:r>
      <w:r w:rsidR="009062C7">
        <w:rPr>
          <w:rFonts w:ascii="Times New Roman" w:hAnsi="Times New Roman" w:cs="Times New Roman"/>
          <w:sz w:val="24"/>
          <w:szCs w:val="24"/>
        </w:rPr>
        <w:t>h</w:t>
      </w:r>
      <w:r w:rsidR="002A4AAF">
        <w:rPr>
          <w:rFonts w:ascii="Times New Roman" w:hAnsi="Times New Roman" w:cs="Times New Roman"/>
          <w:sz w:val="24"/>
          <w:szCs w:val="24"/>
        </w:rPr>
        <w:t xml:space="preserve">ub listed on NFX.  </w:t>
      </w:r>
    </w:p>
    <w:p w:rsidR="002F3EE2" w:rsidRDefault="002F3EE2" w:rsidP="0008423C">
      <w:pPr>
        <w:pStyle w:val="NoSpacing"/>
        <w:ind w:firstLine="1310"/>
        <w:rPr>
          <w:rFonts w:ascii="Times New Roman" w:hAnsi="Times New Roman" w:cs="Times New Roman"/>
          <w:sz w:val="24"/>
          <w:szCs w:val="24"/>
        </w:rPr>
      </w:pPr>
    </w:p>
    <w:p w:rsidR="003D41A0" w:rsidRDefault="003D41A0" w:rsidP="0008423C">
      <w:pPr>
        <w:pStyle w:val="Default"/>
        <w:ind w:left="2620"/>
        <w:rPr>
          <w:b/>
          <w:bCs/>
          <w:color w:val="auto"/>
        </w:rPr>
      </w:pPr>
    </w:p>
    <w:p w:rsidR="0008423C" w:rsidRPr="00E1206A" w:rsidRDefault="0008423C" w:rsidP="0008423C">
      <w:pPr>
        <w:pStyle w:val="Default"/>
        <w:ind w:left="2620"/>
        <w:rPr>
          <w:b/>
          <w:bCs/>
          <w:color w:val="auto"/>
          <w:u w:val="single"/>
        </w:rPr>
      </w:pPr>
      <w:r w:rsidRPr="00E1206A">
        <w:rPr>
          <w:b/>
          <w:bCs/>
          <w:color w:val="auto"/>
        </w:rPr>
        <w:t xml:space="preserve">           </w:t>
      </w:r>
      <w:r w:rsidRPr="00E1206A">
        <w:rPr>
          <w:b/>
          <w:bCs/>
          <w:color w:val="auto"/>
          <w:u w:val="single"/>
        </w:rPr>
        <w:t xml:space="preserve">DCM Core Principles </w:t>
      </w:r>
    </w:p>
    <w:p w:rsidR="0008423C" w:rsidRPr="00E1206A" w:rsidRDefault="0008423C" w:rsidP="0008423C">
      <w:pPr>
        <w:pStyle w:val="Default"/>
        <w:ind w:left="2620"/>
        <w:rPr>
          <w:color w:val="auto"/>
        </w:rPr>
      </w:pPr>
    </w:p>
    <w:p w:rsidR="0008423C" w:rsidRPr="00E1206A" w:rsidRDefault="0008423C" w:rsidP="0008423C">
      <w:pPr>
        <w:pStyle w:val="Default"/>
        <w:ind w:firstLine="1310"/>
        <w:rPr>
          <w:color w:val="auto"/>
        </w:rPr>
      </w:pPr>
      <w:r w:rsidRPr="00E1206A">
        <w:rPr>
          <w:color w:val="auto"/>
        </w:rPr>
        <w:t>The Exchange has reviewed the designated contract market core principles (“</w:t>
      </w:r>
      <w:r w:rsidRPr="00E1206A">
        <w:rPr>
          <w:color w:val="auto"/>
          <w:u w:val="single"/>
        </w:rPr>
        <w:t>Core Principles</w:t>
      </w:r>
      <w:r w:rsidRPr="00E1206A">
        <w:rPr>
          <w:color w:val="auto"/>
        </w:rPr>
        <w:t xml:space="preserve">”) as set forth in the Act in connection with the amendments presented herein. Consistent with Core Principle 7 - Availability of General Information, the Exchange will post general information, including the NFX Rulebook as amended herein, on its website: </w:t>
      </w:r>
      <w:hyperlink r:id="rId12" w:history="1">
        <w:r w:rsidRPr="00E1206A">
          <w:rPr>
            <w:rStyle w:val="Hyperlink"/>
          </w:rPr>
          <w:t>business.nasdaq.com/futures</w:t>
        </w:r>
      </w:hyperlink>
      <w:r w:rsidRPr="00E1206A">
        <w:rPr>
          <w:color w:val="auto"/>
        </w:rPr>
        <w:t>.</w:t>
      </w:r>
    </w:p>
    <w:p w:rsidR="0008423C" w:rsidRPr="00E1206A" w:rsidRDefault="0008423C" w:rsidP="0008423C">
      <w:pPr>
        <w:pStyle w:val="Default"/>
        <w:ind w:firstLine="1310"/>
        <w:rPr>
          <w:color w:val="auto"/>
        </w:rPr>
      </w:pPr>
    </w:p>
    <w:p w:rsidR="0008423C" w:rsidRPr="00E1206A" w:rsidRDefault="0008423C" w:rsidP="0008423C">
      <w:pPr>
        <w:pStyle w:val="Default"/>
        <w:ind w:left="2620"/>
        <w:rPr>
          <w:b/>
          <w:bCs/>
          <w:color w:val="auto"/>
          <w:u w:val="single"/>
        </w:rPr>
      </w:pPr>
      <w:r w:rsidRPr="00E1206A">
        <w:rPr>
          <w:b/>
          <w:bCs/>
          <w:color w:val="auto"/>
        </w:rPr>
        <w:t xml:space="preserve">           </w:t>
      </w:r>
      <w:r w:rsidRPr="00E1206A">
        <w:rPr>
          <w:b/>
          <w:bCs/>
          <w:color w:val="auto"/>
          <w:u w:val="single"/>
        </w:rPr>
        <w:t xml:space="preserve">Certifications </w:t>
      </w:r>
    </w:p>
    <w:p w:rsidR="0008423C" w:rsidRPr="00E1206A" w:rsidRDefault="0008423C" w:rsidP="0008423C">
      <w:pPr>
        <w:pStyle w:val="Default"/>
        <w:ind w:left="2620"/>
        <w:rPr>
          <w:color w:val="auto"/>
        </w:rPr>
      </w:pPr>
    </w:p>
    <w:p w:rsidR="0008423C" w:rsidRPr="00E1206A" w:rsidRDefault="0008423C" w:rsidP="0008423C">
      <w:pPr>
        <w:pStyle w:val="PlainText"/>
        <w:ind w:firstLine="1310"/>
        <w:rPr>
          <w:rFonts w:ascii="Times New Roman" w:eastAsia="Calibri" w:hAnsi="Times New Roman"/>
          <w:sz w:val="24"/>
          <w:szCs w:val="24"/>
        </w:rPr>
      </w:pPr>
      <w:r w:rsidRPr="00E1206A">
        <w:rPr>
          <w:rFonts w:ascii="Times New Roman" w:hAnsi="Times New Roman"/>
          <w:sz w:val="24"/>
          <w:szCs w:val="24"/>
        </w:rPr>
        <w:t xml:space="preserve">There were no opposing views among NFX’s Board of Directors, members or market participants. The Exchange hereby certifies that the rule amendments set forth herein comply with the Act and the Commission’s regulations thereunder.  The Exchange also certifies that notice of pending certification and a copy of this submission have been concurrently posted on the Exchange’s website at </w:t>
      </w:r>
      <w:hyperlink r:id="rId13" w:history="1">
        <w:r w:rsidRPr="00E1206A">
          <w:rPr>
            <w:rStyle w:val="Hyperlink"/>
            <w:rFonts w:ascii="Times New Roman" w:hAnsi="Times New Roman"/>
            <w:sz w:val="24"/>
            <w:szCs w:val="24"/>
          </w:rPr>
          <w:t>business.nasdaq.com/futures</w:t>
        </w:r>
      </w:hyperlink>
      <w:r w:rsidRPr="00E1206A">
        <w:rPr>
          <w:rFonts w:ascii="Times New Roman" w:hAnsi="Times New Roman"/>
          <w:sz w:val="24"/>
          <w:szCs w:val="24"/>
        </w:rPr>
        <w:t>.</w:t>
      </w:r>
    </w:p>
    <w:p w:rsidR="0008423C" w:rsidRPr="00E1206A" w:rsidRDefault="0008423C" w:rsidP="0008423C">
      <w:pPr>
        <w:pStyle w:val="NoSpacing"/>
        <w:ind w:firstLine="1310"/>
        <w:rPr>
          <w:rFonts w:ascii="Times New Roman" w:eastAsia="Calibri" w:hAnsi="Times New Roman" w:cs="Times New Roman"/>
          <w:sz w:val="24"/>
          <w:szCs w:val="24"/>
        </w:rPr>
      </w:pPr>
    </w:p>
    <w:p w:rsidR="0008423C" w:rsidRPr="00E1206A" w:rsidRDefault="0008423C" w:rsidP="0008423C">
      <w:pPr>
        <w:keepNext/>
        <w:spacing w:after="0" w:line="240" w:lineRule="auto"/>
        <w:ind w:firstLine="1310"/>
        <w:rPr>
          <w:rFonts w:ascii="Times New Roman" w:hAnsi="Times New Roman" w:cs="Times New Roman"/>
          <w:spacing w:val="-6"/>
          <w:sz w:val="24"/>
          <w:szCs w:val="24"/>
        </w:rPr>
      </w:pPr>
      <w:r w:rsidRPr="00E1206A">
        <w:rPr>
          <w:rFonts w:ascii="Times New Roman" w:eastAsia="Calibri" w:hAnsi="Times New Roman" w:cs="Times New Roman"/>
          <w:sz w:val="24"/>
          <w:szCs w:val="24"/>
        </w:rPr>
        <w:t xml:space="preserve">If you require any additional information regarding the submission, please </w:t>
      </w:r>
      <w:r w:rsidRPr="00E1206A">
        <w:rPr>
          <w:rFonts w:ascii="Times New Roman" w:hAnsi="Times New Roman" w:cs="Times New Roman"/>
          <w:sz w:val="24"/>
          <w:szCs w:val="24"/>
        </w:rPr>
        <w:t>contact</w:t>
      </w:r>
      <w:r w:rsidRPr="00E1206A">
        <w:rPr>
          <w:rFonts w:ascii="Times New Roman" w:hAnsi="Times New Roman" w:cs="Times New Roman"/>
          <w:spacing w:val="-6"/>
          <w:sz w:val="24"/>
          <w:szCs w:val="24"/>
        </w:rPr>
        <w:t xml:space="preserve"> </w:t>
      </w:r>
      <w:proofErr w:type="spellStart"/>
      <w:r w:rsidRPr="003F4995">
        <w:rPr>
          <w:rFonts w:ascii="Times New Roman" w:hAnsi="Times New Roman" w:cs="Times New Roman"/>
          <w:spacing w:val="-6"/>
          <w:sz w:val="24"/>
          <w:szCs w:val="24"/>
        </w:rPr>
        <w:t>Aravind</w:t>
      </w:r>
      <w:proofErr w:type="spellEnd"/>
      <w:r w:rsidRPr="003F4995">
        <w:rPr>
          <w:rFonts w:ascii="Times New Roman" w:hAnsi="Times New Roman" w:cs="Times New Roman"/>
          <w:spacing w:val="-6"/>
          <w:sz w:val="24"/>
          <w:szCs w:val="24"/>
        </w:rPr>
        <w:t xml:space="preserve"> Menon at (301) 978-8416 </w:t>
      </w:r>
      <w:r w:rsidRPr="003F4995">
        <w:rPr>
          <w:rFonts w:ascii="Times New Roman" w:hAnsi="Times New Roman" w:cs="Times New Roman"/>
          <w:sz w:val="24"/>
          <w:szCs w:val="24"/>
        </w:rPr>
        <w:t>or</w:t>
      </w:r>
      <w:r w:rsidRPr="003F4995">
        <w:rPr>
          <w:rFonts w:ascii="Times New Roman" w:hAnsi="Times New Roman" w:cs="Times New Roman"/>
          <w:spacing w:val="-6"/>
          <w:sz w:val="24"/>
          <w:szCs w:val="24"/>
        </w:rPr>
        <w:t xml:space="preserve"> </w:t>
      </w:r>
      <w:r w:rsidRPr="003F4995">
        <w:rPr>
          <w:rFonts w:ascii="Times New Roman" w:hAnsi="Times New Roman" w:cs="Times New Roman"/>
          <w:sz w:val="24"/>
          <w:szCs w:val="24"/>
        </w:rPr>
        <w:t>aravind.menon@nasdaq.com</w:t>
      </w:r>
      <w:r w:rsidRPr="003F4995">
        <w:rPr>
          <w:rFonts w:ascii="Times New Roman" w:hAnsi="Times New Roman" w:cs="Times New Roman"/>
          <w:spacing w:val="-6"/>
          <w:sz w:val="24"/>
          <w:szCs w:val="24"/>
        </w:rPr>
        <w:t>.</w:t>
      </w:r>
      <w:r w:rsidRPr="00E1206A">
        <w:rPr>
          <w:rFonts w:ascii="Times New Roman" w:hAnsi="Times New Roman" w:cs="Times New Roman"/>
          <w:spacing w:val="-6"/>
          <w:sz w:val="24"/>
          <w:szCs w:val="24"/>
        </w:rPr>
        <w:t xml:space="preserve">  </w:t>
      </w:r>
      <w:r w:rsidRPr="00E1206A">
        <w:rPr>
          <w:rFonts w:ascii="Times New Roman" w:hAnsi="Times New Roman" w:cs="Times New Roman"/>
          <w:sz w:val="24"/>
          <w:szCs w:val="24"/>
        </w:rPr>
        <w:t>Please</w:t>
      </w:r>
      <w:r w:rsidRPr="00E1206A">
        <w:rPr>
          <w:rFonts w:ascii="Times New Roman" w:hAnsi="Times New Roman" w:cs="Times New Roman"/>
          <w:spacing w:val="-6"/>
          <w:sz w:val="24"/>
          <w:szCs w:val="24"/>
        </w:rPr>
        <w:t xml:space="preserve"> </w:t>
      </w:r>
      <w:r w:rsidRPr="00E1206A">
        <w:rPr>
          <w:rFonts w:ascii="Times New Roman" w:hAnsi="Times New Roman" w:cs="Times New Roman"/>
          <w:sz w:val="24"/>
          <w:szCs w:val="24"/>
        </w:rPr>
        <w:t>refer to</w:t>
      </w:r>
      <w:r w:rsidRPr="00E1206A">
        <w:rPr>
          <w:rFonts w:ascii="Times New Roman" w:hAnsi="Times New Roman" w:cs="Times New Roman"/>
          <w:spacing w:val="-6"/>
          <w:sz w:val="24"/>
          <w:szCs w:val="24"/>
        </w:rPr>
        <w:t xml:space="preserve"> </w:t>
      </w:r>
      <w:r w:rsidRPr="00E1206A">
        <w:rPr>
          <w:rFonts w:ascii="Times New Roman" w:hAnsi="Times New Roman" w:cs="Times New Roman"/>
          <w:sz w:val="24"/>
          <w:szCs w:val="24"/>
        </w:rPr>
        <w:t>SR-NFX-201</w:t>
      </w:r>
      <w:r w:rsidR="003D41A0">
        <w:rPr>
          <w:rFonts w:ascii="Times New Roman" w:hAnsi="Times New Roman" w:cs="Times New Roman"/>
          <w:sz w:val="24"/>
          <w:szCs w:val="24"/>
        </w:rPr>
        <w:t>8</w:t>
      </w:r>
      <w:r w:rsidRPr="00E1206A">
        <w:rPr>
          <w:rFonts w:ascii="Times New Roman" w:hAnsi="Times New Roman" w:cs="Times New Roman"/>
          <w:sz w:val="24"/>
          <w:szCs w:val="24"/>
        </w:rPr>
        <w:t>-</w:t>
      </w:r>
      <w:r w:rsidR="001B6E4C">
        <w:rPr>
          <w:rFonts w:ascii="Times New Roman" w:hAnsi="Times New Roman" w:cs="Times New Roman"/>
          <w:sz w:val="24"/>
          <w:szCs w:val="24"/>
        </w:rPr>
        <w:t xml:space="preserve">41 </w:t>
      </w:r>
      <w:r w:rsidRPr="00E1206A">
        <w:rPr>
          <w:rFonts w:ascii="Times New Roman" w:eastAsia="Calibri" w:hAnsi="Times New Roman" w:cs="Times New Roman"/>
          <w:sz w:val="24"/>
          <w:szCs w:val="24"/>
        </w:rPr>
        <w:t>in any related correspondence.</w:t>
      </w:r>
      <w:r w:rsidR="00F93853" w:rsidRPr="00E1206A">
        <w:rPr>
          <w:rFonts w:ascii="Times New Roman" w:eastAsia="Calibri" w:hAnsi="Times New Roman" w:cs="Times New Roman"/>
          <w:sz w:val="24"/>
          <w:szCs w:val="24"/>
        </w:rPr>
        <w:t xml:space="preserve">  </w:t>
      </w:r>
    </w:p>
    <w:p w:rsidR="0008423C" w:rsidRPr="00E1206A" w:rsidRDefault="0008423C" w:rsidP="0008423C">
      <w:pPr>
        <w:pStyle w:val="NoSpacing"/>
        <w:keepNext/>
        <w:rPr>
          <w:rFonts w:ascii="Times New Roman" w:eastAsia="Times New Roman" w:hAnsi="Times New Roman" w:cs="Times New Roman"/>
          <w:sz w:val="24"/>
          <w:szCs w:val="24"/>
        </w:rPr>
      </w:pPr>
    </w:p>
    <w:p w:rsidR="0008423C" w:rsidRPr="00E1206A" w:rsidRDefault="0008423C" w:rsidP="0008423C">
      <w:pPr>
        <w:pStyle w:val="NoSpacing"/>
        <w:keepNext/>
        <w:rPr>
          <w:rFonts w:ascii="Times New Roman" w:eastAsia="Calibri" w:hAnsi="Times New Roman" w:cs="Times New Roman"/>
          <w:sz w:val="24"/>
          <w:szCs w:val="24"/>
        </w:rPr>
      </w:pPr>
    </w:p>
    <w:p w:rsidR="0095411C" w:rsidRPr="000011A2" w:rsidRDefault="0095411C" w:rsidP="0095411C">
      <w:pPr>
        <w:pStyle w:val="NoSpacing"/>
        <w:keepNext/>
        <w:ind w:left="2880" w:firstLine="720"/>
        <w:rPr>
          <w:rFonts w:ascii="Times New Roman" w:hAnsi="Times New Roman" w:cs="Times New Roman"/>
          <w:sz w:val="24"/>
          <w:szCs w:val="24"/>
        </w:rPr>
      </w:pPr>
      <w:r w:rsidRPr="000011A2">
        <w:rPr>
          <w:rFonts w:ascii="Times New Roman" w:eastAsia="Calibri" w:hAnsi="Times New Roman" w:cs="Times New Roman"/>
          <w:sz w:val="24"/>
          <w:szCs w:val="24"/>
        </w:rPr>
        <w:t>Regards,</w:t>
      </w:r>
    </w:p>
    <w:p w:rsidR="0095411C" w:rsidRDefault="0095411C" w:rsidP="0095411C">
      <w:pPr>
        <w:pStyle w:val="NoSpacing"/>
        <w:keepNext/>
        <w:ind w:left="2880" w:firstLine="720"/>
        <w:contextualSpacing/>
        <w:rPr>
          <w:rFonts w:ascii="Times New Roman" w:eastAsia="Calibri" w:hAnsi="Times New Roman" w:cs="Times New Roman"/>
          <w:sz w:val="24"/>
          <w:szCs w:val="24"/>
        </w:rPr>
      </w:pPr>
      <w:r w:rsidRPr="00F80E2A">
        <w:rPr>
          <w:rFonts w:ascii="Times New Roman" w:eastAsia="Calibri" w:hAnsi="Times New Roman" w:cs="Times New Roman"/>
          <w:noProof/>
          <w:sz w:val="24"/>
          <w:szCs w:val="24"/>
        </w:rPr>
        <w:drawing>
          <wp:inline distT="0" distB="0" distL="0" distR="0" wp14:anchorId="36F4C54D" wp14:editId="6741E287">
            <wp:extent cx="1959240" cy="544286"/>
            <wp:effectExtent l="0" t="0" r="3175" b="8255"/>
            <wp:docPr id="2" name="Picture 2" descr="C:\Users\aramen\AppData\Local\Microsoft\Windows\Temporary Internet Files\Content.Outlook\Z6BM50HW\Rick'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men\AppData\Local\Microsoft\Windows\Temporary Internet Files\Content.Outlook\Z6BM50HW\Rick's Signature.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91927" cy="581147"/>
                    </a:xfrm>
                    <a:prstGeom prst="rect">
                      <a:avLst/>
                    </a:prstGeom>
                    <a:noFill/>
                    <a:ln>
                      <a:noFill/>
                    </a:ln>
                  </pic:spPr>
                </pic:pic>
              </a:graphicData>
            </a:graphic>
          </wp:inline>
        </w:drawing>
      </w:r>
    </w:p>
    <w:p w:rsidR="0095411C" w:rsidRPr="000011A2" w:rsidRDefault="0095411C" w:rsidP="0095411C">
      <w:pPr>
        <w:pStyle w:val="NoSpacing"/>
        <w:keepNext/>
        <w:ind w:left="2880" w:firstLine="720"/>
        <w:rPr>
          <w:rFonts w:ascii="Times New Roman" w:eastAsia="Calibri" w:hAnsi="Times New Roman" w:cs="Times New Roman"/>
          <w:sz w:val="24"/>
          <w:szCs w:val="24"/>
        </w:rPr>
      </w:pPr>
    </w:p>
    <w:p w:rsidR="0095411C" w:rsidRPr="000011A2" w:rsidRDefault="0095411C" w:rsidP="0095411C">
      <w:pPr>
        <w:pStyle w:val="NoSpacing"/>
        <w:keepNext/>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Rick </w:t>
      </w:r>
      <w:proofErr w:type="spellStart"/>
      <w:r>
        <w:rPr>
          <w:rFonts w:ascii="Times New Roman" w:eastAsia="Calibri" w:hAnsi="Times New Roman" w:cs="Times New Roman"/>
          <w:sz w:val="24"/>
          <w:szCs w:val="24"/>
        </w:rPr>
        <w:t>Beaman</w:t>
      </w:r>
      <w:proofErr w:type="spellEnd"/>
    </w:p>
    <w:p w:rsidR="0008423C" w:rsidRPr="00E1206A" w:rsidRDefault="0095411C" w:rsidP="0095411C">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Chief Executive Officer</w:t>
      </w:r>
    </w:p>
    <w:p w:rsidR="0008423C" w:rsidRDefault="0008423C" w:rsidP="0008423C">
      <w:pPr>
        <w:pStyle w:val="NoSpacing"/>
        <w:rPr>
          <w:rFonts w:ascii="Times New Roman" w:eastAsia="Calibri" w:hAnsi="Times New Roman" w:cs="Times New Roman"/>
          <w:sz w:val="24"/>
          <w:szCs w:val="24"/>
        </w:rPr>
      </w:pPr>
    </w:p>
    <w:p w:rsidR="0095411C" w:rsidRPr="00E1206A" w:rsidRDefault="0095411C" w:rsidP="0008423C">
      <w:pPr>
        <w:pStyle w:val="NoSpacing"/>
        <w:rPr>
          <w:rFonts w:ascii="Times New Roman" w:eastAsia="Calibri" w:hAnsi="Times New Roman" w:cs="Times New Roman"/>
          <w:sz w:val="24"/>
          <w:szCs w:val="24"/>
        </w:rPr>
      </w:pPr>
    </w:p>
    <w:p w:rsidR="0008423C" w:rsidRPr="00E1206A" w:rsidRDefault="0008423C" w:rsidP="0008423C">
      <w:pPr>
        <w:spacing w:after="0" w:line="240" w:lineRule="auto"/>
        <w:rPr>
          <w:rFonts w:ascii="Times New Roman" w:hAnsi="Times New Roman" w:cs="Times New Roman"/>
          <w:sz w:val="24"/>
          <w:szCs w:val="24"/>
        </w:rPr>
      </w:pPr>
      <w:r w:rsidRPr="00E1206A">
        <w:rPr>
          <w:rFonts w:ascii="Times New Roman" w:hAnsi="Times New Roman" w:cs="Times New Roman"/>
          <w:sz w:val="24"/>
          <w:szCs w:val="24"/>
        </w:rPr>
        <w:t xml:space="preserve">Attachments: </w:t>
      </w:r>
    </w:p>
    <w:p w:rsidR="0008423C" w:rsidRPr="00E1206A" w:rsidRDefault="0008423C" w:rsidP="0008423C">
      <w:pPr>
        <w:spacing w:after="0" w:line="240" w:lineRule="auto"/>
        <w:rPr>
          <w:rFonts w:ascii="Times New Roman" w:hAnsi="Times New Roman" w:cs="Times New Roman"/>
          <w:sz w:val="24"/>
          <w:szCs w:val="24"/>
        </w:rPr>
      </w:pPr>
    </w:p>
    <w:p w:rsidR="00D60246" w:rsidRPr="00E1206A" w:rsidRDefault="0008423C" w:rsidP="00D60246">
      <w:pPr>
        <w:spacing w:after="0" w:line="240" w:lineRule="auto"/>
        <w:rPr>
          <w:rFonts w:ascii="Times New Roman" w:hAnsi="Times New Roman" w:cs="Times New Roman"/>
          <w:sz w:val="24"/>
          <w:szCs w:val="24"/>
        </w:rPr>
      </w:pPr>
      <w:r w:rsidRPr="00E1206A">
        <w:rPr>
          <w:rFonts w:ascii="Times New Roman" w:hAnsi="Times New Roman" w:cs="Times New Roman"/>
          <w:sz w:val="24"/>
          <w:szCs w:val="24"/>
          <w:u w:val="single"/>
        </w:rPr>
        <w:t xml:space="preserve">Exhibit </w:t>
      </w:r>
      <w:r w:rsidR="005A08AE">
        <w:rPr>
          <w:rFonts w:ascii="Times New Roman" w:hAnsi="Times New Roman" w:cs="Times New Roman"/>
          <w:sz w:val="24"/>
          <w:szCs w:val="24"/>
          <w:u w:val="single"/>
        </w:rPr>
        <w:t>A</w:t>
      </w:r>
      <w:r w:rsidRPr="00E1206A">
        <w:rPr>
          <w:rFonts w:ascii="Times New Roman" w:hAnsi="Times New Roman" w:cs="Times New Roman"/>
          <w:sz w:val="24"/>
          <w:szCs w:val="24"/>
        </w:rPr>
        <w:t>:</w:t>
      </w:r>
      <w:r w:rsidRPr="00E1206A">
        <w:rPr>
          <w:rFonts w:ascii="Times New Roman" w:hAnsi="Times New Roman" w:cs="Times New Roman"/>
          <w:sz w:val="24"/>
          <w:szCs w:val="24"/>
        </w:rPr>
        <w:tab/>
        <w:t xml:space="preserve">Amendments to </w:t>
      </w:r>
      <w:r w:rsidR="0092623A">
        <w:rPr>
          <w:rFonts w:ascii="Times New Roman" w:hAnsi="Times New Roman" w:cs="Times New Roman"/>
          <w:sz w:val="24"/>
          <w:szCs w:val="24"/>
        </w:rPr>
        <w:t>NFX General Reference Guide</w:t>
      </w:r>
    </w:p>
    <w:p w:rsidR="00D60246" w:rsidRDefault="0092623A" w:rsidP="00D60246">
      <w:pPr>
        <w:spacing w:after="0" w:line="240" w:lineRule="auto"/>
        <w:rPr>
          <w:rFonts w:ascii="Times New Roman" w:hAnsi="Times New Roman" w:cs="Times New Roman"/>
          <w:sz w:val="24"/>
          <w:szCs w:val="24"/>
        </w:rPr>
      </w:pPr>
      <w:r w:rsidRPr="00E1206A">
        <w:rPr>
          <w:rFonts w:ascii="Times New Roman" w:hAnsi="Times New Roman" w:cs="Times New Roman"/>
          <w:sz w:val="24"/>
          <w:szCs w:val="24"/>
          <w:u w:val="single"/>
        </w:rPr>
        <w:t xml:space="preserve">Exhibit </w:t>
      </w:r>
      <w:r>
        <w:rPr>
          <w:rFonts w:ascii="Times New Roman" w:hAnsi="Times New Roman" w:cs="Times New Roman"/>
          <w:sz w:val="24"/>
          <w:szCs w:val="24"/>
          <w:u w:val="single"/>
        </w:rPr>
        <w:t>B</w:t>
      </w:r>
      <w:r w:rsidRPr="00E1206A">
        <w:rPr>
          <w:rFonts w:ascii="Times New Roman" w:hAnsi="Times New Roman" w:cs="Times New Roman"/>
          <w:sz w:val="24"/>
          <w:szCs w:val="24"/>
        </w:rPr>
        <w:t>:</w:t>
      </w:r>
      <w:r w:rsidRPr="00E1206A">
        <w:rPr>
          <w:rFonts w:ascii="Times New Roman" w:hAnsi="Times New Roman" w:cs="Times New Roman"/>
          <w:sz w:val="24"/>
          <w:szCs w:val="24"/>
        </w:rPr>
        <w:tab/>
        <w:t xml:space="preserve">Amendments to </w:t>
      </w:r>
      <w:r>
        <w:rPr>
          <w:rFonts w:ascii="Times New Roman" w:hAnsi="Times New Roman" w:cs="Times New Roman"/>
          <w:sz w:val="24"/>
          <w:szCs w:val="24"/>
        </w:rPr>
        <w:t xml:space="preserve">NFX </w:t>
      </w:r>
      <w:proofErr w:type="spellStart"/>
      <w:r w:rsidRPr="0092623A">
        <w:rPr>
          <w:rFonts w:ascii="Times New Roman" w:hAnsi="Times New Roman" w:cs="Times New Roman"/>
          <w:sz w:val="24"/>
          <w:szCs w:val="24"/>
        </w:rPr>
        <w:t>TradeGuard</w:t>
      </w:r>
      <w:proofErr w:type="spellEnd"/>
      <w:r w:rsidRPr="0092623A">
        <w:rPr>
          <w:rFonts w:ascii="Times New Roman" w:hAnsi="Times New Roman" w:cs="Times New Roman"/>
          <w:sz w:val="24"/>
          <w:szCs w:val="24"/>
        </w:rPr>
        <w:t xml:space="preserve"> PTRM Reference Guide </w:t>
      </w:r>
    </w:p>
    <w:p w:rsidR="0092623A" w:rsidRPr="00E1206A" w:rsidRDefault="0092623A" w:rsidP="00D60246">
      <w:pPr>
        <w:spacing w:after="0" w:line="240" w:lineRule="auto"/>
        <w:rPr>
          <w:rFonts w:ascii="Times New Roman" w:hAnsi="Times New Roman" w:cs="Times New Roman"/>
          <w:sz w:val="24"/>
          <w:szCs w:val="24"/>
        </w:rPr>
      </w:pPr>
      <w:r w:rsidRPr="001A33D8">
        <w:rPr>
          <w:rFonts w:ascii="Times New Roman" w:hAnsi="Times New Roman" w:cs="Times New Roman"/>
          <w:sz w:val="24"/>
          <w:szCs w:val="24"/>
          <w:u w:val="single"/>
        </w:rPr>
        <w:t>Exhibit C</w:t>
      </w:r>
      <w:r>
        <w:rPr>
          <w:rFonts w:ascii="Times New Roman" w:hAnsi="Times New Roman" w:cs="Times New Roman"/>
          <w:sz w:val="24"/>
          <w:szCs w:val="24"/>
        </w:rPr>
        <w:t>:</w:t>
      </w:r>
      <w:r>
        <w:rPr>
          <w:rFonts w:ascii="Times New Roman" w:hAnsi="Times New Roman" w:cs="Times New Roman"/>
          <w:sz w:val="24"/>
          <w:szCs w:val="24"/>
        </w:rPr>
        <w:tab/>
        <w:t xml:space="preserve">Amendments to NFX </w:t>
      </w:r>
      <w:proofErr w:type="spellStart"/>
      <w:r w:rsidRPr="0092623A">
        <w:rPr>
          <w:rFonts w:ascii="Times New Roman" w:hAnsi="Times New Roman" w:cs="Times New Roman"/>
          <w:sz w:val="24"/>
          <w:szCs w:val="24"/>
        </w:rPr>
        <w:t>Tra</w:t>
      </w:r>
      <w:bookmarkStart w:id="0" w:name="_GoBack"/>
      <w:bookmarkEnd w:id="0"/>
      <w:r w:rsidRPr="0092623A">
        <w:rPr>
          <w:rFonts w:ascii="Times New Roman" w:hAnsi="Times New Roman" w:cs="Times New Roman"/>
          <w:sz w:val="24"/>
          <w:szCs w:val="24"/>
        </w:rPr>
        <w:t>deGuard</w:t>
      </w:r>
      <w:proofErr w:type="spellEnd"/>
      <w:r w:rsidRPr="0092623A">
        <w:rPr>
          <w:rFonts w:ascii="Times New Roman" w:hAnsi="Times New Roman" w:cs="Times New Roman"/>
          <w:sz w:val="24"/>
          <w:szCs w:val="24"/>
        </w:rPr>
        <w:t xml:space="preserve"> User's Guide</w:t>
      </w:r>
      <w:r w:rsidR="00300ACA">
        <w:rPr>
          <w:rStyle w:val="FootnoteReference"/>
          <w:rFonts w:ascii="Times New Roman" w:hAnsi="Times New Roman" w:cs="Times New Roman"/>
          <w:sz w:val="24"/>
          <w:szCs w:val="24"/>
        </w:rPr>
        <w:footnoteReference w:id="1"/>
      </w:r>
    </w:p>
    <w:p w:rsidR="00D60246" w:rsidRPr="00E1206A" w:rsidRDefault="00D60246" w:rsidP="00D60246">
      <w:pPr>
        <w:spacing w:after="0" w:line="240" w:lineRule="auto"/>
        <w:rPr>
          <w:rFonts w:ascii="Times New Roman" w:hAnsi="Times New Roman" w:cs="Times New Roman"/>
          <w:sz w:val="24"/>
          <w:szCs w:val="24"/>
        </w:rPr>
      </w:pPr>
    </w:p>
    <w:p w:rsidR="00204EC5" w:rsidRPr="00E1206A" w:rsidRDefault="00204EC5">
      <w:pPr>
        <w:rPr>
          <w:rFonts w:ascii="Times New Roman" w:hAnsi="Times New Roman" w:cs="Times New Roman"/>
          <w:sz w:val="24"/>
          <w:szCs w:val="24"/>
        </w:rPr>
      </w:pPr>
    </w:p>
    <w:sectPr w:rsidR="00204EC5" w:rsidRPr="00E1206A" w:rsidSect="00E12802">
      <w:head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D54" w:rsidRDefault="000F7D54" w:rsidP="0008423C">
      <w:pPr>
        <w:spacing w:after="0" w:line="240" w:lineRule="auto"/>
      </w:pPr>
      <w:r>
        <w:separator/>
      </w:r>
    </w:p>
  </w:endnote>
  <w:endnote w:type="continuationSeparator" w:id="0">
    <w:p w:rsidR="000F7D54" w:rsidRDefault="000F7D54" w:rsidP="00084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D54" w:rsidRDefault="000F7D54" w:rsidP="0008423C">
      <w:pPr>
        <w:spacing w:after="0" w:line="240" w:lineRule="auto"/>
      </w:pPr>
      <w:r>
        <w:separator/>
      </w:r>
    </w:p>
  </w:footnote>
  <w:footnote w:type="continuationSeparator" w:id="0">
    <w:p w:rsidR="000F7D54" w:rsidRDefault="000F7D54" w:rsidP="0008423C">
      <w:pPr>
        <w:spacing w:after="0" w:line="240" w:lineRule="auto"/>
      </w:pPr>
      <w:r>
        <w:continuationSeparator/>
      </w:r>
    </w:p>
  </w:footnote>
  <w:footnote w:id="1">
    <w:p w:rsidR="00300ACA" w:rsidRDefault="00300ACA">
      <w:pPr>
        <w:pStyle w:val="FootnoteText"/>
      </w:pPr>
      <w:r>
        <w:rPr>
          <w:rStyle w:val="FootnoteReference"/>
        </w:rPr>
        <w:footnoteRef/>
      </w:r>
      <w:r>
        <w:t xml:space="preserve"> Please note, for the </w:t>
      </w:r>
      <w:proofErr w:type="spellStart"/>
      <w:r>
        <w:t>TradeGuard</w:t>
      </w:r>
      <w:proofErr w:type="spellEnd"/>
      <w:r>
        <w:t xml:space="preserve"> User’s Guide each instance of the phrase “NFX Trading System” has been replaced with the term “</w:t>
      </w:r>
      <w:proofErr w:type="spellStart"/>
      <w:r>
        <w:t>Genium</w:t>
      </w:r>
      <w:proofErr w:type="spellEnd"/>
      <w:r>
        <w:t xml:space="preserve"> INET”.  For purposes of brevity</w:t>
      </w:r>
      <w:r w:rsidR="00911131">
        <w:t>,</w:t>
      </w:r>
      <w:r>
        <w:t xml:space="preserve"> Exhibit C only includes notations of substantive changes addressing the addition of the ICLG service and not each instance of the change from “NFX Trading System” to “</w:t>
      </w:r>
      <w:proofErr w:type="spellStart"/>
      <w:r>
        <w:t>Genium</w:t>
      </w:r>
      <w:proofErr w:type="spellEnd"/>
      <w:r>
        <w:t xml:space="preserve"> INTE”.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802" w:rsidRPr="00B67098" w:rsidRDefault="00E12802" w:rsidP="00E12802">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B53FAF" w:rsidRDefault="00B53FAF" w:rsidP="00E12802">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1A33D8">
      <w:rPr>
        <w:rFonts w:ascii="Times New Roman" w:hAnsi="Times New Roman" w:cs="Times New Roman"/>
        <w:noProof/>
        <w:sz w:val="20"/>
        <w:szCs w:val="20"/>
      </w:rPr>
      <w:t>September 19, 2018</w:t>
    </w:r>
    <w:r>
      <w:rPr>
        <w:rFonts w:ascii="Times New Roman" w:hAnsi="Times New Roman" w:cs="Times New Roman"/>
        <w:sz w:val="20"/>
        <w:szCs w:val="20"/>
      </w:rPr>
      <w:fldChar w:fldCharType="end"/>
    </w:r>
  </w:p>
  <w:p w:rsidR="0082421C" w:rsidRDefault="0095411C" w:rsidP="00E12802">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E12802" w:rsidRPr="00C54BB6">
      <w:rPr>
        <w:rFonts w:ascii="Times New Roman" w:hAnsi="Times New Roman" w:cs="Times New Roman"/>
        <w:sz w:val="20"/>
        <w:szCs w:val="20"/>
      </w:rPr>
      <w:t>-</w:t>
    </w:r>
    <w:r w:rsidR="001B6E4C">
      <w:rPr>
        <w:rFonts w:ascii="Times New Roman" w:hAnsi="Times New Roman" w:cs="Times New Roman"/>
        <w:sz w:val="20"/>
        <w:szCs w:val="20"/>
      </w:rPr>
      <w:t>41</w:t>
    </w:r>
  </w:p>
  <w:p w:rsidR="00E12802" w:rsidRPr="00B67098" w:rsidRDefault="00E12802" w:rsidP="00E12802">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1A33D8">
      <w:rPr>
        <w:rFonts w:ascii="Times New Roman" w:hAnsi="Times New Roman" w:cs="Times New Roman"/>
        <w:noProof/>
        <w:sz w:val="20"/>
        <w:szCs w:val="20"/>
      </w:rPr>
      <w:t>2</w:t>
    </w:r>
    <w:r w:rsidRPr="00B67098">
      <w:rPr>
        <w:rFonts w:ascii="Times New Roman" w:hAnsi="Times New Roman" w:cs="Times New Roman"/>
        <w:sz w:val="20"/>
        <w:szCs w:val="20"/>
      </w:rPr>
      <w:fldChar w:fldCharType="end"/>
    </w:r>
  </w:p>
  <w:p w:rsidR="0008423C" w:rsidRDefault="0008423C" w:rsidP="00FB3245">
    <w:pPr>
      <w:spacing w:before="120" w:after="0"/>
      <w:ind w:left="655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802" w:rsidRDefault="00E12802" w:rsidP="00E12802">
    <w:pPr>
      <w:pStyle w:val="Header"/>
      <w:ind w:firstLine="61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718"/>
    <w:rsid w:val="00010CB6"/>
    <w:rsid w:val="0008423C"/>
    <w:rsid w:val="000E26AE"/>
    <w:rsid w:val="000E415C"/>
    <w:rsid w:val="000F7D54"/>
    <w:rsid w:val="0012529D"/>
    <w:rsid w:val="00154FD5"/>
    <w:rsid w:val="001977C9"/>
    <w:rsid w:val="001A33D8"/>
    <w:rsid w:val="001B6E4C"/>
    <w:rsid w:val="00204EC5"/>
    <w:rsid w:val="00253701"/>
    <w:rsid w:val="002A4AAF"/>
    <w:rsid w:val="002C0A34"/>
    <w:rsid w:val="002F3EE2"/>
    <w:rsid w:val="00300ACA"/>
    <w:rsid w:val="0031253B"/>
    <w:rsid w:val="00317C2C"/>
    <w:rsid w:val="003244CA"/>
    <w:rsid w:val="003775E4"/>
    <w:rsid w:val="003D40B8"/>
    <w:rsid w:val="003D41A0"/>
    <w:rsid w:val="003F4995"/>
    <w:rsid w:val="004008C0"/>
    <w:rsid w:val="00403B46"/>
    <w:rsid w:val="00412664"/>
    <w:rsid w:val="00415099"/>
    <w:rsid w:val="004965FA"/>
    <w:rsid w:val="004A53F9"/>
    <w:rsid w:val="004B0524"/>
    <w:rsid w:val="004D45EE"/>
    <w:rsid w:val="004D7E5D"/>
    <w:rsid w:val="00543CA2"/>
    <w:rsid w:val="005A08AE"/>
    <w:rsid w:val="005E3020"/>
    <w:rsid w:val="005F3337"/>
    <w:rsid w:val="00682A97"/>
    <w:rsid w:val="006842A0"/>
    <w:rsid w:val="006B3A2F"/>
    <w:rsid w:val="006E7A2A"/>
    <w:rsid w:val="007076E9"/>
    <w:rsid w:val="007958C5"/>
    <w:rsid w:val="007C7601"/>
    <w:rsid w:val="00821537"/>
    <w:rsid w:val="0082421C"/>
    <w:rsid w:val="008321A8"/>
    <w:rsid w:val="0083533B"/>
    <w:rsid w:val="00843B46"/>
    <w:rsid w:val="00846BAF"/>
    <w:rsid w:val="00893E15"/>
    <w:rsid w:val="008B041F"/>
    <w:rsid w:val="008C3F5C"/>
    <w:rsid w:val="009062C7"/>
    <w:rsid w:val="00911131"/>
    <w:rsid w:val="0092623A"/>
    <w:rsid w:val="0095411C"/>
    <w:rsid w:val="0096726E"/>
    <w:rsid w:val="009C31AE"/>
    <w:rsid w:val="009D0582"/>
    <w:rsid w:val="00A5669E"/>
    <w:rsid w:val="00A652E8"/>
    <w:rsid w:val="00AD7CB9"/>
    <w:rsid w:val="00B53FAF"/>
    <w:rsid w:val="00B6532A"/>
    <w:rsid w:val="00B775B3"/>
    <w:rsid w:val="00BF3AF0"/>
    <w:rsid w:val="00C21CE4"/>
    <w:rsid w:val="00C4068B"/>
    <w:rsid w:val="00CA52C3"/>
    <w:rsid w:val="00CA6E45"/>
    <w:rsid w:val="00CB53DA"/>
    <w:rsid w:val="00D0050D"/>
    <w:rsid w:val="00D327C6"/>
    <w:rsid w:val="00D33D5A"/>
    <w:rsid w:val="00D60246"/>
    <w:rsid w:val="00D62B71"/>
    <w:rsid w:val="00D6561E"/>
    <w:rsid w:val="00D70718"/>
    <w:rsid w:val="00D84895"/>
    <w:rsid w:val="00DE34C2"/>
    <w:rsid w:val="00E1206A"/>
    <w:rsid w:val="00E12802"/>
    <w:rsid w:val="00E34482"/>
    <w:rsid w:val="00E74C83"/>
    <w:rsid w:val="00EC432B"/>
    <w:rsid w:val="00F02F13"/>
    <w:rsid w:val="00F20122"/>
    <w:rsid w:val="00F452FD"/>
    <w:rsid w:val="00F86B2E"/>
    <w:rsid w:val="00F93853"/>
    <w:rsid w:val="00FB3245"/>
    <w:rsid w:val="00FF3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EB87398-7BF6-4E4C-8A9C-2A3B7E4D5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71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70718"/>
    <w:rPr>
      <w:color w:val="808080"/>
      <w:spacing w:val="0"/>
      <w:u w:val="single"/>
    </w:rPr>
  </w:style>
  <w:style w:type="character" w:styleId="FollowedHyperlink">
    <w:name w:val="FollowedHyperlink"/>
    <w:basedOn w:val="DefaultParagraphFont"/>
    <w:uiPriority w:val="99"/>
    <w:semiHidden/>
    <w:unhideWhenUsed/>
    <w:rsid w:val="00D70718"/>
    <w:rPr>
      <w:color w:val="954F72" w:themeColor="followedHyperlink"/>
      <w:u w:val="single"/>
    </w:rPr>
  </w:style>
  <w:style w:type="paragraph" w:styleId="NoSpacing">
    <w:name w:val="No Spacing"/>
    <w:uiPriority w:val="1"/>
    <w:qFormat/>
    <w:rsid w:val="0008423C"/>
    <w:pPr>
      <w:spacing w:after="0" w:line="240" w:lineRule="auto"/>
    </w:pPr>
  </w:style>
  <w:style w:type="paragraph" w:styleId="PlainText">
    <w:name w:val="Plain Text"/>
    <w:basedOn w:val="Normal"/>
    <w:link w:val="PlainTextChar"/>
    <w:uiPriority w:val="99"/>
    <w:rsid w:val="0008423C"/>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08423C"/>
    <w:rPr>
      <w:rFonts w:ascii="Calibri" w:hAnsi="Calibri" w:cs="Times New Roman"/>
    </w:rPr>
  </w:style>
  <w:style w:type="paragraph" w:styleId="FootnoteText">
    <w:name w:val="footnote text"/>
    <w:basedOn w:val="Normal"/>
    <w:link w:val="FootnoteTextChar"/>
    <w:rsid w:val="0008423C"/>
    <w:pPr>
      <w:spacing w:after="0" w:line="240" w:lineRule="auto"/>
    </w:pPr>
    <w:rPr>
      <w:sz w:val="20"/>
      <w:szCs w:val="20"/>
    </w:rPr>
  </w:style>
  <w:style w:type="character" w:customStyle="1" w:styleId="FootnoteTextChar">
    <w:name w:val="Footnote Text Char"/>
    <w:basedOn w:val="DefaultParagraphFont"/>
    <w:link w:val="FootnoteText"/>
    <w:rsid w:val="0008423C"/>
    <w:rPr>
      <w:sz w:val="20"/>
      <w:szCs w:val="20"/>
    </w:rPr>
  </w:style>
  <w:style w:type="character" w:styleId="FootnoteReference">
    <w:name w:val="footnote reference"/>
    <w:basedOn w:val="DefaultParagraphFont"/>
    <w:rsid w:val="0008423C"/>
    <w:rPr>
      <w:vertAlign w:val="superscript"/>
    </w:rPr>
  </w:style>
  <w:style w:type="paragraph" w:customStyle="1" w:styleId="Default">
    <w:name w:val="Default"/>
    <w:rsid w:val="0008423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084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23C"/>
  </w:style>
  <w:style w:type="paragraph" w:styleId="Footer">
    <w:name w:val="footer"/>
    <w:basedOn w:val="Normal"/>
    <w:link w:val="FooterChar"/>
    <w:uiPriority w:val="99"/>
    <w:unhideWhenUsed/>
    <w:rsid w:val="00084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23C"/>
  </w:style>
  <w:style w:type="paragraph" w:customStyle="1" w:styleId="LetterheadAddress">
    <w:name w:val="Letterhead Address"/>
    <w:basedOn w:val="Normal"/>
    <w:qFormat/>
    <w:rsid w:val="0008423C"/>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65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nasdaq-futur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nasdaq-futures/nfx-mark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bfc920a2-e8fb-450f-bfdc-b5b29f4cdc20</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2018-09-19T17:59:44+00:00</Document_x0020_Date>
    <Document_x0020_No xmlns="4b47aac5-4c46-444f-8595-ce09b406fc61">41577</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363413-519D-4E83-B9C9-FE3A8464F91A}"/>
</file>

<file path=customXml/itemProps2.xml><?xml version="1.0" encoding="utf-8"?>
<ds:datastoreItem xmlns:ds="http://schemas.openxmlformats.org/officeDocument/2006/customXml" ds:itemID="{1ECBB18B-C3D8-488D-8064-5B7F71B957B8}"/>
</file>

<file path=customXml/itemProps3.xml><?xml version="1.0" encoding="utf-8"?>
<ds:datastoreItem xmlns:ds="http://schemas.openxmlformats.org/officeDocument/2006/customXml" ds:itemID="{742AE1E5-549E-435C-A1FE-DEDA0A41805C}"/>
</file>

<file path=customXml/itemProps4.xml><?xml version="1.0" encoding="utf-8"?>
<ds:datastoreItem xmlns:ds="http://schemas.openxmlformats.org/officeDocument/2006/customXml" ds:itemID="{F9FFD5FC-F5C6-4E6C-B7EB-46125005C678}"/>
</file>

<file path=customXml/itemProps5.xml><?xml version="1.0" encoding="utf-8"?>
<ds:datastoreItem xmlns:ds="http://schemas.openxmlformats.org/officeDocument/2006/customXml" ds:itemID="{B08379C1-7760-4178-8A6C-13013EBB8BF0}"/>
</file>

<file path=docProps/app.xml><?xml version="1.0" encoding="utf-8"?>
<Properties xmlns="http://schemas.openxmlformats.org/officeDocument/2006/extended-properties" xmlns:vt="http://schemas.openxmlformats.org/officeDocument/2006/docPropsVTypes">
  <Template>Normal</Template>
  <TotalTime>4</TotalTime>
  <Pages>2</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subject/>
  <dc:creator>Aravind Menon</dc:creator>
  <cp:keywords/>
  <dc:description/>
  <cp:lastModifiedBy>Janet Chanchal</cp:lastModifiedBy>
  <cp:revision>4</cp:revision>
  <dcterms:created xsi:type="dcterms:W3CDTF">2018-09-18T20:26:00Z</dcterms:created>
  <dcterms:modified xsi:type="dcterms:W3CDTF">2018-09-19T17:41:00Z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_CopySource">
    <vt:lpwstr>\Cftc.gov</vt:lpwstr>
  </property>
  <property fmtid="{D5CDD505-2E9C-101B-9397-08002B2CF9AE}" pid="4" name="Order">
    <vt:r8>5902900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