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EC1F98">
      <w:pPr>
        <w:pStyle w:val="NoSpacing"/>
        <w:jc w:val="center"/>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955F8C" w:rsidRPr="00CF4B16" w:rsidRDefault="00955F8C" w:rsidP="00955F8C">
      <w:pPr>
        <w:pStyle w:val="LetterheadAddress"/>
        <w:jc w:val="right"/>
        <w:rPr>
          <w:sz w:val="20"/>
        </w:rPr>
      </w:pPr>
      <w:r w:rsidRPr="00CF4B16">
        <w:rPr>
          <w:sz w:val="20"/>
        </w:rPr>
        <w:t xml:space="preserve">Nasdaq Futures, </w:t>
      </w:r>
      <w:proofErr w:type="gramStart"/>
      <w:r w:rsidRPr="00CF4B16">
        <w:rPr>
          <w:sz w:val="20"/>
        </w:rPr>
        <w:t>Inc.</w:t>
      </w:r>
      <w:proofErr w:type="gramEnd"/>
    </w:p>
    <w:p w:rsidR="00955F8C" w:rsidRPr="00CF4B16" w:rsidRDefault="00955F8C" w:rsidP="00955F8C">
      <w:pPr>
        <w:pStyle w:val="LetterheadAddress"/>
        <w:jc w:val="right"/>
        <w:rPr>
          <w:sz w:val="20"/>
        </w:rPr>
      </w:pPr>
      <w:r w:rsidRPr="00CF4B16">
        <w:rPr>
          <w:sz w:val="20"/>
        </w:rPr>
        <w:t>1900 Market Street</w:t>
      </w:r>
    </w:p>
    <w:p w:rsidR="00955F8C" w:rsidRPr="00CF4B16" w:rsidRDefault="00955F8C" w:rsidP="00955F8C">
      <w:pPr>
        <w:pStyle w:val="LetterheadAddress"/>
        <w:jc w:val="right"/>
        <w:rPr>
          <w:sz w:val="20"/>
        </w:rPr>
      </w:pPr>
      <w:r w:rsidRPr="00CF4B16">
        <w:rPr>
          <w:sz w:val="20"/>
        </w:rPr>
        <w:t>Philadelphia, PA 19103 / USA</w:t>
      </w:r>
    </w:p>
    <w:p w:rsidR="00955F8C" w:rsidRPr="00CF4B16" w:rsidRDefault="00955F8C" w:rsidP="00955F8C">
      <w:pPr>
        <w:spacing w:before="120" w:after="0"/>
        <w:jc w:val="right"/>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EC1F98" w:rsidRPr="00650B32" w:rsidRDefault="00EC1F98" w:rsidP="00955F8C">
      <w:pPr>
        <w:pStyle w:val="NoSpacing"/>
        <w:jc w:val="right"/>
        <w:rPr>
          <w:rFonts w:ascii="Times New Roman" w:eastAsia="Calibri" w:hAnsi="Times New Roman" w:cs="Times New Roman"/>
          <w:sz w:val="24"/>
          <w:szCs w:val="24"/>
          <w:u w:val="single"/>
        </w:rPr>
      </w:pPr>
    </w:p>
    <w:p w:rsidR="00EC1F98" w:rsidRPr="00DF795B" w:rsidRDefault="001418CB" w:rsidP="00EC1F9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October 7</w:t>
      </w:r>
      <w:r w:rsidR="00352533" w:rsidRPr="00DF795B">
        <w:rPr>
          <w:rFonts w:ascii="Times New Roman" w:eastAsia="Calibri" w:hAnsi="Times New Roman" w:cs="Times New Roman"/>
          <w:sz w:val="24"/>
          <w:szCs w:val="24"/>
        </w:rPr>
        <w:t>, 2016</w:t>
      </w:r>
    </w:p>
    <w:p w:rsidR="00EC1F98" w:rsidRPr="00DF795B" w:rsidRDefault="00EC1F98" w:rsidP="00EC1F98">
      <w:pPr>
        <w:pStyle w:val="NoSpacing"/>
        <w:rPr>
          <w:rFonts w:ascii="Times New Roman" w:eastAsia="Calibri" w:hAnsi="Times New Roman" w:cs="Times New Roman"/>
          <w:sz w:val="24"/>
          <w:szCs w:val="24"/>
        </w:rPr>
      </w:pP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Christopher J. Kirkpatrick</w:t>
      </w:r>
    </w:p>
    <w:p w:rsidR="00197F73" w:rsidRPr="00DF795B" w:rsidRDefault="00197F73"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Office of the Secretariat</w:t>
      </w:r>
    </w:p>
    <w:p w:rsidR="00EC1F98" w:rsidRPr="00DF795B" w:rsidRDefault="00EC1F98" w:rsidP="00197F73">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Commodity Futures Trading Commission</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Three Lafayette Center</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1155 21</w:t>
      </w:r>
      <w:r w:rsidRPr="00DF795B">
        <w:rPr>
          <w:rFonts w:ascii="Times New Roman" w:eastAsia="Calibri" w:hAnsi="Times New Roman" w:cs="Times New Roman"/>
          <w:sz w:val="24"/>
          <w:szCs w:val="24"/>
          <w:vertAlign w:val="superscript"/>
        </w:rPr>
        <w:t>st</w:t>
      </w:r>
      <w:r w:rsidRPr="00DF795B">
        <w:rPr>
          <w:rFonts w:ascii="Times New Roman" w:eastAsia="Calibri" w:hAnsi="Times New Roman" w:cs="Times New Roman"/>
          <w:sz w:val="24"/>
          <w:szCs w:val="24"/>
        </w:rPr>
        <w:t xml:space="preserve"> Street, NW</w:t>
      </w:r>
    </w:p>
    <w:p w:rsidR="00EC1F98" w:rsidRPr="00DF795B" w:rsidRDefault="00EC1F98"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Washington, DC  20581</w:t>
      </w:r>
    </w:p>
    <w:p w:rsidR="00EC1F98" w:rsidRPr="00DF795B" w:rsidRDefault="00EC1F98" w:rsidP="00EC1F98">
      <w:pPr>
        <w:pStyle w:val="NoSpacing"/>
        <w:rPr>
          <w:rFonts w:ascii="Times New Roman" w:eastAsia="Times New Roman" w:hAnsi="Times New Roman" w:cs="Times New Roman"/>
          <w:sz w:val="24"/>
          <w:szCs w:val="24"/>
        </w:rPr>
      </w:pPr>
    </w:p>
    <w:p w:rsidR="00955F8C" w:rsidRPr="00DF795B" w:rsidRDefault="00352533" w:rsidP="00955F8C">
      <w:pPr>
        <w:pStyle w:val="NoSpacing"/>
        <w:ind w:left="720"/>
        <w:rPr>
          <w:rFonts w:ascii="Times New Roman" w:eastAsia="Calibri" w:hAnsi="Times New Roman" w:cs="Times New Roman"/>
          <w:b/>
          <w:sz w:val="24"/>
          <w:szCs w:val="24"/>
        </w:rPr>
      </w:pPr>
      <w:r w:rsidRPr="00DF795B">
        <w:rPr>
          <w:rFonts w:ascii="Times New Roman" w:eastAsia="Calibri" w:hAnsi="Times New Roman" w:cs="Times New Roman"/>
          <w:sz w:val="24"/>
          <w:szCs w:val="24"/>
        </w:rPr>
        <w:t xml:space="preserve">Re:  </w:t>
      </w:r>
      <w:r w:rsidR="00955F8C" w:rsidRPr="00DF795B">
        <w:rPr>
          <w:rFonts w:ascii="Times New Roman" w:eastAsia="Calibri" w:hAnsi="Times New Roman" w:cs="Times New Roman"/>
          <w:b/>
          <w:sz w:val="24"/>
          <w:szCs w:val="24"/>
        </w:rPr>
        <w:t>Rule Certification to</w:t>
      </w:r>
    </w:p>
    <w:p w:rsidR="00955F8C" w:rsidRPr="00DF795B" w:rsidRDefault="00955F8C" w:rsidP="00955F8C">
      <w:pPr>
        <w:tabs>
          <w:tab w:val="left" w:pos="1170"/>
        </w:tabs>
        <w:spacing w:after="0"/>
        <w:ind w:left="90" w:hanging="630"/>
        <w:rPr>
          <w:rFonts w:ascii="Times New Roman" w:eastAsia="Calibri" w:hAnsi="Times New Roman" w:cs="Times New Roman"/>
          <w:b/>
          <w:sz w:val="24"/>
          <w:szCs w:val="24"/>
        </w:rPr>
      </w:pPr>
      <w:r w:rsidRPr="00DF795B">
        <w:rPr>
          <w:rFonts w:ascii="Times New Roman" w:eastAsia="Times New Roman" w:hAnsi="Times New Roman" w:cs="Times New Roman"/>
          <w:b/>
          <w:bCs/>
          <w:sz w:val="24"/>
          <w:szCs w:val="24"/>
        </w:rPr>
        <w:tab/>
      </w:r>
      <w:r w:rsidRPr="00DF795B">
        <w:rPr>
          <w:rFonts w:ascii="Times New Roman" w:eastAsia="Times New Roman" w:hAnsi="Times New Roman" w:cs="Times New Roman"/>
          <w:b/>
          <w:bCs/>
          <w:sz w:val="24"/>
          <w:szCs w:val="24"/>
        </w:rPr>
        <w:tab/>
        <w:t xml:space="preserve">Include </w:t>
      </w:r>
      <w:r w:rsidR="00376EFA">
        <w:rPr>
          <w:rFonts w:ascii="Times New Roman" w:eastAsia="Times New Roman" w:hAnsi="Times New Roman" w:cs="Times New Roman"/>
          <w:b/>
          <w:bCs/>
          <w:sz w:val="24"/>
          <w:szCs w:val="24"/>
        </w:rPr>
        <w:t xml:space="preserve">1st Line Options </w:t>
      </w:r>
      <w:r w:rsidRPr="00DF795B">
        <w:rPr>
          <w:rFonts w:ascii="Times New Roman" w:eastAsia="Times New Roman" w:hAnsi="Times New Roman" w:cs="Times New Roman"/>
          <w:b/>
          <w:bCs/>
          <w:sz w:val="24"/>
          <w:szCs w:val="24"/>
        </w:rPr>
        <w:t xml:space="preserve">in the </w:t>
      </w:r>
      <w:r w:rsidR="00B82EFE" w:rsidRPr="00DF795B">
        <w:rPr>
          <w:rFonts w:ascii="Times New Roman" w:eastAsia="Calibri" w:hAnsi="Times New Roman" w:cs="Times New Roman"/>
          <w:b/>
          <w:sz w:val="24"/>
          <w:szCs w:val="24"/>
        </w:rPr>
        <w:t>Energy Broker Incentive Program</w:t>
      </w:r>
      <w:r w:rsidRPr="00DF795B">
        <w:rPr>
          <w:rFonts w:ascii="Times New Roman" w:eastAsia="Calibri" w:hAnsi="Times New Roman" w:cs="Times New Roman"/>
          <w:b/>
          <w:sz w:val="24"/>
          <w:szCs w:val="24"/>
        </w:rPr>
        <w:t xml:space="preserve"> </w:t>
      </w:r>
    </w:p>
    <w:p w:rsidR="00955F8C" w:rsidRPr="00DF795B" w:rsidRDefault="00955F8C" w:rsidP="00955F8C">
      <w:pPr>
        <w:pStyle w:val="NoSpacing"/>
        <w:ind w:left="720"/>
        <w:rPr>
          <w:rFonts w:ascii="Times New Roman" w:eastAsia="Calibri" w:hAnsi="Times New Roman" w:cs="Times New Roman"/>
          <w:b/>
          <w:sz w:val="24"/>
          <w:szCs w:val="24"/>
          <w:u w:val="single"/>
        </w:rPr>
      </w:pPr>
      <w:r w:rsidRPr="00DF795B">
        <w:rPr>
          <w:rFonts w:ascii="Times New Roman" w:eastAsia="Calibri" w:hAnsi="Times New Roman" w:cs="Times New Roman"/>
          <w:b/>
          <w:sz w:val="24"/>
          <w:szCs w:val="24"/>
        </w:rPr>
        <w:t xml:space="preserve">       </w:t>
      </w:r>
      <w:r w:rsidRPr="00DF795B">
        <w:rPr>
          <w:rFonts w:ascii="Times New Roman" w:eastAsia="Calibri" w:hAnsi="Times New Roman" w:cs="Times New Roman"/>
          <w:b/>
          <w:sz w:val="24"/>
          <w:szCs w:val="24"/>
          <w:u w:val="single"/>
        </w:rPr>
        <w:t>Reference File: SR-NFX-2016-</w:t>
      </w:r>
      <w:r w:rsidR="001418CB">
        <w:rPr>
          <w:rFonts w:ascii="Times New Roman" w:eastAsia="Calibri" w:hAnsi="Times New Roman" w:cs="Times New Roman"/>
          <w:b/>
          <w:sz w:val="24"/>
          <w:szCs w:val="24"/>
          <w:u w:val="single"/>
        </w:rPr>
        <w:t>93</w:t>
      </w:r>
    </w:p>
    <w:p w:rsidR="00EC1F98" w:rsidRPr="00DF795B" w:rsidRDefault="00EC1F98" w:rsidP="00955F8C">
      <w:pPr>
        <w:pStyle w:val="NoSpacing"/>
        <w:ind w:left="720"/>
        <w:rPr>
          <w:rFonts w:ascii="Times New Roman" w:hAnsi="Times New Roman" w:cs="Times New Roman"/>
          <w:b/>
          <w:sz w:val="24"/>
          <w:szCs w:val="24"/>
          <w:u w:val="single"/>
        </w:rPr>
      </w:pPr>
    </w:p>
    <w:p w:rsidR="00EC1F98" w:rsidRPr="00DF795B" w:rsidRDefault="00197F73" w:rsidP="00EC1F98">
      <w:pPr>
        <w:pStyle w:val="NoSpacing"/>
        <w:rPr>
          <w:rFonts w:ascii="Times New Roman" w:eastAsia="Calibri" w:hAnsi="Times New Roman" w:cs="Times New Roman"/>
          <w:sz w:val="24"/>
          <w:szCs w:val="24"/>
        </w:rPr>
      </w:pPr>
      <w:r w:rsidRPr="00DF795B">
        <w:rPr>
          <w:rFonts w:ascii="Times New Roman" w:eastAsia="Calibri" w:hAnsi="Times New Roman" w:cs="Times New Roman"/>
          <w:sz w:val="24"/>
          <w:szCs w:val="24"/>
        </w:rPr>
        <w:t>Dear Mr. Kirkpatrick:</w:t>
      </w:r>
    </w:p>
    <w:p w:rsidR="00EC1F98" w:rsidRPr="00DF795B" w:rsidRDefault="00EC1F98" w:rsidP="00EC1F98">
      <w:pPr>
        <w:pStyle w:val="NoSpacing"/>
        <w:rPr>
          <w:rFonts w:ascii="Times New Roman" w:eastAsia="Calibri" w:hAnsi="Times New Roman" w:cs="Times New Roman"/>
          <w:sz w:val="24"/>
          <w:szCs w:val="24"/>
        </w:rPr>
      </w:pPr>
    </w:p>
    <w:p w:rsidR="007E2958" w:rsidRDefault="00EC1F98" w:rsidP="00DF795B">
      <w:pPr>
        <w:autoSpaceDE w:val="0"/>
        <w:autoSpaceDN w:val="0"/>
        <w:adjustRightInd w:val="0"/>
        <w:spacing w:after="0" w:line="240" w:lineRule="auto"/>
        <w:ind w:firstLine="720"/>
        <w:rPr>
          <w:rFonts w:ascii="Times New Roman" w:hAnsi="Times New Roman" w:cs="Times New Roman"/>
          <w:sz w:val="24"/>
          <w:szCs w:val="24"/>
        </w:rPr>
      </w:pPr>
      <w:r w:rsidRPr="00DF795B">
        <w:rPr>
          <w:rFonts w:ascii="Times New Roman" w:eastAsia="Calibri" w:hAnsi="Times New Roman" w:cs="Times New Roman"/>
          <w:sz w:val="24"/>
          <w:szCs w:val="24"/>
        </w:rPr>
        <w:t>Pursuant to Section 5c(c)(1) of the Commodity Exchange Act, as amended (“</w:t>
      </w:r>
      <w:r w:rsidRPr="00DF795B">
        <w:rPr>
          <w:rFonts w:ascii="Times New Roman" w:eastAsia="Calibri" w:hAnsi="Times New Roman" w:cs="Times New Roman"/>
          <w:sz w:val="24"/>
          <w:szCs w:val="24"/>
          <w:u w:val="single"/>
        </w:rPr>
        <w:t>Act</w:t>
      </w:r>
      <w:r w:rsidRPr="00DF795B">
        <w:rPr>
          <w:rFonts w:ascii="Times New Roman" w:eastAsia="Calibri" w:hAnsi="Times New Roman" w:cs="Times New Roman"/>
          <w:sz w:val="24"/>
          <w:szCs w:val="24"/>
        </w:rPr>
        <w:t xml:space="preserve">”), and Sections </w:t>
      </w:r>
      <w:r w:rsidR="00E453F6" w:rsidRPr="00DF795B">
        <w:rPr>
          <w:rFonts w:ascii="Times New Roman" w:eastAsia="Calibri" w:hAnsi="Times New Roman" w:cs="Times New Roman"/>
          <w:sz w:val="24"/>
          <w:szCs w:val="24"/>
        </w:rPr>
        <w:t xml:space="preserve">40.2 and </w:t>
      </w:r>
      <w:r w:rsidRPr="00DF795B">
        <w:rPr>
          <w:rFonts w:ascii="Times New Roman" w:hAnsi="Times New Roman" w:cs="Times New Roman"/>
          <w:sz w:val="24"/>
          <w:szCs w:val="24"/>
        </w:rPr>
        <w:t xml:space="preserve">40.6 </w:t>
      </w:r>
      <w:r w:rsidRPr="00DF795B">
        <w:rPr>
          <w:rFonts w:ascii="Times New Roman" w:eastAsia="Calibri" w:hAnsi="Times New Roman" w:cs="Times New Roman"/>
          <w:sz w:val="24"/>
          <w:szCs w:val="24"/>
        </w:rPr>
        <w:t xml:space="preserve">of the </w:t>
      </w:r>
      <w:r w:rsidR="006D0516" w:rsidRPr="00DF795B">
        <w:rPr>
          <w:rFonts w:ascii="Times New Roman" w:eastAsia="Calibri" w:hAnsi="Times New Roman" w:cs="Times New Roman"/>
          <w:sz w:val="24"/>
          <w:szCs w:val="24"/>
        </w:rPr>
        <w:t xml:space="preserve">Commission’s </w:t>
      </w:r>
      <w:r w:rsidRPr="00DF795B">
        <w:rPr>
          <w:rFonts w:ascii="Times New Roman" w:eastAsia="Calibri" w:hAnsi="Times New Roman" w:cs="Times New Roman"/>
          <w:sz w:val="24"/>
          <w:szCs w:val="24"/>
        </w:rPr>
        <w:t xml:space="preserve">regulations </w:t>
      </w:r>
      <w:r w:rsidR="006D0516" w:rsidRPr="00DF795B">
        <w:rPr>
          <w:rFonts w:ascii="Times New Roman" w:eastAsia="Calibri" w:hAnsi="Times New Roman" w:cs="Times New Roman"/>
          <w:sz w:val="24"/>
          <w:szCs w:val="24"/>
        </w:rPr>
        <w:t>thereunder,</w:t>
      </w:r>
      <w:r w:rsidRPr="00DF795B">
        <w:rPr>
          <w:rFonts w:ascii="Times New Roman" w:eastAsia="Calibri" w:hAnsi="Times New Roman" w:cs="Times New Roman"/>
          <w:sz w:val="24"/>
          <w:szCs w:val="24"/>
        </w:rPr>
        <w:t xml:space="preserve"> NASDAQ Futures, Inc. (“</w:t>
      </w:r>
      <w:r w:rsidRPr="00DF795B">
        <w:rPr>
          <w:rFonts w:ascii="Times New Roman" w:eastAsia="Calibri" w:hAnsi="Times New Roman" w:cs="Times New Roman"/>
          <w:sz w:val="24"/>
          <w:szCs w:val="24"/>
          <w:u w:val="single"/>
        </w:rPr>
        <w:t>N</w:t>
      </w:r>
      <w:r w:rsidR="0055547F" w:rsidRPr="00DF795B">
        <w:rPr>
          <w:rFonts w:ascii="Times New Roman" w:eastAsia="Calibri" w:hAnsi="Times New Roman" w:cs="Times New Roman"/>
          <w:sz w:val="24"/>
          <w:szCs w:val="24"/>
          <w:u w:val="single"/>
        </w:rPr>
        <w:t>F</w:t>
      </w:r>
      <w:r w:rsidR="00197F73" w:rsidRPr="00DF795B">
        <w:rPr>
          <w:rFonts w:ascii="Times New Roman" w:eastAsia="Calibri" w:hAnsi="Times New Roman" w:cs="Times New Roman"/>
          <w:sz w:val="24"/>
          <w:szCs w:val="24"/>
          <w:u w:val="single"/>
        </w:rPr>
        <w:t>X</w:t>
      </w:r>
      <w:r w:rsidRPr="00DF795B">
        <w:rPr>
          <w:rFonts w:ascii="Times New Roman" w:eastAsia="Calibri" w:hAnsi="Times New Roman" w:cs="Times New Roman"/>
          <w:sz w:val="24"/>
          <w:szCs w:val="24"/>
        </w:rPr>
        <w:t>” or “</w:t>
      </w:r>
      <w:r w:rsidRPr="00DF795B">
        <w:rPr>
          <w:rFonts w:ascii="Times New Roman" w:eastAsia="Calibri" w:hAnsi="Times New Roman" w:cs="Times New Roman"/>
          <w:sz w:val="24"/>
          <w:szCs w:val="24"/>
          <w:u w:val="single"/>
        </w:rPr>
        <w:t>Exchange</w:t>
      </w:r>
      <w:r w:rsidRPr="00DF795B">
        <w:rPr>
          <w:rFonts w:ascii="Times New Roman" w:eastAsia="Calibri" w:hAnsi="Times New Roman" w:cs="Times New Roman"/>
          <w:sz w:val="24"/>
          <w:szCs w:val="24"/>
        </w:rPr>
        <w:t xml:space="preserve">”) </w:t>
      </w:r>
      <w:r w:rsidR="007E2958" w:rsidRPr="00DF795B">
        <w:rPr>
          <w:rFonts w:ascii="Times New Roman" w:eastAsia="Calibri" w:hAnsi="Times New Roman" w:cs="Times New Roman"/>
          <w:sz w:val="24"/>
          <w:szCs w:val="24"/>
        </w:rPr>
        <w:t>is notifying the Commission of an amendment to the Exchange’s broker incentive program (the “</w:t>
      </w:r>
      <w:r w:rsidR="007E2958" w:rsidRPr="00DF795B">
        <w:rPr>
          <w:rFonts w:ascii="Times New Roman" w:eastAsia="Calibri" w:hAnsi="Times New Roman" w:cs="Times New Roman"/>
          <w:sz w:val="24"/>
          <w:szCs w:val="24"/>
          <w:u w:val="single"/>
        </w:rPr>
        <w:t>Energy Broker Incentive Program</w:t>
      </w:r>
      <w:r w:rsidR="007E2958" w:rsidRPr="00DF795B">
        <w:rPr>
          <w:rFonts w:ascii="Times New Roman" w:eastAsia="Calibri" w:hAnsi="Times New Roman" w:cs="Times New Roman"/>
          <w:sz w:val="24"/>
          <w:szCs w:val="24"/>
        </w:rPr>
        <w:t>” or “</w:t>
      </w:r>
      <w:r w:rsidR="007E2958" w:rsidRPr="00DF795B">
        <w:rPr>
          <w:rFonts w:ascii="Times New Roman" w:eastAsia="Calibri" w:hAnsi="Times New Roman" w:cs="Times New Roman"/>
          <w:sz w:val="24"/>
          <w:szCs w:val="24"/>
          <w:u w:val="single"/>
        </w:rPr>
        <w:t>Program</w:t>
      </w:r>
      <w:r w:rsidR="007E2958" w:rsidRPr="00DF795B">
        <w:rPr>
          <w:rFonts w:ascii="Times New Roman" w:eastAsia="Calibri" w:hAnsi="Times New Roman" w:cs="Times New Roman"/>
          <w:sz w:val="24"/>
          <w:szCs w:val="24"/>
        </w:rPr>
        <w:t>”) for certain energy contracts (the “</w:t>
      </w:r>
      <w:r w:rsidR="007E2958" w:rsidRPr="00DF795B">
        <w:rPr>
          <w:rFonts w:ascii="Times New Roman" w:eastAsia="Calibri" w:hAnsi="Times New Roman" w:cs="Times New Roman"/>
          <w:sz w:val="24"/>
          <w:szCs w:val="24"/>
          <w:u w:val="single"/>
        </w:rPr>
        <w:t>Energy Contracts</w:t>
      </w:r>
      <w:r w:rsidR="007E2958" w:rsidRPr="00DF795B">
        <w:rPr>
          <w:rFonts w:ascii="Times New Roman" w:eastAsia="Calibri" w:hAnsi="Times New Roman" w:cs="Times New Roman"/>
          <w:sz w:val="24"/>
          <w:szCs w:val="24"/>
        </w:rPr>
        <w:t>”).</w:t>
      </w:r>
      <w:r w:rsidR="007E2958" w:rsidRPr="00DF795B">
        <w:rPr>
          <w:rStyle w:val="FootnoteReference"/>
          <w:rFonts w:ascii="Times New Roman" w:eastAsia="Calibri" w:hAnsi="Times New Roman" w:cs="Times New Roman"/>
          <w:sz w:val="24"/>
          <w:szCs w:val="24"/>
        </w:rPr>
        <w:footnoteReference w:id="1"/>
      </w:r>
      <w:r w:rsidR="007E2958" w:rsidRPr="00DF795B">
        <w:rPr>
          <w:rFonts w:ascii="Times New Roman" w:eastAsia="Calibri" w:hAnsi="Times New Roman" w:cs="Times New Roman"/>
          <w:sz w:val="24"/>
          <w:szCs w:val="24"/>
        </w:rPr>
        <w:t xml:space="preserve">  The Exchange wishes to include </w:t>
      </w:r>
      <w:r w:rsidR="00213D5A">
        <w:rPr>
          <w:rFonts w:ascii="Times New Roman" w:eastAsia="Calibri" w:hAnsi="Times New Roman" w:cs="Times New Roman"/>
          <w:sz w:val="24"/>
          <w:szCs w:val="24"/>
        </w:rPr>
        <w:t>two</w:t>
      </w:r>
      <w:r w:rsidR="00DF2531" w:rsidRPr="00DF795B">
        <w:rPr>
          <w:rFonts w:ascii="Times New Roman" w:eastAsia="Calibri" w:hAnsi="Times New Roman" w:cs="Times New Roman"/>
          <w:sz w:val="24"/>
          <w:szCs w:val="24"/>
        </w:rPr>
        <w:t xml:space="preserve"> new financially settled </w:t>
      </w:r>
      <w:r w:rsidR="001418CB">
        <w:rPr>
          <w:rFonts w:ascii="Times New Roman" w:eastAsia="Calibri" w:hAnsi="Times New Roman" w:cs="Times New Roman"/>
          <w:sz w:val="24"/>
          <w:szCs w:val="24"/>
        </w:rPr>
        <w:t xml:space="preserve">1st Line Options </w:t>
      </w:r>
      <w:r w:rsidR="00AE5ED0" w:rsidRPr="00DF795B">
        <w:rPr>
          <w:rFonts w:ascii="Times New Roman" w:eastAsia="Times New Roman" w:hAnsi="Times New Roman" w:cs="Times New Roman"/>
          <w:sz w:val="24"/>
          <w:szCs w:val="24"/>
        </w:rPr>
        <w:t>contracts</w:t>
      </w:r>
      <w:r w:rsidR="00C50CD7" w:rsidRPr="00DF795B">
        <w:rPr>
          <w:rFonts w:ascii="Times New Roman" w:hAnsi="Times New Roman"/>
          <w:sz w:val="24"/>
          <w:szCs w:val="24"/>
        </w:rPr>
        <w:t xml:space="preserve"> filed under filing SR-NFX-2016-</w:t>
      </w:r>
      <w:r w:rsidR="001418CB">
        <w:rPr>
          <w:rFonts w:ascii="Times New Roman" w:hAnsi="Times New Roman"/>
          <w:sz w:val="24"/>
          <w:szCs w:val="24"/>
        </w:rPr>
        <w:t>90</w:t>
      </w:r>
      <w:r w:rsidR="007E2958" w:rsidRPr="00DF795B">
        <w:rPr>
          <w:rFonts w:ascii="Times New Roman" w:eastAsia="Calibri" w:hAnsi="Times New Roman" w:cs="Times New Roman"/>
          <w:sz w:val="24"/>
          <w:szCs w:val="24"/>
        </w:rPr>
        <w:t xml:space="preserve"> (the “</w:t>
      </w:r>
      <w:r w:rsidR="001418CB">
        <w:rPr>
          <w:rFonts w:ascii="Times New Roman" w:eastAsia="Calibri" w:hAnsi="Times New Roman" w:cs="Times New Roman"/>
          <w:sz w:val="24"/>
          <w:szCs w:val="24"/>
        </w:rPr>
        <w:t>1st Line Options</w:t>
      </w:r>
      <w:r w:rsidR="007E2958" w:rsidRPr="00DF795B">
        <w:rPr>
          <w:rFonts w:ascii="Times New Roman" w:eastAsia="Calibri" w:hAnsi="Times New Roman" w:cs="Times New Roman"/>
          <w:sz w:val="24"/>
          <w:szCs w:val="24"/>
        </w:rPr>
        <w:t>”) under the Program</w:t>
      </w:r>
      <w:r w:rsidR="00DF2531" w:rsidRPr="00DF795B">
        <w:rPr>
          <w:rFonts w:ascii="Times New Roman" w:eastAsia="Calibri" w:hAnsi="Times New Roman" w:cs="Times New Roman"/>
          <w:sz w:val="24"/>
          <w:szCs w:val="24"/>
        </w:rPr>
        <w:t xml:space="preserve"> as set forth </w:t>
      </w:r>
      <w:r w:rsidR="002E3700" w:rsidRPr="00DF795B">
        <w:rPr>
          <w:rFonts w:ascii="Times New Roman" w:hAnsi="Times New Roman" w:cs="Times New Roman"/>
          <w:sz w:val="24"/>
          <w:szCs w:val="24"/>
        </w:rPr>
        <w:t xml:space="preserve">in </w:t>
      </w:r>
      <w:r w:rsidR="002E3700" w:rsidRPr="00DF795B">
        <w:rPr>
          <w:rFonts w:ascii="Times New Roman" w:hAnsi="Times New Roman" w:cs="Times New Roman"/>
          <w:sz w:val="24"/>
          <w:szCs w:val="24"/>
          <w:u w:val="single"/>
        </w:rPr>
        <w:t>Exhibit 1</w:t>
      </w:r>
      <w:r w:rsidR="002E3700" w:rsidRPr="00DF795B">
        <w:rPr>
          <w:rFonts w:ascii="Times New Roman" w:hAnsi="Times New Roman" w:cs="Times New Roman"/>
          <w:sz w:val="24"/>
          <w:szCs w:val="24"/>
        </w:rPr>
        <w:t>.</w:t>
      </w:r>
    </w:p>
    <w:p w:rsidR="00A87688" w:rsidRDefault="00A87688" w:rsidP="00AE5ED0">
      <w:pPr>
        <w:autoSpaceDE w:val="0"/>
        <w:autoSpaceDN w:val="0"/>
        <w:adjustRightInd w:val="0"/>
        <w:spacing w:after="0" w:line="240" w:lineRule="auto"/>
        <w:rPr>
          <w:rFonts w:ascii="Times New Roman" w:hAnsi="Times New Roman" w:cs="Times New Roman"/>
          <w:sz w:val="24"/>
          <w:szCs w:val="24"/>
        </w:rPr>
      </w:pPr>
    </w:p>
    <w:p w:rsidR="00B56CCC" w:rsidRDefault="007E2958" w:rsidP="00A87688">
      <w:pPr>
        <w:pStyle w:val="NoSpacing"/>
        <w:ind w:firstLine="720"/>
        <w:rPr>
          <w:rFonts w:ascii="Times New Roman" w:hAnsi="Times New Roman" w:cs="Times New Roman"/>
          <w:sz w:val="24"/>
          <w:szCs w:val="24"/>
        </w:rPr>
      </w:pPr>
      <w:r>
        <w:rPr>
          <w:rFonts w:ascii="Times New Roman" w:eastAsia="Calibri" w:hAnsi="Times New Roman" w:cs="Times New Roman"/>
          <w:sz w:val="24"/>
          <w:szCs w:val="24"/>
        </w:rPr>
        <w:t xml:space="preserve">The Program is </w:t>
      </w:r>
      <w:r w:rsidRPr="00A23D65">
        <w:rPr>
          <w:rFonts w:ascii="Times New Roman" w:eastAsia="Calibri" w:hAnsi="Times New Roman" w:cs="Times New Roman"/>
          <w:sz w:val="24"/>
          <w:szCs w:val="24"/>
        </w:rPr>
        <w:t>designed to incentivize Off-Exchange Reporting Brokers (“</w:t>
      </w:r>
      <w:r w:rsidRPr="00A23D65">
        <w:rPr>
          <w:rFonts w:ascii="Times New Roman" w:eastAsia="Calibri" w:hAnsi="Times New Roman" w:cs="Times New Roman"/>
          <w:sz w:val="24"/>
          <w:szCs w:val="24"/>
          <w:u w:val="single"/>
        </w:rPr>
        <w:t>ORBs</w:t>
      </w:r>
      <w:r w:rsidRPr="00A23D65">
        <w:rPr>
          <w:rFonts w:ascii="Times New Roman" w:eastAsia="Calibri" w:hAnsi="Times New Roman" w:cs="Times New Roman"/>
          <w:sz w:val="24"/>
          <w:szCs w:val="24"/>
        </w:rPr>
        <w:t>”) to in</w:t>
      </w:r>
      <w:r>
        <w:rPr>
          <w:rFonts w:ascii="Times New Roman" w:eastAsia="Calibri" w:hAnsi="Times New Roman" w:cs="Times New Roman"/>
          <w:sz w:val="24"/>
          <w:szCs w:val="24"/>
        </w:rPr>
        <w:t>crease their volume in certain Energy C</w:t>
      </w:r>
      <w:r w:rsidRPr="00A23D65">
        <w:rPr>
          <w:rFonts w:ascii="Times New Roman" w:eastAsia="Calibri" w:hAnsi="Times New Roman" w:cs="Times New Roman"/>
          <w:sz w:val="24"/>
          <w:szCs w:val="24"/>
        </w:rPr>
        <w:t xml:space="preserve">ontracts they submit to NFX as </w:t>
      </w:r>
      <w:r>
        <w:rPr>
          <w:rFonts w:ascii="Times New Roman" w:eastAsia="Calibri" w:hAnsi="Times New Roman" w:cs="Times New Roman"/>
          <w:sz w:val="24"/>
          <w:szCs w:val="24"/>
        </w:rPr>
        <w:t>B</w:t>
      </w:r>
      <w:r w:rsidRPr="00A23D65">
        <w:rPr>
          <w:rFonts w:ascii="Times New Roman" w:eastAsia="Calibri" w:hAnsi="Times New Roman" w:cs="Times New Roman"/>
          <w:sz w:val="24"/>
          <w:szCs w:val="24"/>
        </w:rPr>
        <w:t xml:space="preserve">lock </w:t>
      </w:r>
      <w:r>
        <w:rPr>
          <w:rFonts w:ascii="Times New Roman" w:eastAsia="Calibri" w:hAnsi="Times New Roman" w:cs="Times New Roman"/>
          <w:sz w:val="24"/>
          <w:szCs w:val="24"/>
        </w:rPr>
        <w:t>T</w:t>
      </w:r>
      <w:r w:rsidRPr="00A23D65">
        <w:rPr>
          <w:rFonts w:ascii="Times New Roman" w:eastAsia="Calibri" w:hAnsi="Times New Roman" w:cs="Times New Roman"/>
          <w:sz w:val="24"/>
          <w:szCs w:val="24"/>
        </w:rPr>
        <w:t>rades, thereby enhancing market liquidity for these products.</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 xml:space="preserve"> </w:t>
      </w:r>
    </w:p>
    <w:p w:rsidR="00C268B4" w:rsidRDefault="00C268B4" w:rsidP="00A87688">
      <w:pPr>
        <w:pStyle w:val="NoSpacing"/>
        <w:ind w:firstLine="720"/>
        <w:rPr>
          <w:rFonts w:ascii="Times New Roman" w:hAnsi="Times New Roman" w:cs="Times New Roman"/>
          <w:sz w:val="24"/>
          <w:szCs w:val="24"/>
        </w:rPr>
      </w:pPr>
    </w:p>
    <w:p w:rsidR="007E2958" w:rsidRDefault="007E2958" w:rsidP="007E2958">
      <w:pPr>
        <w:pStyle w:val="NoSpacing"/>
        <w:ind w:firstLine="720"/>
        <w:rPr>
          <w:rFonts w:ascii="Times New Roman" w:eastAsia="Calibri" w:hAnsi="Times New Roman" w:cs="Times New Roman"/>
          <w:sz w:val="24"/>
          <w:szCs w:val="24"/>
        </w:rPr>
      </w:pPr>
      <w:r w:rsidRPr="00DF795B">
        <w:rPr>
          <w:rFonts w:ascii="Times New Roman" w:eastAsia="Calibri" w:hAnsi="Times New Roman" w:cs="Times New Roman"/>
          <w:sz w:val="24"/>
          <w:szCs w:val="24"/>
        </w:rPr>
        <w:t xml:space="preserve">The terms and conditions of the Energy Broker Incentive Program are attached hereto as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The amendment in </w:t>
      </w:r>
      <w:r w:rsidRPr="00DF795B">
        <w:rPr>
          <w:rFonts w:ascii="Times New Roman" w:eastAsia="Calibri" w:hAnsi="Times New Roman" w:cs="Times New Roman"/>
          <w:sz w:val="24"/>
          <w:szCs w:val="24"/>
          <w:u w:val="single"/>
        </w:rPr>
        <w:t xml:space="preserve">Exhibit </w:t>
      </w:r>
      <w:r w:rsidR="002E3700" w:rsidRPr="00DF795B">
        <w:rPr>
          <w:rFonts w:ascii="Times New Roman" w:eastAsia="Calibri" w:hAnsi="Times New Roman" w:cs="Times New Roman"/>
          <w:sz w:val="24"/>
          <w:szCs w:val="24"/>
          <w:u w:val="single"/>
        </w:rPr>
        <w:t>1</w:t>
      </w:r>
      <w:r w:rsidRPr="00DF795B">
        <w:rPr>
          <w:rFonts w:ascii="Times New Roman" w:eastAsia="Calibri" w:hAnsi="Times New Roman" w:cs="Times New Roman"/>
          <w:sz w:val="24"/>
          <w:szCs w:val="24"/>
        </w:rPr>
        <w:t xml:space="preserve"> will be implemented on </w:t>
      </w:r>
      <w:r w:rsidR="001418CB">
        <w:rPr>
          <w:rFonts w:ascii="Times New Roman" w:eastAsia="Calibri" w:hAnsi="Times New Roman" w:cs="Times New Roman"/>
          <w:sz w:val="24"/>
          <w:szCs w:val="24"/>
        </w:rPr>
        <w:t>October 25</w:t>
      </w:r>
      <w:r w:rsidRPr="00DF795B">
        <w:rPr>
          <w:rFonts w:ascii="Times New Roman" w:eastAsia="Calibri" w:hAnsi="Times New Roman" w:cs="Times New Roman"/>
          <w:sz w:val="24"/>
          <w:szCs w:val="24"/>
        </w:rPr>
        <w:t>, 2016 and will have the same Program Term as the other Energy Contracts currently in the Program</w:t>
      </w:r>
      <w:r w:rsidR="00E42260" w:rsidRPr="00DF795B">
        <w:rPr>
          <w:rFonts w:ascii="Times New Roman" w:eastAsia="Calibri" w:hAnsi="Times New Roman" w:cs="Times New Roman"/>
          <w:sz w:val="24"/>
          <w:szCs w:val="24"/>
        </w:rPr>
        <w:t xml:space="preserve">, </w:t>
      </w:r>
      <w:r w:rsidRPr="00DF795B">
        <w:rPr>
          <w:rFonts w:ascii="Times New Roman" w:eastAsia="Calibri" w:hAnsi="Times New Roman" w:cs="Times New Roman"/>
          <w:sz w:val="24"/>
          <w:szCs w:val="24"/>
        </w:rPr>
        <w:t>which expires on July 2</w:t>
      </w:r>
      <w:r w:rsidR="00DF2531" w:rsidRPr="00DF795B">
        <w:rPr>
          <w:rFonts w:ascii="Times New Roman" w:eastAsia="Calibri" w:hAnsi="Times New Roman" w:cs="Times New Roman"/>
          <w:sz w:val="24"/>
          <w:szCs w:val="24"/>
        </w:rPr>
        <w:t>3</w:t>
      </w:r>
      <w:r w:rsidRPr="00DF795B">
        <w:rPr>
          <w:rFonts w:ascii="Times New Roman" w:eastAsia="Calibri" w:hAnsi="Times New Roman" w:cs="Times New Roman"/>
          <w:sz w:val="24"/>
          <w:szCs w:val="24"/>
        </w:rPr>
        <w:t>, 201</w:t>
      </w:r>
      <w:r w:rsidR="00DF2531" w:rsidRPr="00DF795B">
        <w:rPr>
          <w:rFonts w:ascii="Times New Roman" w:eastAsia="Calibri" w:hAnsi="Times New Roman" w:cs="Times New Roman"/>
          <w:sz w:val="24"/>
          <w:szCs w:val="24"/>
        </w:rPr>
        <w:t>7</w:t>
      </w:r>
      <w:r w:rsidRPr="00DF795B">
        <w:rPr>
          <w:rFonts w:ascii="Times New Roman" w:eastAsia="Calibri" w:hAnsi="Times New Roman" w:cs="Times New Roman"/>
          <w:sz w:val="24"/>
          <w:szCs w:val="24"/>
        </w:rPr>
        <w:t>.</w:t>
      </w:r>
    </w:p>
    <w:p w:rsidR="007E2958" w:rsidRDefault="007E2958" w:rsidP="007E2958">
      <w:pPr>
        <w:pStyle w:val="NoSpacing"/>
        <w:ind w:firstLine="1310"/>
        <w:rPr>
          <w:rFonts w:ascii="Times New Roman" w:eastAsia="Calibri" w:hAnsi="Times New Roman" w:cs="Times New Roman"/>
          <w:sz w:val="24"/>
          <w:szCs w:val="24"/>
        </w:rPr>
      </w:pPr>
    </w:p>
    <w:p w:rsidR="007E2958" w:rsidRDefault="007E2958" w:rsidP="0044196D">
      <w:pPr>
        <w:pStyle w:val="NoSpacing"/>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Exchange believes that the Program complies with Core Principle 4 (Monitoring of Trading), Core Principle 9 (Execution of Transactions) and Core Principle 12 (Protection of Market Participants).  The Program will not impact order execution priority or otherwise give participants any execution preference or advantage.  The Program will not impact the Exchange’s ability to perform its trade practice and market surveillance obligations under the Act and Exchange staff will monitor trading in the Program’s products to prevent manipulative trading and market abuse.  Additionally, the Exchange has systems to track Program participants’ volume to ensure proper distribution of earned incentives. </w:t>
      </w:r>
      <w:r w:rsidR="00E85C6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Finally, NFX rules include prohibitions against fraudulent, non-competitive, unfair or abusive practices. </w:t>
      </w:r>
      <w:r>
        <w:rPr>
          <w:rFonts w:ascii="Times New Roman" w:eastAsia="Calibri" w:hAnsi="Times New Roman" w:cs="Times New Roman"/>
          <w:sz w:val="24"/>
          <w:szCs w:val="24"/>
        </w:rPr>
        <w:tab/>
      </w:r>
    </w:p>
    <w:p w:rsidR="007E2958" w:rsidRDefault="007E2958" w:rsidP="007E2958">
      <w:pPr>
        <w:pStyle w:val="NoSpacing"/>
        <w:ind w:firstLine="720"/>
        <w:rPr>
          <w:rFonts w:ascii="Times New Roman" w:eastAsia="Calibri" w:hAnsi="Times New Roman" w:cs="Times New Roman"/>
          <w:sz w:val="24"/>
          <w:szCs w:val="24"/>
        </w:rPr>
      </w:pPr>
    </w:p>
    <w:p w:rsidR="007E2958" w:rsidRDefault="007E2958" w:rsidP="007E2958">
      <w:pPr>
        <w:spacing w:after="0" w:line="240" w:lineRule="auto"/>
        <w:ind w:firstLine="720"/>
        <w:rPr>
          <w:rFonts w:ascii="Times New Roman" w:eastAsia="Calibri" w:hAnsi="Times New Roman" w:cs="Times New Roman"/>
          <w:sz w:val="24"/>
          <w:szCs w:val="24"/>
        </w:rPr>
      </w:pPr>
      <w:r w:rsidRPr="00CF3D5C">
        <w:rPr>
          <w:rFonts w:ascii="Times New Roman" w:eastAsia="Calibri" w:hAnsi="Times New Roman" w:cs="Times New Roman"/>
          <w:sz w:val="24"/>
          <w:szCs w:val="24"/>
        </w:rPr>
        <w:t xml:space="preserve">There were no opposing views among the NFX Board of Directors, members or market participants.  The Exchange hereby certifies that the </w:t>
      </w:r>
      <w:r>
        <w:rPr>
          <w:rFonts w:ascii="Times New Roman" w:eastAsia="Calibri" w:hAnsi="Times New Roman" w:cs="Times New Roman"/>
          <w:sz w:val="24"/>
          <w:szCs w:val="24"/>
        </w:rPr>
        <w:t xml:space="preserve">amendment to include the </w:t>
      </w:r>
      <w:r w:rsidR="003F2C96">
        <w:rPr>
          <w:rFonts w:ascii="Times New Roman" w:eastAsia="Calibri" w:hAnsi="Times New Roman" w:cs="Times New Roman"/>
          <w:sz w:val="24"/>
          <w:szCs w:val="24"/>
        </w:rPr>
        <w:t xml:space="preserve">1st Line Options </w:t>
      </w:r>
      <w:r>
        <w:rPr>
          <w:rFonts w:ascii="Times New Roman" w:eastAsia="Calibri" w:hAnsi="Times New Roman" w:cs="Times New Roman"/>
          <w:sz w:val="24"/>
          <w:szCs w:val="24"/>
        </w:rPr>
        <w:t xml:space="preserve">to the </w:t>
      </w:r>
      <w:r w:rsidRPr="00CF3D5C">
        <w:rPr>
          <w:rFonts w:ascii="Times New Roman" w:eastAsia="Calibri" w:hAnsi="Times New Roman" w:cs="Times New Roman"/>
          <w:sz w:val="24"/>
          <w:szCs w:val="24"/>
        </w:rPr>
        <w:t xml:space="preserve">Energy Broker Incentive Program complies with the Commodity Exchange Act and regulations thereunder.  The Exchange also certifies that notice of pending certification and a copy of this submission have been concurrently posted on the Exchange’s website at </w:t>
      </w:r>
      <w:hyperlink r:id="rId11" w:history="1">
        <w:r w:rsidR="00047438">
          <w:rPr>
            <w:rStyle w:val="Hyperlink"/>
            <w:rFonts w:ascii="Times New Roman" w:eastAsia="Calibri" w:hAnsi="Times New Roman" w:cs="Times New Roman"/>
            <w:sz w:val="24"/>
            <w:szCs w:val="24"/>
          </w:rPr>
          <w:t>business.nasdaq.com/futures</w:t>
        </w:r>
      </w:hyperlink>
      <w:r w:rsidRPr="004B563F">
        <w:rPr>
          <w:rFonts w:ascii="Times New Roman" w:hAnsi="Times New Roman" w:cs="Times New Roman"/>
          <w:sz w:val="24"/>
          <w:szCs w:val="24"/>
        </w:rPr>
        <w:t>.</w:t>
      </w:r>
      <w:r w:rsidRPr="004B563F">
        <w:rPr>
          <w:rFonts w:ascii="Times New Roman" w:eastAsia="Calibri" w:hAnsi="Times New Roman" w:cs="Times New Roman"/>
          <w:sz w:val="24"/>
          <w:szCs w:val="24"/>
        </w:rPr>
        <w:t xml:space="preserve">  </w:t>
      </w:r>
    </w:p>
    <w:p w:rsidR="007E2958" w:rsidRPr="00CF3D5C" w:rsidRDefault="007E2958" w:rsidP="007E2958">
      <w:pPr>
        <w:spacing w:after="0" w:line="240" w:lineRule="auto"/>
        <w:ind w:firstLine="720"/>
        <w:rPr>
          <w:rFonts w:ascii="Times New Roman" w:hAnsi="Times New Roman" w:cs="Times New Roman"/>
          <w:sz w:val="24"/>
          <w:szCs w:val="24"/>
        </w:rPr>
      </w:pPr>
    </w:p>
    <w:p w:rsidR="007E2958" w:rsidRPr="004B563F" w:rsidRDefault="007E2958" w:rsidP="007E2958">
      <w:pPr>
        <w:spacing w:line="240" w:lineRule="auto"/>
        <w:ind w:firstLine="720"/>
        <w:rPr>
          <w:rFonts w:ascii="Times New Roman" w:hAnsi="Times New Roman" w:cs="Times New Roman"/>
          <w:sz w:val="24"/>
          <w:szCs w:val="24"/>
        </w:rPr>
      </w:pPr>
      <w:r w:rsidRPr="004B563F">
        <w:rPr>
          <w:rFonts w:ascii="Times New Roman" w:hAnsi="Times New Roman" w:cs="Times New Roman"/>
          <w:sz w:val="24"/>
          <w:szCs w:val="24"/>
        </w:rPr>
        <w:t xml:space="preserve">If you require any additional information regarding the submission, please contact </w:t>
      </w:r>
      <w:r w:rsidR="0044196D">
        <w:rPr>
          <w:rStyle w:val="Hyperlink"/>
          <w:rFonts w:ascii="Times New Roman" w:hAnsi="Times New Roman" w:cs="Times New Roman"/>
          <w:color w:val="auto"/>
          <w:sz w:val="24"/>
          <w:szCs w:val="24"/>
          <w:u w:val="none"/>
        </w:rPr>
        <w:t>Aravind Menon</w:t>
      </w:r>
      <w:r>
        <w:rPr>
          <w:rFonts w:ascii="Times New Roman" w:hAnsi="Times New Roman" w:cs="Times New Roman"/>
          <w:sz w:val="24"/>
          <w:szCs w:val="24"/>
        </w:rPr>
        <w:t xml:space="preserve"> at +1 301 978 84</w:t>
      </w:r>
      <w:r w:rsidR="0044196D">
        <w:rPr>
          <w:rFonts w:ascii="Times New Roman" w:hAnsi="Times New Roman" w:cs="Times New Roman"/>
          <w:sz w:val="24"/>
          <w:szCs w:val="24"/>
        </w:rPr>
        <w:t>16</w:t>
      </w:r>
      <w:r>
        <w:rPr>
          <w:rFonts w:ascii="Times New Roman" w:hAnsi="Times New Roman" w:cs="Times New Roman"/>
          <w:sz w:val="24"/>
          <w:szCs w:val="24"/>
        </w:rPr>
        <w:t xml:space="preserve"> or via e-mail at </w:t>
      </w:r>
      <w:r w:rsidR="0044196D">
        <w:rPr>
          <w:rFonts w:ascii="Times New Roman" w:hAnsi="Times New Roman" w:cs="Times New Roman"/>
          <w:sz w:val="24"/>
          <w:szCs w:val="24"/>
          <w:u w:val="single"/>
        </w:rPr>
        <w:t>aravind.menon</w:t>
      </w:r>
      <w:r w:rsidRPr="00F617CF">
        <w:rPr>
          <w:rFonts w:ascii="Times New Roman" w:hAnsi="Times New Roman" w:cs="Times New Roman"/>
          <w:sz w:val="24"/>
          <w:szCs w:val="24"/>
          <w:u w:val="single"/>
        </w:rPr>
        <w:t>@nasdaq.com</w:t>
      </w:r>
      <w:r w:rsidRPr="004B563F">
        <w:rPr>
          <w:rFonts w:ascii="Times New Roman" w:hAnsi="Times New Roman" w:cs="Times New Roman"/>
          <w:sz w:val="24"/>
          <w:szCs w:val="24"/>
        </w:rPr>
        <w:t xml:space="preserve">.  </w:t>
      </w:r>
      <w:r w:rsidRPr="00CF3D5C">
        <w:rPr>
          <w:rFonts w:ascii="Times New Roman" w:hAnsi="Times New Roman" w:cs="Times New Roman"/>
          <w:sz w:val="24"/>
          <w:szCs w:val="24"/>
        </w:rPr>
        <w:t xml:space="preserve">Please reference </w:t>
      </w:r>
      <w:r w:rsidRPr="00DF795B">
        <w:rPr>
          <w:rFonts w:ascii="Times New Roman" w:hAnsi="Times New Roman" w:cs="Times New Roman"/>
          <w:sz w:val="24"/>
          <w:szCs w:val="24"/>
        </w:rPr>
        <w:t>SR-NFX-2016-</w:t>
      </w:r>
      <w:r w:rsidR="0044196D">
        <w:rPr>
          <w:rFonts w:ascii="Times New Roman" w:hAnsi="Times New Roman" w:cs="Times New Roman"/>
          <w:sz w:val="24"/>
          <w:szCs w:val="24"/>
        </w:rPr>
        <w:t>93</w:t>
      </w:r>
      <w:r w:rsidRPr="00DF795B">
        <w:rPr>
          <w:rFonts w:ascii="Times New Roman" w:hAnsi="Times New Roman" w:cs="Times New Roman"/>
          <w:sz w:val="24"/>
          <w:szCs w:val="24"/>
        </w:rPr>
        <w:t xml:space="preserve"> in</w:t>
      </w:r>
      <w:r w:rsidRPr="004B563F">
        <w:rPr>
          <w:rFonts w:ascii="Times New Roman" w:hAnsi="Times New Roman" w:cs="Times New Roman"/>
          <w:sz w:val="24"/>
          <w:szCs w:val="24"/>
        </w:rPr>
        <w:t xml:space="preserve"> any related correspondence.</w:t>
      </w:r>
    </w:p>
    <w:p w:rsidR="007E2958" w:rsidRPr="00650B32" w:rsidRDefault="007E2958" w:rsidP="007E2958">
      <w:pPr>
        <w:pStyle w:val="NoSpacing"/>
        <w:keepNext/>
        <w:rPr>
          <w:rFonts w:ascii="Times New Roman" w:eastAsia="Times New Roman" w:hAnsi="Times New Roman" w:cs="Times New Roman"/>
          <w:sz w:val="24"/>
          <w:szCs w:val="24"/>
        </w:rPr>
      </w:pPr>
    </w:p>
    <w:p w:rsidR="007E2958" w:rsidRPr="00650B32" w:rsidRDefault="007E2958" w:rsidP="007E2958">
      <w:pPr>
        <w:pStyle w:val="NoSpacing"/>
        <w:keepNext/>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6E983EAE" wp14:editId="61A97D50">
            <wp:simplePos x="0" y="0"/>
            <wp:positionH relativeFrom="column">
              <wp:posOffset>2131695</wp:posOffset>
            </wp:positionH>
            <wp:positionV relativeFrom="paragraph">
              <wp:posOffset>123825</wp:posOffset>
            </wp:positionV>
            <wp:extent cx="244792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47925" cy="638175"/>
                    </a:xfrm>
                    <a:prstGeom prst="rect">
                      <a:avLst/>
                    </a:prstGeom>
                    <a:noFill/>
                    <a:ln w="9525">
                      <a:noFill/>
                      <a:miter lim="800000"/>
                      <a:headEnd/>
                      <a:tailEnd/>
                    </a:ln>
                  </pic:spPr>
                </pic:pic>
              </a:graphicData>
            </a:graphic>
            <wp14:sizeRelH relativeFrom="margin">
              <wp14:pctWidth>0</wp14:pctWidth>
            </wp14:sizeRelH>
          </wp:anchor>
        </w:drawing>
      </w:r>
    </w:p>
    <w:p w:rsidR="007E2958" w:rsidRPr="00650B32"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Regards,</w:t>
      </w:r>
    </w:p>
    <w:p w:rsidR="007E2958" w:rsidRDefault="007E2958" w:rsidP="007E2958">
      <w:pPr>
        <w:pStyle w:val="NoSpacing"/>
        <w:keepNext/>
        <w:ind w:left="2880" w:firstLine="720"/>
      </w:pPr>
    </w:p>
    <w:p w:rsidR="007E2958" w:rsidRPr="00650B32" w:rsidRDefault="007E2958" w:rsidP="007E2958">
      <w:pPr>
        <w:pStyle w:val="NoSpacing"/>
        <w:keepNext/>
        <w:ind w:left="2880" w:firstLine="720"/>
        <w:rPr>
          <w:rFonts w:ascii="Times New Roman" w:eastAsia="Calibri" w:hAnsi="Times New Roman" w:cs="Times New Roman"/>
          <w:sz w:val="24"/>
          <w:szCs w:val="24"/>
        </w:rPr>
      </w:pPr>
    </w:p>
    <w:p w:rsidR="007E2958" w:rsidRDefault="007E2958" w:rsidP="007E2958">
      <w:pPr>
        <w:pStyle w:val="NoSpacing"/>
        <w:keepNext/>
        <w:ind w:left="2880" w:firstLine="720"/>
        <w:rPr>
          <w:rFonts w:ascii="Times New Roman" w:eastAsia="Calibri" w:hAnsi="Times New Roman" w:cs="Times New Roman"/>
          <w:sz w:val="24"/>
          <w:szCs w:val="24"/>
        </w:rPr>
      </w:pPr>
      <w:r w:rsidRPr="00650B32">
        <w:rPr>
          <w:rFonts w:ascii="Times New Roman" w:eastAsia="Calibri" w:hAnsi="Times New Roman" w:cs="Times New Roman"/>
          <w:sz w:val="24"/>
          <w:szCs w:val="24"/>
        </w:rPr>
        <w:t>Daniel R. Carrigan</w:t>
      </w:r>
    </w:p>
    <w:p w:rsidR="007E2958" w:rsidRPr="00650B32" w:rsidRDefault="007E2958" w:rsidP="007E2958">
      <w:pPr>
        <w:pStyle w:val="NoSpacing"/>
        <w:ind w:left="2880" w:firstLine="720"/>
        <w:rPr>
          <w:rFonts w:ascii="Times New Roman" w:eastAsia="Calibri" w:hAnsi="Times New Roman" w:cs="Times New Roman"/>
          <w:sz w:val="24"/>
          <w:szCs w:val="24"/>
        </w:rPr>
      </w:pPr>
      <w:r>
        <w:rPr>
          <w:rFonts w:ascii="Times New Roman" w:eastAsia="Calibri" w:hAnsi="Times New Roman" w:cs="Times New Roman"/>
          <w:sz w:val="24"/>
          <w:szCs w:val="24"/>
        </w:rPr>
        <w:t>President</w:t>
      </w:r>
    </w:p>
    <w:p w:rsidR="007E2958" w:rsidRPr="00650B32" w:rsidRDefault="007E2958" w:rsidP="007E2958">
      <w:pPr>
        <w:pStyle w:val="NoSpacing"/>
        <w:rPr>
          <w:rFonts w:ascii="Times New Roman" w:eastAsia="Calibri" w:hAnsi="Times New Roman" w:cs="Times New Roman"/>
          <w:sz w:val="24"/>
          <w:szCs w:val="24"/>
        </w:rPr>
      </w:pPr>
    </w:p>
    <w:p w:rsidR="007E2958" w:rsidRDefault="007E2958" w:rsidP="007E2958">
      <w:pPr>
        <w:spacing w:after="0" w:line="240" w:lineRule="auto"/>
        <w:rPr>
          <w:rFonts w:ascii="Times New Roman" w:eastAsia="Calibri" w:hAnsi="Times New Roman" w:cs="Times New Roman"/>
          <w:sz w:val="24"/>
          <w:szCs w:val="24"/>
        </w:rPr>
      </w:pPr>
    </w:p>
    <w:p w:rsidR="007E2958" w:rsidRDefault="007E2958" w:rsidP="007E2958">
      <w:pPr>
        <w:spacing w:after="0" w:line="240" w:lineRule="auto"/>
        <w:rPr>
          <w:rFonts w:ascii="Times New Roman" w:hAnsi="Times New Roman" w:cs="Times New Roman"/>
          <w:sz w:val="24"/>
          <w:szCs w:val="24"/>
        </w:rPr>
      </w:pPr>
      <w:r w:rsidRPr="00E67374">
        <w:rPr>
          <w:rFonts w:ascii="Times New Roman" w:hAnsi="Times New Roman" w:cs="Times New Roman"/>
          <w:sz w:val="24"/>
          <w:szCs w:val="24"/>
        </w:rPr>
        <w:t>A</w:t>
      </w:r>
      <w:r>
        <w:rPr>
          <w:rFonts w:ascii="Times New Roman" w:hAnsi="Times New Roman" w:cs="Times New Roman"/>
          <w:sz w:val="24"/>
          <w:szCs w:val="24"/>
        </w:rPr>
        <w:t xml:space="preserve">ttachment: </w:t>
      </w:r>
    </w:p>
    <w:p w:rsidR="007E2958" w:rsidRDefault="007E2958" w:rsidP="007E2958">
      <w:pPr>
        <w:spacing w:after="0" w:line="240" w:lineRule="auto"/>
        <w:rPr>
          <w:rFonts w:ascii="Times New Roman" w:hAnsi="Times New Roman" w:cs="Times New Roman"/>
          <w:sz w:val="24"/>
          <w:szCs w:val="24"/>
        </w:rPr>
      </w:pPr>
    </w:p>
    <w:p w:rsidR="007E2958" w:rsidRPr="0050746F" w:rsidRDefault="007E2958" w:rsidP="007E2958">
      <w:pPr>
        <w:spacing w:after="0" w:line="240" w:lineRule="auto"/>
        <w:rPr>
          <w:rFonts w:ascii="Times New Roman" w:eastAsia="Calibri" w:hAnsi="Times New Roman" w:cs="Times New Roman"/>
          <w:sz w:val="24"/>
          <w:szCs w:val="24"/>
        </w:rPr>
      </w:pPr>
      <w:r w:rsidRPr="000A0FF7">
        <w:rPr>
          <w:rFonts w:ascii="Times New Roman" w:hAnsi="Times New Roman" w:cs="Times New Roman"/>
          <w:sz w:val="24"/>
          <w:szCs w:val="24"/>
          <w:u w:val="single"/>
        </w:rPr>
        <w:t>Exhibit 1</w:t>
      </w:r>
      <w:r>
        <w:rPr>
          <w:rFonts w:ascii="Times New Roman" w:hAnsi="Times New Roman" w:cs="Times New Roman"/>
          <w:sz w:val="24"/>
          <w:szCs w:val="24"/>
        </w:rPr>
        <w:t>:</w:t>
      </w:r>
      <w:r>
        <w:rPr>
          <w:rFonts w:ascii="Times New Roman" w:hAnsi="Times New Roman" w:cs="Times New Roman"/>
          <w:sz w:val="24"/>
          <w:szCs w:val="24"/>
        </w:rPr>
        <w:tab/>
        <w:t xml:space="preserve"> Amendment to </w:t>
      </w:r>
      <w:r w:rsidRPr="0050746F">
        <w:rPr>
          <w:rFonts w:ascii="Times New Roman" w:eastAsia="Calibri" w:hAnsi="Times New Roman" w:cs="Times New Roman"/>
          <w:sz w:val="24"/>
          <w:szCs w:val="24"/>
        </w:rPr>
        <w:t>Energy Broker Incentive Program</w:t>
      </w:r>
    </w:p>
    <w:p w:rsidR="005444C0" w:rsidRDefault="005444C0" w:rsidP="007E2958">
      <w:pPr>
        <w:spacing w:after="0" w:line="240" w:lineRule="auto"/>
      </w:pPr>
    </w:p>
    <w:p w:rsidR="00DF795B" w:rsidRDefault="00DF795B">
      <w:pPr>
        <w:spacing w:after="0" w:line="240" w:lineRule="auto"/>
      </w:pPr>
      <w:r>
        <w:br w:type="page"/>
      </w:r>
    </w:p>
    <w:p w:rsidR="005D7C24" w:rsidRPr="00BD2799" w:rsidRDefault="005D7C24" w:rsidP="005D7C2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Exhibit </w:t>
      </w:r>
      <w:r w:rsidRPr="00DA063E">
        <w:rPr>
          <w:rFonts w:ascii="Times New Roman" w:hAnsi="Times New Roman" w:cs="Times New Roman"/>
          <w:b/>
          <w:sz w:val="24"/>
          <w:szCs w:val="24"/>
          <w:u w:val="single"/>
        </w:rPr>
        <w:t xml:space="preserve">1 </w:t>
      </w:r>
      <w:r w:rsidRPr="00F83BFF">
        <w:rPr>
          <w:rFonts w:ascii="Times New Roman" w:hAnsi="Times New Roman" w:cs="Times New Roman"/>
          <w:b/>
          <w:sz w:val="24"/>
          <w:szCs w:val="24"/>
          <w:u w:val="single"/>
        </w:rPr>
        <w:t>to SR-NFX-2016-</w:t>
      </w:r>
      <w:r w:rsidR="00DF4F89">
        <w:rPr>
          <w:rFonts w:ascii="Times New Roman" w:hAnsi="Times New Roman" w:cs="Times New Roman"/>
          <w:b/>
          <w:sz w:val="24"/>
          <w:szCs w:val="24"/>
          <w:u w:val="single"/>
        </w:rPr>
        <w:t>93</w:t>
      </w:r>
    </w:p>
    <w:p w:rsidR="005D7C24" w:rsidRPr="000C4580" w:rsidRDefault="005D7C24" w:rsidP="005D7C24">
      <w:pPr>
        <w:spacing w:after="0" w:line="240" w:lineRule="auto"/>
        <w:ind w:left="2620" w:firstLine="1310"/>
        <w:rPr>
          <w:rFonts w:ascii="Times New Roman" w:eastAsia="Calibri" w:hAnsi="Times New Roman" w:cs="Times New Roman"/>
          <w:b/>
          <w:sz w:val="24"/>
          <w:szCs w:val="24"/>
          <w:u w:val="single"/>
        </w:rPr>
      </w:pPr>
      <w:r w:rsidRPr="000C4580">
        <w:rPr>
          <w:rFonts w:ascii="Times New Roman" w:eastAsia="Calibri" w:hAnsi="Times New Roman" w:cs="Times New Roman"/>
          <w:b/>
          <w:sz w:val="24"/>
          <w:szCs w:val="24"/>
          <w:u w:val="single"/>
        </w:rPr>
        <w:t xml:space="preserve">  </w:t>
      </w:r>
    </w:p>
    <w:p w:rsidR="005D7C24" w:rsidRPr="004B563F" w:rsidRDefault="005D7C24" w:rsidP="005D7C24">
      <w:pPr>
        <w:spacing w:after="0" w:line="240" w:lineRule="auto"/>
        <w:rPr>
          <w:rFonts w:ascii="Times New Roman" w:eastAsia="Calibri" w:hAnsi="Times New Roman" w:cs="Times New Roman"/>
          <w:i/>
          <w:sz w:val="24"/>
          <w:szCs w:val="24"/>
          <w:u w:val="single"/>
        </w:rPr>
      </w:pPr>
      <w:r w:rsidRPr="004B563F">
        <w:rPr>
          <w:rFonts w:ascii="Times New Roman" w:eastAsia="Calibri" w:hAnsi="Times New Roman" w:cs="Times New Roman"/>
          <w:i/>
          <w:sz w:val="24"/>
          <w:szCs w:val="24"/>
          <w:u w:val="single"/>
        </w:rPr>
        <w:t>New text is underlined</w:t>
      </w:r>
      <w:r>
        <w:rPr>
          <w:rFonts w:ascii="Times New Roman" w:eastAsia="Calibri" w:hAnsi="Times New Roman" w:cs="Times New Roman"/>
          <w:i/>
          <w:sz w:val="24"/>
          <w:szCs w:val="24"/>
          <w:u w:val="single"/>
        </w:rPr>
        <w:t>; deleted text is stricken</w:t>
      </w:r>
    </w:p>
    <w:p w:rsidR="005D7C24" w:rsidRDefault="005D7C24" w:rsidP="005D7C24">
      <w:pPr>
        <w:spacing w:after="0" w:line="240" w:lineRule="auto"/>
        <w:ind w:left="1310" w:firstLine="1310"/>
        <w:rPr>
          <w:rFonts w:ascii="Times New Roman" w:eastAsia="Calibri" w:hAnsi="Times New Roman" w:cs="Times New Roman"/>
          <w:b/>
          <w:sz w:val="24"/>
          <w:szCs w:val="24"/>
        </w:rPr>
      </w:pPr>
    </w:p>
    <w:p w:rsidR="005D7C24" w:rsidRPr="004B563F" w:rsidRDefault="005D7C24" w:rsidP="005D7C24">
      <w:pPr>
        <w:spacing w:after="0" w:line="240" w:lineRule="auto"/>
        <w:ind w:left="1310" w:firstLine="1310"/>
        <w:rPr>
          <w:rFonts w:ascii="Times New Roman" w:eastAsia="Calibri" w:hAnsi="Times New Roman" w:cs="Times New Roman"/>
          <w:b/>
          <w:sz w:val="24"/>
          <w:szCs w:val="24"/>
        </w:rPr>
      </w:pPr>
      <w:r w:rsidRPr="004B563F">
        <w:rPr>
          <w:rFonts w:ascii="Times New Roman" w:eastAsia="Calibri" w:hAnsi="Times New Roman" w:cs="Times New Roman"/>
          <w:b/>
          <w:sz w:val="24"/>
          <w:szCs w:val="24"/>
        </w:rPr>
        <w:t>Energy Broker Incentive Program</w:t>
      </w:r>
    </w:p>
    <w:p w:rsidR="005D7C24" w:rsidRDefault="005D7C24" w:rsidP="005D7C24">
      <w:pPr>
        <w:spacing w:after="0" w:line="240" w:lineRule="auto"/>
        <w:rPr>
          <w:rFonts w:ascii="Times New Roman" w:eastAsia="Calibri" w:hAnsi="Times New Roman" w:cs="Times New Roman"/>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Program Purpose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B563F"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 xml:space="preserve">The purpose of the Energy Broker Incentive Program (the “Program”) is to incentivize Off-Exchange Reporting Brokers (“ORBs”) to increase their volume they submit to NFX as </w:t>
      </w:r>
      <w:r w:rsidRPr="00222995">
        <w:rPr>
          <w:rFonts w:ascii="Times New Roman" w:eastAsia="Calibri" w:hAnsi="Times New Roman" w:cs="Times New Roman"/>
          <w:sz w:val="24"/>
          <w:szCs w:val="24"/>
        </w:rPr>
        <w:t>B</w:t>
      </w:r>
      <w:r>
        <w:rPr>
          <w:rFonts w:ascii="Times New Roman" w:eastAsia="Calibri" w:hAnsi="Times New Roman" w:cs="Times New Roman"/>
          <w:sz w:val="24"/>
          <w:szCs w:val="24"/>
        </w:rPr>
        <w:t xml:space="preserve">lock </w:t>
      </w:r>
      <w:r w:rsidRPr="00222995">
        <w:rPr>
          <w:rFonts w:ascii="Times New Roman" w:eastAsia="Calibri" w:hAnsi="Times New Roman" w:cs="Times New Roman"/>
          <w:sz w:val="24"/>
          <w:szCs w:val="24"/>
        </w:rPr>
        <w:t>T</w:t>
      </w:r>
      <w:r>
        <w:rPr>
          <w:rFonts w:ascii="Times New Roman" w:eastAsia="Calibri" w:hAnsi="Times New Roman" w:cs="Times New Roman"/>
          <w:sz w:val="24"/>
          <w:szCs w:val="24"/>
        </w:rPr>
        <w:t xml:space="preserve">rades </w:t>
      </w:r>
      <w:r w:rsidRPr="004B563F">
        <w:rPr>
          <w:rFonts w:ascii="Times New Roman" w:eastAsia="Calibri" w:hAnsi="Times New Roman" w:cs="Times New Roman"/>
          <w:sz w:val="24"/>
          <w:szCs w:val="24"/>
        </w:rPr>
        <w:t xml:space="preserve">via NasdaQ-Port in the energy products listed below.  The resulting additional liquidity should benefit all participants in the market.    </w:t>
      </w:r>
    </w:p>
    <w:p w:rsidR="005D7C24" w:rsidRPr="004B563F" w:rsidRDefault="005D7C24" w:rsidP="005D7C24">
      <w:pPr>
        <w:spacing w:after="0" w:line="240" w:lineRule="auto"/>
        <w:rPr>
          <w:rFonts w:ascii="Times New Roman" w:eastAsia="Calibri" w:hAnsi="Times New Roman" w:cs="Times New Roman"/>
          <w:b/>
          <w:sz w:val="24"/>
          <w:szCs w:val="24"/>
        </w:rPr>
      </w:pPr>
    </w:p>
    <w:p w:rsidR="005D7C24" w:rsidRPr="00CB0718" w:rsidRDefault="005D7C24" w:rsidP="005D7C24">
      <w:pPr>
        <w:spacing w:after="0" w:line="240" w:lineRule="auto"/>
        <w:rPr>
          <w:rFonts w:ascii="Times New Roman" w:eastAsia="Calibri" w:hAnsi="Times New Roman" w:cs="Times New Roman"/>
          <w:b/>
          <w:sz w:val="24"/>
          <w:szCs w:val="24"/>
          <w:u w:val="single"/>
        </w:rPr>
      </w:pPr>
      <w:r w:rsidRPr="00CB0718">
        <w:rPr>
          <w:rFonts w:ascii="Times New Roman" w:eastAsia="Calibri" w:hAnsi="Times New Roman" w:cs="Times New Roman"/>
          <w:b/>
          <w:sz w:val="24"/>
          <w:szCs w:val="24"/>
          <w:u w:val="single"/>
        </w:rPr>
        <w:t>Product Scope</w:t>
      </w:r>
    </w:p>
    <w:p w:rsidR="005D7C24" w:rsidRPr="004B563F" w:rsidRDefault="005D7C24" w:rsidP="005D7C24">
      <w:pPr>
        <w:spacing w:after="0" w:line="240" w:lineRule="auto"/>
        <w:rPr>
          <w:rFonts w:ascii="Times New Roman" w:eastAsia="Calibri" w:hAnsi="Times New Roman" w:cs="Times New Roman"/>
          <w:sz w:val="24"/>
          <w:szCs w:val="24"/>
        </w:rPr>
      </w:pPr>
    </w:p>
    <w:p w:rsidR="005D7C24" w:rsidRPr="00431495" w:rsidRDefault="005D7C24" w:rsidP="005D7C24">
      <w:pPr>
        <w:spacing w:after="0" w:line="240" w:lineRule="auto"/>
        <w:rPr>
          <w:rFonts w:ascii="Times New Roman" w:eastAsia="Calibri" w:hAnsi="Times New Roman" w:cs="Times New Roman"/>
          <w:sz w:val="24"/>
          <w:szCs w:val="24"/>
        </w:rPr>
      </w:pPr>
      <w:r w:rsidRPr="004B563F">
        <w:rPr>
          <w:rFonts w:ascii="Times New Roman" w:eastAsia="Calibri" w:hAnsi="Times New Roman" w:cs="Times New Roman"/>
          <w:sz w:val="24"/>
          <w:szCs w:val="24"/>
        </w:rPr>
        <w:t xml:space="preserve">The following energy products (“Products”) that are submitted for clearing by ORBs via </w:t>
      </w:r>
      <w:proofErr w:type="spellStart"/>
      <w:r w:rsidRPr="004B563F">
        <w:rPr>
          <w:rFonts w:ascii="Times New Roman" w:eastAsia="Calibri" w:hAnsi="Times New Roman" w:cs="Times New Roman"/>
          <w:sz w:val="24"/>
          <w:szCs w:val="24"/>
        </w:rPr>
        <w:t>NasdaQ</w:t>
      </w:r>
      <w:proofErr w:type="spellEnd"/>
      <w:r w:rsidRPr="004B563F">
        <w:rPr>
          <w:rFonts w:ascii="Times New Roman" w:eastAsia="Calibri" w:hAnsi="Times New Roman" w:cs="Times New Roman"/>
          <w:sz w:val="24"/>
          <w:szCs w:val="24"/>
        </w:rPr>
        <w:t xml:space="preserve">-Port </w:t>
      </w:r>
      <w:proofErr w:type="spellStart"/>
      <w:r w:rsidRPr="00E57FB8">
        <w:rPr>
          <w:rFonts w:ascii="Times New Roman" w:eastAsia="Calibri" w:hAnsi="Times New Roman" w:cs="Times New Roman"/>
          <w:sz w:val="24"/>
          <w:szCs w:val="24"/>
        </w:rPr>
        <w:t>a</w:t>
      </w:r>
      <w:r w:rsidR="00BB1695" w:rsidRPr="00E57FB8">
        <w:rPr>
          <w:rFonts w:ascii="Times New Roman" w:eastAsia="Calibri" w:hAnsi="Times New Roman" w:cs="Times New Roman"/>
          <w:sz w:val="24"/>
          <w:szCs w:val="24"/>
          <w:u w:val="single"/>
        </w:rPr>
        <w:t>re</w:t>
      </w:r>
      <w:r w:rsidR="00BB1695" w:rsidRPr="00E57FB8">
        <w:rPr>
          <w:rFonts w:ascii="Times New Roman" w:eastAsia="Calibri" w:hAnsi="Times New Roman" w:cs="Times New Roman"/>
          <w:strike/>
          <w:sz w:val="24"/>
          <w:szCs w:val="24"/>
        </w:rPr>
        <w:t>nd</w:t>
      </w:r>
      <w:proofErr w:type="spellEnd"/>
      <w:r w:rsidRPr="004B563F">
        <w:rPr>
          <w:rFonts w:ascii="Times New Roman" w:eastAsia="Calibri" w:hAnsi="Times New Roman" w:cs="Times New Roman"/>
          <w:sz w:val="24"/>
          <w:szCs w:val="24"/>
        </w:rPr>
        <w:t xml:space="preserve"> then cleared by The Options Clearing Corporation</w:t>
      </w:r>
      <w:r w:rsidR="00F83BFF">
        <w:rPr>
          <w:rFonts w:ascii="Times New Roman" w:eastAsia="Calibri" w:hAnsi="Times New Roman" w:cs="Times New Roman"/>
          <w:sz w:val="24"/>
          <w:szCs w:val="24"/>
        </w:rPr>
        <w:t xml:space="preserve">.  </w:t>
      </w:r>
      <w:r w:rsidR="00F83BFF" w:rsidRPr="00431495">
        <w:rPr>
          <w:rFonts w:ascii="Times New Roman" w:eastAsia="Calibri" w:hAnsi="Times New Roman" w:cs="Times New Roman"/>
          <w:sz w:val="24"/>
          <w:szCs w:val="24"/>
        </w:rPr>
        <w:t>Fuel Oil Tier Incentive Products are marked accordingly</w:t>
      </w:r>
      <w:r w:rsidRPr="00431495">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tbl>
      <w:tblPr>
        <w:tblStyle w:val="ListTable1Light1"/>
        <w:tblW w:w="5000" w:type="pct"/>
        <w:tblLayout w:type="fixed"/>
        <w:tblLook w:val="06A0" w:firstRow="1" w:lastRow="0" w:firstColumn="1" w:lastColumn="0" w:noHBand="1" w:noVBand="1"/>
      </w:tblPr>
      <w:tblGrid>
        <w:gridCol w:w="4514"/>
        <w:gridCol w:w="1888"/>
        <w:gridCol w:w="3150"/>
        <w:gridCol w:w="10"/>
      </w:tblGrid>
      <w:tr w:rsidR="005D7C24" w:rsidRPr="00C86C9A" w:rsidTr="00E42260">
        <w:trPr>
          <w:gridAfter w:val="1"/>
          <w:cnfStyle w:val="100000000000" w:firstRow="1" w:lastRow="0" w:firstColumn="0" w:lastColumn="0" w:oddVBand="0" w:evenVBand="0" w:oddHBand="0" w:evenHBand="0" w:firstRowFirstColumn="0" w:firstRowLastColumn="0" w:lastRowFirstColumn="0" w:lastRowLastColumn="0"/>
          <w:wAfter w:w="5" w:type="pct"/>
        </w:trPr>
        <w:tc>
          <w:tcPr>
            <w:cnfStyle w:val="001000000000" w:firstRow="0" w:lastRow="0" w:firstColumn="1" w:lastColumn="0" w:oddVBand="0" w:evenVBand="0" w:oddHBand="0" w:evenHBand="0" w:firstRowFirstColumn="0" w:firstRowLastColumn="0" w:lastRowFirstColumn="0" w:lastRowLastColumn="0"/>
            <w:tcW w:w="2360" w:type="pct"/>
          </w:tcPr>
          <w:p w:rsidR="005D7C24" w:rsidRPr="00C86C9A" w:rsidRDefault="005D7C24" w:rsidP="00065B9E">
            <w:pPr>
              <w:tabs>
                <w:tab w:val="left" w:pos="1206"/>
              </w:tabs>
              <w:rPr>
                <w:color w:val="009FC3"/>
              </w:rPr>
            </w:pPr>
            <w:r w:rsidRPr="00C86C9A">
              <w:rPr>
                <w:bCs w:val="0"/>
                <w:color w:val="009FC3"/>
              </w:rPr>
              <w:t>Products</w:t>
            </w:r>
          </w:p>
        </w:tc>
        <w:tc>
          <w:tcPr>
            <w:tcW w:w="98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Trading Symbol</w:t>
            </w:r>
          </w:p>
        </w:tc>
        <w:tc>
          <w:tcPr>
            <w:tcW w:w="1647" w:type="pct"/>
          </w:tcPr>
          <w:p w:rsidR="005D7C24" w:rsidRPr="00C86C9A" w:rsidRDefault="005D7C24" w:rsidP="00065B9E">
            <w:pPr>
              <w:jc w:val="center"/>
              <w:cnfStyle w:val="100000000000" w:firstRow="1" w:lastRow="0" w:firstColumn="0" w:lastColumn="0" w:oddVBand="0" w:evenVBand="0" w:oddHBand="0" w:evenHBand="0" w:firstRowFirstColumn="0" w:firstRowLastColumn="0" w:lastRowFirstColumn="0" w:lastRowLastColumn="0"/>
              <w:rPr>
                <w:color w:val="009FC3"/>
              </w:rPr>
            </w:pPr>
            <w:r w:rsidRPr="00C86C9A">
              <w:rPr>
                <w:color w:val="009FC3"/>
              </w:rPr>
              <w:t>Payment (per cleared contract side except Power)</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pPr>
              <w:rPr>
                <w:bCs w:val="0"/>
              </w:rPr>
            </w:pPr>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rPr>
                <w:bCs w:val="0"/>
              </w:rPr>
              <w:t>NFX Options on NFX Henry Hub Penultimate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$0.25 (over 200,000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rPr>
                <w:bCs w:val="0"/>
              </w:rPr>
              <w:t>NFX Options on NFX Henry Hub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LNQ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 (over 300,000 sides in a month)</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- 2,500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NNQ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- 2,500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NPQ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$0.025</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NFX Henry Hub Natural Gas Financial Futures - 10,000</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HHQ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1" w:themeFillShade="D9"/>
          </w:tcPr>
          <w:p w:rsidR="005D7C24" w:rsidRPr="007F7AF6" w:rsidRDefault="005D7C24" w:rsidP="00065B9E">
            <w:r w:rsidRPr="007F7AF6">
              <w:t>NFX Henry Hub Natural Gas Penultimate Financial Futures - 10,000</w:t>
            </w:r>
          </w:p>
        </w:tc>
        <w:tc>
          <w:tcPr>
            <w:tcW w:w="987" w:type="pct"/>
            <w:shd w:val="clear" w:color="auto" w:fill="D9D9D9" w:themeFill="background1" w:themeFillShade="D9"/>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HUQ</w:t>
            </w:r>
          </w:p>
        </w:tc>
        <w:tc>
          <w:tcPr>
            <w:tcW w:w="1647" w:type="pct"/>
            <w:shd w:val="clear" w:color="auto" w:fill="D9D9D9" w:themeFill="background1" w:themeFillShade="D9"/>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$0.10</w:t>
            </w:r>
          </w:p>
        </w:tc>
      </w:tr>
      <w:tr w:rsidR="005D7C24" w:rsidRPr="007F7AF6"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7F7AF6" w:rsidRDefault="005D7C24" w:rsidP="00065B9E">
            <w:r w:rsidRPr="007F7AF6">
              <w:t xml:space="preserve">NFX Options on NFX Brent Crude Financial Futures </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BCQ</w:t>
            </w:r>
          </w:p>
        </w:tc>
        <w:tc>
          <w:tcPr>
            <w:tcW w:w="1647" w:type="pct"/>
            <w:shd w:val="clear" w:color="auto" w:fill="FFFFFF" w:themeFill="background1"/>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lastRenderedPageBreak/>
              <w:t>NFX Brent Crude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BFQ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CLQ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Low Sulphur Gasoil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GOQ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HOQ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RBQ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WTI Crude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TQ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Options on NFX WTI Crude Oil Penultimate Financial Futures</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TOQ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$0.40</w:t>
            </w:r>
          </w:p>
        </w:tc>
      </w:tr>
      <w:tr w:rsidR="005D7C24" w:rsidRPr="007F7AF6" w:rsidTr="00E4226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NFX Heating Oil Penultimate Financial Futures</w:t>
            </w:r>
          </w:p>
        </w:tc>
        <w:tc>
          <w:tcPr>
            <w:tcW w:w="987" w:type="pct"/>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9E11F4">
              <w:t>OQ</w:t>
            </w:r>
          </w:p>
        </w:tc>
        <w:tc>
          <w:tcPr>
            <w:tcW w:w="1652" w:type="pct"/>
            <w:gridSpan w:val="2"/>
          </w:tcPr>
          <w:p w:rsidR="005D7C24" w:rsidRPr="007F7AF6"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7F7AF6">
              <w:t>$0.20</w:t>
            </w:r>
          </w:p>
        </w:tc>
      </w:tr>
      <w:tr w:rsidR="005D7C24" w:rsidRPr="007F7AF6" w:rsidTr="00E422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5D7C24" w:rsidRPr="007F7AF6" w:rsidRDefault="005D7C24" w:rsidP="00065B9E">
            <w:r w:rsidRPr="007F7AF6">
              <w:t xml:space="preserve">NFX RBOB Gasoline Financial Futures </w:t>
            </w:r>
          </w:p>
        </w:tc>
        <w:tc>
          <w:tcPr>
            <w:tcW w:w="987" w:type="pct"/>
          </w:tcPr>
          <w:p w:rsidR="005D7C24" w:rsidRPr="009E11F4"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9E11F4">
              <w:t>RQ</w:t>
            </w:r>
          </w:p>
        </w:tc>
        <w:tc>
          <w:tcPr>
            <w:tcW w:w="1652" w:type="pct"/>
            <w:gridSpan w:val="2"/>
          </w:tcPr>
          <w:p w:rsidR="005D7C24" w:rsidRPr="007F7AF6" w:rsidRDefault="005D7C24" w:rsidP="00065B9E">
            <w:pPr>
              <w:jc w:val="center"/>
              <w:cnfStyle w:val="000000100000" w:firstRow="0" w:lastRow="0" w:firstColumn="0" w:lastColumn="0" w:oddVBand="0" w:evenVBand="0" w:oddHBand="1" w:evenHBand="0" w:firstRowFirstColumn="0" w:firstRowLastColumn="0" w:lastRowFirstColumn="0" w:lastRowLastColumn="0"/>
            </w:pPr>
            <w:r w:rsidRPr="007F7AF6">
              <w:t>$0.20</w:t>
            </w:r>
          </w:p>
        </w:tc>
      </w:tr>
      <w:tr w:rsidR="005D7C24" w:rsidRPr="00E42260" w:rsidTr="00E42260">
        <w:trPr>
          <w:gridAfter w:val="1"/>
          <w:wAfter w:w="5" w:type="pct"/>
        </w:trPr>
        <w:tc>
          <w:tcPr>
            <w:cnfStyle w:val="001000000000" w:firstRow="0" w:lastRow="0" w:firstColumn="1" w:lastColumn="0" w:oddVBand="0" w:evenVBand="0" w:oddHBand="0" w:evenHBand="0" w:firstRowFirstColumn="0" w:firstRowLastColumn="0" w:lastRowFirstColumn="0" w:lastRowLastColumn="0"/>
            <w:tcW w:w="2360" w:type="pct"/>
            <w:shd w:val="clear" w:color="auto" w:fill="FFFFFF" w:themeFill="background1"/>
          </w:tcPr>
          <w:p w:rsidR="005D7C24" w:rsidRPr="00E42260" w:rsidRDefault="005D7C24" w:rsidP="00065B9E">
            <w:r w:rsidRPr="00E42260">
              <w:t>All NFX Power Futures and Options on Power Futures*</w:t>
            </w:r>
          </w:p>
        </w:tc>
        <w:tc>
          <w:tcPr>
            <w:tcW w:w="987" w:type="pct"/>
            <w:shd w:val="clear" w:color="auto" w:fill="FFFFFF" w:themeFill="background1"/>
          </w:tcPr>
          <w:p w:rsidR="005D7C24" w:rsidRPr="009E11F4" w:rsidRDefault="005D7C24" w:rsidP="00065B9E">
            <w:pPr>
              <w:jc w:val="center"/>
              <w:cnfStyle w:val="000000000000" w:firstRow="0" w:lastRow="0" w:firstColumn="0" w:lastColumn="0" w:oddVBand="0" w:evenVBand="0" w:oddHBand="0" w:evenHBand="0" w:firstRowFirstColumn="0" w:firstRowLastColumn="0" w:lastRowFirstColumn="0" w:lastRowLastColumn="0"/>
            </w:pPr>
          </w:p>
        </w:tc>
        <w:tc>
          <w:tcPr>
            <w:tcW w:w="1647" w:type="pct"/>
            <w:shd w:val="clear" w:color="auto" w:fill="FFFFFF" w:themeFill="background1"/>
          </w:tcPr>
          <w:p w:rsidR="005D7C24" w:rsidRPr="00E42260" w:rsidRDefault="005D7C24" w:rsidP="00065B9E">
            <w:pPr>
              <w:jc w:val="center"/>
              <w:cnfStyle w:val="000000000000" w:firstRow="0" w:lastRow="0" w:firstColumn="0" w:lastColumn="0" w:oddVBand="0" w:evenVBand="0" w:oddHBand="0" w:evenHBand="0" w:firstRowFirstColumn="0" w:firstRowLastColumn="0" w:lastRowFirstColumn="0" w:lastRowLastColumn="0"/>
            </w:pPr>
            <w:r w:rsidRPr="00E42260">
              <w:t>$.00083 per MWh</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IBQ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Brent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IMMQ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DF4F89"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DF4F89" w:rsidRPr="00DF4F89" w:rsidRDefault="00DF4F89" w:rsidP="00BE480C">
            <w:pPr>
              <w:rPr>
                <w:rFonts w:ascii="Calibri" w:hAnsi="Calibri"/>
                <w:u w:val="single"/>
              </w:rPr>
            </w:pPr>
            <w:r w:rsidRPr="00DF4F89">
              <w:rPr>
                <w:rFonts w:ascii="Calibri" w:hAnsi="Calibri"/>
                <w:u w:val="single"/>
              </w:rPr>
              <w:t>NFX Options on NFX Brent 1st Line Financial Futures</w:t>
            </w:r>
          </w:p>
        </w:tc>
        <w:tc>
          <w:tcPr>
            <w:tcW w:w="987" w:type="pct"/>
          </w:tcPr>
          <w:p w:rsidR="00DF4F89" w:rsidRPr="00DF4F89" w:rsidRDefault="00DF4F89"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u w:val="single"/>
              </w:rPr>
            </w:pPr>
            <w:r w:rsidRPr="00DF4F89">
              <w:rPr>
                <w:rFonts w:ascii="Calibri" w:hAnsi="Calibri"/>
                <w:u w:val="single"/>
              </w:rPr>
              <w:t>IOQ</w:t>
            </w:r>
          </w:p>
        </w:tc>
        <w:tc>
          <w:tcPr>
            <w:tcW w:w="1652" w:type="pct"/>
            <w:gridSpan w:val="2"/>
          </w:tcPr>
          <w:p w:rsidR="00DF4F89" w:rsidRPr="00DF4F89" w:rsidRDefault="00DF4F89"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u w:val="single"/>
              </w:rPr>
            </w:pPr>
            <w:r w:rsidRPr="00DF4F89">
              <w:rPr>
                <w:rFonts w:ascii="Calibri" w:hAnsi="Calibri"/>
                <w:u w:val="single"/>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1st Line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RTIQ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WTI 1</w:t>
            </w:r>
            <w:r w:rsidRPr="00206BF7">
              <w:rPr>
                <w:rFonts w:ascii="Calibri" w:hAnsi="Calibri"/>
                <w:vertAlign w:val="superscript"/>
              </w:rPr>
              <w:t>st</w:t>
            </w:r>
            <w:r w:rsidRPr="00206BF7">
              <w:rPr>
                <w:rFonts w:ascii="Calibri" w:hAnsi="Calibri"/>
              </w:rPr>
              <w:t xml:space="preserve"> Line Mini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RMMQ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DF4F89" w:rsidRPr="00DF4F89"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DF4F89" w:rsidRPr="00DF4F89" w:rsidRDefault="00DF4F89" w:rsidP="00BE480C">
            <w:pPr>
              <w:rPr>
                <w:rFonts w:ascii="Calibri" w:hAnsi="Calibri"/>
                <w:u w:val="single"/>
              </w:rPr>
            </w:pPr>
            <w:r w:rsidRPr="00DF4F89">
              <w:rPr>
                <w:rFonts w:ascii="Calibri" w:hAnsi="Calibri"/>
                <w:u w:val="single"/>
              </w:rPr>
              <w:t>NFX Options on NFX WTI 1st Line Financial Futures</w:t>
            </w:r>
          </w:p>
        </w:tc>
        <w:tc>
          <w:tcPr>
            <w:tcW w:w="987" w:type="pct"/>
          </w:tcPr>
          <w:p w:rsidR="00DF4F89" w:rsidRPr="00DF4F89" w:rsidRDefault="00DF4F89"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u w:val="single"/>
              </w:rPr>
            </w:pPr>
            <w:r w:rsidRPr="00DF4F89">
              <w:rPr>
                <w:rFonts w:ascii="Calibri" w:hAnsi="Calibri"/>
                <w:u w:val="single"/>
              </w:rPr>
              <w:t>TIQ</w:t>
            </w:r>
          </w:p>
        </w:tc>
        <w:tc>
          <w:tcPr>
            <w:tcW w:w="1652" w:type="pct"/>
            <w:gridSpan w:val="2"/>
          </w:tcPr>
          <w:p w:rsidR="00DF4F89" w:rsidRPr="00DF4F89" w:rsidRDefault="00DF4F89"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u w:val="single"/>
              </w:rPr>
            </w:pPr>
            <w:r w:rsidRPr="00DF4F89">
              <w:rPr>
                <w:rFonts w:ascii="Calibri" w:hAnsi="Calibri"/>
                <w:u w:val="single"/>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Low Sulphur Gasoil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ULAQ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Gasoil Crack Financial Futures (in BBLS) - Low Sulphur Gasoil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 xml:space="preserve">st </w:t>
            </w:r>
            <w:r w:rsidRPr="00206BF7">
              <w:rPr>
                <w:rFonts w:ascii="Calibri" w:hAnsi="Calibri"/>
              </w:rPr>
              <w:t>Line</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GZQ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Heating Oil 1</w:t>
            </w:r>
            <w:r w:rsidRPr="00206BF7">
              <w:rPr>
                <w:rFonts w:ascii="Calibri" w:hAnsi="Calibri"/>
                <w:vertAlign w:val="superscript"/>
              </w:rPr>
              <w:t>st</w:t>
            </w:r>
            <w:r w:rsidRPr="00206BF7">
              <w:rPr>
                <w:rFonts w:ascii="Calibri" w:hAnsi="Calibri"/>
              </w:rPr>
              <w:t xml:space="preserve"> Line Financial Futures </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HOFQ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RBOB Gasoline 1</w:t>
            </w:r>
            <w:r w:rsidRPr="00206BF7">
              <w:rPr>
                <w:rFonts w:ascii="Calibri" w:hAnsi="Calibri"/>
                <w:vertAlign w:val="superscript"/>
              </w:rPr>
              <w:t>st</w:t>
            </w:r>
            <w:r w:rsidRPr="00206BF7">
              <w:rPr>
                <w:rFonts w:ascii="Calibri" w:hAnsi="Calibri"/>
              </w:rPr>
              <w:t xml:space="preserve"> Line Financial Futures</w:t>
            </w:r>
          </w:p>
        </w:tc>
        <w:tc>
          <w:tcPr>
            <w:tcW w:w="987" w:type="pct"/>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RBSQ</w:t>
            </w:r>
          </w:p>
        </w:tc>
        <w:tc>
          <w:tcPr>
            <w:tcW w:w="1652" w:type="pct"/>
            <w:gridSpan w:val="2"/>
          </w:tcPr>
          <w:p w:rsidR="009E11F4" w:rsidRPr="00206BF7" w:rsidRDefault="009E11F4" w:rsidP="00BE480C">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06BF7">
              <w:rPr>
                <w:rFonts w:ascii="Calibri" w:hAnsi="Calibri"/>
              </w:rPr>
              <w:t>$0.30</w:t>
            </w:r>
          </w:p>
        </w:tc>
      </w:tr>
      <w:tr w:rsidR="009E11F4" w:rsidRPr="00206BF7" w:rsidTr="00BE480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9E11F4" w:rsidRPr="00206BF7" w:rsidRDefault="009E11F4" w:rsidP="00BE480C">
            <w:pPr>
              <w:rPr>
                <w:rFonts w:ascii="Calibri" w:hAnsi="Calibri"/>
              </w:rPr>
            </w:pPr>
            <w:r w:rsidRPr="00206BF7">
              <w:rPr>
                <w:rFonts w:ascii="Calibri" w:hAnsi="Calibri"/>
              </w:rPr>
              <w:t>NFX Gasoline Crack Financial Futures (in BBLS) - RBOB Gasoline 1</w:t>
            </w:r>
            <w:r w:rsidRPr="00206BF7">
              <w:rPr>
                <w:rFonts w:ascii="Calibri" w:hAnsi="Calibri"/>
                <w:vertAlign w:val="superscript"/>
              </w:rPr>
              <w:t>st</w:t>
            </w:r>
            <w:r w:rsidRPr="00206BF7">
              <w:rPr>
                <w:rFonts w:ascii="Calibri" w:hAnsi="Calibri"/>
              </w:rPr>
              <w:t xml:space="preserve"> Line vs. Brent 1</w:t>
            </w:r>
            <w:r w:rsidRPr="00206BF7">
              <w:rPr>
                <w:rFonts w:ascii="Calibri" w:hAnsi="Calibri"/>
                <w:vertAlign w:val="superscript"/>
              </w:rPr>
              <w:t>st</w:t>
            </w:r>
            <w:r w:rsidRPr="00206BF7">
              <w:rPr>
                <w:rFonts w:ascii="Calibri" w:hAnsi="Calibri"/>
              </w:rPr>
              <w:t xml:space="preserve"> Line</w:t>
            </w:r>
          </w:p>
        </w:tc>
        <w:tc>
          <w:tcPr>
            <w:tcW w:w="987" w:type="pct"/>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RBRQ</w:t>
            </w:r>
          </w:p>
        </w:tc>
        <w:tc>
          <w:tcPr>
            <w:tcW w:w="1652" w:type="pct"/>
            <w:gridSpan w:val="2"/>
          </w:tcPr>
          <w:p w:rsidR="009E11F4" w:rsidRPr="00206BF7" w:rsidRDefault="009E11F4" w:rsidP="00BE480C">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06BF7">
              <w:rPr>
                <w:rFonts w:ascii="Calibri" w:hAnsi="Calibri"/>
              </w:rPr>
              <w:t>$0.30</w:t>
            </w:r>
          </w:p>
        </w:tc>
      </w:tr>
    </w:tbl>
    <w:p w:rsidR="00353B33" w:rsidRPr="00206BF7" w:rsidRDefault="00353B33" w:rsidP="005D7C24">
      <w:pPr>
        <w:spacing w:after="0" w:line="240" w:lineRule="auto"/>
        <w:rPr>
          <w:rFonts w:ascii="Times New Roman" w:eastAsia="Calibri" w:hAnsi="Times New Roman" w:cs="Times New Roman"/>
        </w:rPr>
      </w:pPr>
    </w:p>
    <w:tbl>
      <w:tblPr>
        <w:tblStyle w:val="ListTable1Light1"/>
        <w:tblW w:w="5000" w:type="pct"/>
        <w:tblLayout w:type="fixed"/>
        <w:tblLook w:val="04A0" w:firstRow="1" w:lastRow="0" w:firstColumn="1" w:lastColumn="0" w:noHBand="0" w:noVBand="1"/>
      </w:tblPr>
      <w:tblGrid>
        <w:gridCol w:w="4514"/>
        <w:gridCol w:w="1889"/>
        <w:gridCol w:w="3159"/>
      </w:tblGrid>
      <w:tr w:rsidR="00353B33" w:rsidRPr="007F7AF6" w:rsidTr="00353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3.5% FOB Rotterdam Barges Financial Futures</w:t>
            </w:r>
          </w:p>
        </w:tc>
        <w:tc>
          <w:tcPr>
            <w:tcW w:w="988" w:type="pct"/>
          </w:tcPr>
          <w:p w:rsidR="00353B33" w:rsidRPr="00431495" w:rsidRDefault="00353B33" w:rsidP="00C53259">
            <w:pPr>
              <w:jc w:val="center"/>
              <w:cnfStyle w:val="100000000000" w:firstRow="1" w:lastRow="0" w:firstColumn="0" w:lastColumn="0" w:oddVBand="0" w:evenVBand="0" w:oddHBand="0" w:evenHBand="0" w:firstRowFirstColumn="0" w:firstRowLastColumn="0" w:lastRowFirstColumn="0" w:lastRowLastColumn="0"/>
              <w:rPr>
                <w:b w:val="0"/>
              </w:rPr>
            </w:pPr>
            <w:r w:rsidRPr="00431495">
              <w:rPr>
                <w:b w:val="0"/>
              </w:rPr>
              <w:t>BARQ</w:t>
            </w:r>
          </w:p>
        </w:tc>
        <w:tc>
          <w:tcPr>
            <w:tcW w:w="1652" w:type="pct"/>
          </w:tcPr>
          <w:p w:rsidR="00353B33" w:rsidRPr="00431495" w:rsidRDefault="00353B33" w:rsidP="00C53259">
            <w:pPr>
              <w:jc w:val="center"/>
              <w:cnfStyle w:val="100000000000" w:firstRow="1" w:lastRow="0" w:firstColumn="0" w:lastColumn="0" w:oddVBand="0" w:evenVBand="0" w:oddHBand="0" w:evenHBand="0" w:firstRowFirstColumn="0" w:firstRowLastColumn="0" w:lastRowFirstColumn="0" w:lastRowLastColumn="0"/>
              <w:rPr>
                <w:b w:val="0"/>
              </w:rPr>
            </w:pPr>
            <w:r w:rsidRPr="00431495">
              <w:rPr>
                <w:b w:val="0"/>
                <w:sz w:val="20"/>
                <w:szCs w:val="20"/>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pPr>
              <w:keepNext/>
            </w:pPr>
            <w:r w:rsidRPr="00431495">
              <w:t>NFX Fuel Oil 3.5% FOB MED Cargoes Financial Futures</w:t>
            </w:r>
          </w:p>
        </w:tc>
        <w:tc>
          <w:tcPr>
            <w:tcW w:w="988"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t>FOMQ</w:t>
            </w:r>
          </w:p>
        </w:tc>
        <w:tc>
          <w:tcPr>
            <w:tcW w:w="1652"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rPr>
                <w:sz w:val="20"/>
                <w:szCs w:val="20"/>
              </w:rPr>
              <w:t>FUEL OIL TIER INCENTIVE</w:t>
            </w:r>
          </w:p>
        </w:tc>
      </w:tr>
      <w:tr w:rsidR="00353B33" w:rsidRPr="007F7AF6" w:rsidTr="00353B33">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380 CST Singapore Financial Futures</w:t>
            </w:r>
          </w:p>
        </w:tc>
        <w:tc>
          <w:tcPr>
            <w:tcW w:w="988" w:type="pct"/>
          </w:tcPr>
          <w:p w:rsidR="00353B33" w:rsidRPr="00431495" w:rsidRDefault="00353B33" w:rsidP="00C53259">
            <w:pPr>
              <w:jc w:val="center"/>
              <w:cnfStyle w:val="000000000000" w:firstRow="0" w:lastRow="0" w:firstColumn="0" w:lastColumn="0" w:oddVBand="0" w:evenVBand="0" w:oddHBand="0" w:evenHBand="0" w:firstRowFirstColumn="0" w:firstRowLastColumn="0" w:lastRowFirstColumn="0" w:lastRowLastColumn="0"/>
            </w:pPr>
            <w:r w:rsidRPr="00431495">
              <w:t>SYSQ</w:t>
            </w:r>
          </w:p>
        </w:tc>
        <w:tc>
          <w:tcPr>
            <w:tcW w:w="1652" w:type="pct"/>
          </w:tcPr>
          <w:p w:rsidR="00353B33" w:rsidRPr="00431495" w:rsidRDefault="00353B33" w:rsidP="00C53259">
            <w:pPr>
              <w:jc w:val="center"/>
              <w:cnfStyle w:val="000000000000" w:firstRow="0" w:lastRow="0" w:firstColumn="0" w:lastColumn="0" w:oddVBand="0" w:evenVBand="0" w:oddHBand="0" w:evenHBand="0" w:firstRowFirstColumn="0" w:firstRowLastColumn="0" w:lastRowFirstColumn="0" w:lastRowLastColumn="0"/>
            </w:pPr>
            <w:r w:rsidRPr="00431495">
              <w:rPr>
                <w:sz w:val="20"/>
                <w:szCs w:val="20"/>
              </w:rPr>
              <w:t>FUEL OIL TIER INCENTIVE</w:t>
            </w:r>
          </w:p>
        </w:tc>
      </w:tr>
      <w:tr w:rsidR="00353B33" w:rsidRPr="007F7AF6" w:rsidTr="00353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rsidR="00353B33" w:rsidRPr="00431495" w:rsidRDefault="00353B33" w:rsidP="00206BF7">
            <w:r w:rsidRPr="00431495">
              <w:t>NFX Fuel Oil 180 CST Singapore Financial Futures</w:t>
            </w:r>
          </w:p>
        </w:tc>
        <w:tc>
          <w:tcPr>
            <w:tcW w:w="988"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t>SZSQ</w:t>
            </w:r>
          </w:p>
        </w:tc>
        <w:tc>
          <w:tcPr>
            <w:tcW w:w="1652" w:type="pct"/>
          </w:tcPr>
          <w:p w:rsidR="00353B33" w:rsidRPr="00431495" w:rsidRDefault="00353B33" w:rsidP="00C53259">
            <w:pPr>
              <w:jc w:val="center"/>
              <w:cnfStyle w:val="000000100000" w:firstRow="0" w:lastRow="0" w:firstColumn="0" w:lastColumn="0" w:oddVBand="0" w:evenVBand="0" w:oddHBand="1" w:evenHBand="0" w:firstRowFirstColumn="0" w:firstRowLastColumn="0" w:lastRowFirstColumn="0" w:lastRowLastColumn="0"/>
            </w:pPr>
            <w:r w:rsidRPr="00431495">
              <w:rPr>
                <w:sz w:val="20"/>
                <w:szCs w:val="20"/>
              </w:rPr>
              <w:t>FUEL OIL TIER INCENTIVE</w:t>
            </w:r>
          </w:p>
        </w:tc>
      </w:tr>
      <w:tr w:rsidR="00431495" w:rsidRPr="00DF4F89" w:rsidTr="00431495">
        <w:tc>
          <w:tcPr>
            <w:cnfStyle w:val="001000000000" w:firstRow="0" w:lastRow="0" w:firstColumn="1" w:lastColumn="0" w:oddVBand="0" w:evenVBand="0" w:oddHBand="0" w:evenHBand="0" w:firstRowFirstColumn="0" w:firstRowLastColumn="0" w:lastRowFirstColumn="0" w:lastRowLastColumn="0"/>
            <w:tcW w:w="2360" w:type="pct"/>
            <w:hideMark/>
          </w:tcPr>
          <w:p w:rsidR="00431495" w:rsidRPr="00DF4F89" w:rsidRDefault="00431495">
            <w:r w:rsidRPr="00DF4F89">
              <w:t>NFX Fuel Oil Diff - NFX Fuel Oil 380 CST Singapore Financial Futures vs NFX Fuel Oil 3.5% FOB Rotterdam Barges Financial Futures</w:t>
            </w:r>
          </w:p>
        </w:tc>
        <w:tc>
          <w:tcPr>
            <w:tcW w:w="988" w:type="pct"/>
            <w:hideMark/>
          </w:tcPr>
          <w:p w:rsidR="00431495" w:rsidRPr="00DF4F89" w:rsidRDefault="00431495">
            <w:pPr>
              <w:jc w:val="center"/>
              <w:cnfStyle w:val="000000000000" w:firstRow="0" w:lastRow="0" w:firstColumn="0" w:lastColumn="0" w:oddVBand="0" w:evenVBand="0" w:oddHBand="0" w:evenHBand="0" w:firstRowFirstColumn="0" w:firstRowLastColumn="0" w:lastRowFirstColumn="0" w:lastRowLastColumn="0"/>
            </w:pPr>
            <w:r w:rsidRPr="00DF4F89">
              <w:t>SJSQ</w:t>
            </w:r>
          </w:p>
        </w:tc>
        <w:tc>
          <w:tcPr>
            <w:tcW w:w="1652" w:type="pct"/>
            <w:hideMark/>
          </w:tcPr>
          <w:p w:rsidR="00431495" w:rsidRPr="00DF4F89" w:rsidRDefault="00431495">
            <w:pPr>
              <w:jc w:val="center"/>
              <w:cnfStyle w:val="000000000000" w:firstRow="0" w:lastRow="0" w:firstColumn="0" w:lastColumn="0" w:oddVBand="0" w:evenVBand="0" w:oddHBand="0" w:evenHBand="0" w:firstRowFirstColumn="0" w:firstRowLastColumn="0" w:lastRowFirstColumn="0" w:lastRowLastColumn="0"/>
            </w:pPr>
            <w:r w:rsidRPr="00DF4F89">
              <w:rPr>
                <w:sz w:val="20"/>
                <w:szCs w:val="20"/>
              </w:rPr>
              <w:t>FUEL OIL TIER INCENTIVE</w:t>
            </w:r>
          </w:p>
        </w:tc>
      </w:tr>
      <w:tr w:rsidR="00431495" w:rsidRPr="00DF4F89" w:rsidTr="0043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hideMark/>
          </w:tcPr>
          <w:p w:rsidR="00431495" w:rsidRPr="00DF4F89" w:rsidRDefault="00431495">
            <w:r w:rsidRPr="00DF4F89">
              <w:t>NFX Fuel Oil Diff - NFX Fuel Oil 180 CST Singapore Financial Futures vs NFX Fuel Oil 380 CST Singapore Financial Futures</w:t>
            </w:r>
          </w:p>
        </w:tc>
        <w:tc>
          <w:tcPr>
            <w:tcW w:w="988" w:type="pct"/>
            <w:hideMark/>
          </w:tcPr>
          <w:p w:rsidR="00431495" w:rsidRPr="00DF4F89" w:rsidRDefault="00431495">
            <w:pPr>
              <w:jc w:val="center"/>
              <w:cnfStyle w:val="000000100000" w:firstRow="0" w:lastRow="0" w:firstColumn="0" w:lastColumn="0" w:oddVBand="0" w:evenVBand="0" w:oddHBand="1" w:evenHBand="0" w:firstRowFirstColumn="0" w:firstRowLastColumn="0" w:lastRowFirstColumn="0" w:lastRowLastColumn="0"/>
            </w:pPr>
            <w:r w:rsidRPr="00DF4F89">
              <w:t>STSQ</w:t>
            </w:r>
          </w:p>
        </w:tc>
        <w:tc>
          <w:tcPr>
            <w:tcW w:w="1652" w:type="pct"/>
            <w:hideMark/>
          </w:tcPr>
          <w:p w:rsidR="00431495" w:rsidRPr="00DF4F89" w:rsidRDefault="00431495">
            <w:pPr>
              <w:jc w:val="center"/>
              <w:cnfStyle w:val="000000100000" w:firstRow="0" w:lastRow="0" w:firstColumn="0" w:lastColumn="0" w:oddVBand="0" w:evenVBand="0" w:oddHBand="1" w:evenHBand="0" w:firstRowFirstColumn="0" w:firstRowLastColumn="0" w:lastRowFirstColumn="0" w:lastRowLastColumn="0"/>
            </w:pPr>
            <w:r w:rsidRPr="00DF4F89">
              <w:rPr>
                <w:sz w:val="20"/>
                <w:szCs w:val="20"/>
              </w:rPr>
              <w:t>FUEL OIL TIER INCENTIVE</w:t>
            </w:r>
          </w:p>
        </w:tc>
      </w:tr>
    </w:tbl>
    <w:p w:rsidR="005D7C24" w:rsidRPr="002F37B4" w:rsidRDefault="005D7C24" w:rsidP="005D7C24">
      <w:pPr>
        <w:spacing w:after="0" w:line="240" w:lineRule="auto"/>
        <w:rPr>
          <w:rFonts w:ascii="Times New Roman" w:eastAsia="Calibri" w:hAnsi="Times New Roman" w:cs="Times New Roman"/>
          <w:sz w:val="20"/>
          <w:szCs w:val="20"/>
        </w:rPr>
      </w:pPr>
      <w:r w:rsidRPr="002F37B4">
        <w:rPr>
          <w:rFonts w:ascii="Times New Roman" w:eastAsia="Calibri" w:hAnsi="Times New Roman" w:cs="Times New Roman"/>
          <w:sz w:val="20"/>
          <w:szCs w:val="20"/>
        </w:rPr>
        <w:t>* For those ORBs that voluntarily submit daily settlement price data to NFX, this payment is increased to $.001 per MWh.  For more details, please contact NFX Market Operations at nfxops@nasdaq.com.</w:t>
      </w:r>
    </w:p>
    <w:p w:rsidR="00E42260" w:rsidRDefault="00E42260"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Eligible Participants</w:t>
      </w:r>
    </w:p>
    <w:p w:rsidR="005D7C24"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Any ORB registered with the Exchange is an eligible participant.  There is no limit to the number of ORBs that may register with the Exchange and participate in the program by submitting </w:t>
      </w:r>
      <w:r w:rsidRPr="00222995">
        <w:rPr>
          <w:rFonts w:ascii="Times New Roman" w:eastAsia="Calibri" w:hAnsi="Times New Roman" w:cs="Times New Roman"/>
          <w:sz w:val="24"/>
          <w:szCs w:val="24"/>
        </w:rPr>
        <w:t>Block Trades. ORBs must have login credentials in order to submit Block Trades</w:t>
      </w:r>
      <w:r>
        <w:rPr>
          <w:rFonts w:ascii="Times New Roman" w:eastAsia="Calibri" w:hAnsi="Times New Roman" w:cs="Times New Roman"/>
          <w:sz w:val="24"/>
          <w:szCs w:val="24"/>
        </w:rPr>
        <w:t xml:space="preserve"> in the Products.</w:t>
      </w:r>
    </w:p>
    <w:p w:rsidR="005D7C24" w:rsidRDefault="005D7C24" w:rsidP="005D7C24">
      <w:pPr>
        <w:spacing w:after="0" w:line="240" w:lineRule="auto"/>
        <w:rPr>
          <w:rFonts w:ascii="Times New Roman" w:eastAsia="Calibri" w:hAnsi="Times New Roman" w:cs="Times New Roman"/>
          <w:b/>
          <w:sz w:val="24"/>
          <w:szCs w:val="24"/>
          <w:u w:val="single"/>
        </w:rPr>
      </w:pPr>
    </w:p>
    <w:p w:rsidR="005D7C24" w:rsidRPr="00765E44" w:rsidRDefault="005D7C24" w:rsidP="005D7C24">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 xml:space="preserve">Program Term </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Program Term </w:t>
      </w:r>
      <w:r w:rsidRPr="00222995">
        <w:rPr>
          <w:rFonts w:ascii="Times New Roman" w:eastAsia="Calibri" w:hAnsi="Times New Roman" w:cs="Times New Roman"/>
          <w:sz w:val="24"/>
          <w:szCs w:val="24"/>
        </w:rPr>
        <w:t xml:space="preserve">will </w:t>
      </w:r>
      <w:r w:rsidRPr="00105EE0">
        <w:rPr>
          <w:rFonts w:ascii="Times New Roman" w:eastAsia="Calibri" w:hAnsi="Times New Roman" w:cs="Times New Roman"/>
          <w:sz w:val="24"/>
          <w:szCs w:val="24"/>
        </w:rPr>
        <w:t>expire on July 2</w:t>
      </w:r>
      <w:r w:rsidR="00E42260" w:rsidRPr="00105EE0">
        <w:rPr>
          <w:rFonts w:ascii="Times New Roman" w:eastAsia="Calibri" w:hAnsi="Times New Roman" w:cs="Times New Roman"/>
          <w:sz w:val="24"/>
          <w:szCs w:val="24"/>
        </w:rPr>
        <w:t>3</w:t>
      </w:r>
      <w:r w:rsidRPr="00105EE0">
        <w:rPr>
          <w:rFonts w:ascii="Times New Roman" w:eastAsia="Calibri" w:hAnsi="Times New Roman" w:cs="Times New Roman"/>
          <w:sz w:val="24"/>
          <w:szCs w:val="24"/>
        </w:rPr>
        <w:t>, 201</w:t>
      </w:r>
      <w:r w:rsidR="00E42260" w:rsidRPr="00105EE0">
        <w:rPr>
          <w:rFonts w:ascii="Times New Roman" w:eastAsia="Calibri" w:hAnsi="Times New Roman" w:cs="Times New Roman"/>
          <w:sz w:val="24"/>
          <w:szCs w:val="24"/>
        </w:rPr>
        <w:t>7</w:t>
      </w:r>
      <w:r w:rsidRPr="00105EE0">
        <w:rPr>
          <w:rFonts w:ascii="Times New Roman" w:eastAsia="Calibri" w:hAnsi="Times New Roman" w:cs="Times New Roman"/>
          <w:sz w:val="24"/>
          <w:szCs w:val="24"/>
        </w:rPr>
        <w:t>.</w:t>
      </w:r>
    </w:p>
    <w:p w:rsidR="005D7C24" w:rsidRDefault="005D7C24" w:rsidP="005D7C24">
      <w:pPr>
        <w:spacing w:after="0" w:line="240" w:lineRule="auto"/>
        <w:rPr>
          <w:rFonts w:ascii="Times New Roman" w:eastAsia="Calibri" w:hAnsi="Times New Roman" w:cs="Times New Roman"/>
          <w:sz w:val="24"/>
          <w:szCs w:val="24"/>
        </w:rPr>
      </w:pPr>
    </w:p>
    <w:p w:rsidR="005D7C24" w:rsidRPr="00C37052" w:rsidRDefault="005D7C24" w:rsidP="005D7C24">
      <w:pPr>
        <w:spacing w:after="0" w:line="240" w:lineRule="auto"/>
        <w:rPr>
          <w:rFonts w:ascii="Times New Roman" w:eastAsia="Calibri" w:hAnsi="Times New Roman" w:cs="Times New Roman"/>
          <w:b/>
          <w:sz w:val="24"/>
          <w:szCs w:val="24"/>
          <w:u w:val="single"/>
        </w:rPr>
      </w:pPr>
      <w:r w:rsidRPr="00C37052">
        <w:rPr>
          <w:rFonts w:ascii="Times New Roman" w:eastAsia="Calibri" w:hAnsi="Times New Roman" w:cs="Times New Roman"/>
          <w:b/>
          <w:sz w:val="24"/>
          <w:szCs w:val="24"/>
          <w:u w:val="single"/>
        </w:rPr>
        <w:t>Hours</w:t>
      </w:r>
    </w:p>
    <w:p w:rsidR="005D7C24" w:rsidRDefault="005D7C24" w:rsidP="005D7C24">
      <w:pPr>
        <w:spacing w:after="0" w:line="240" w:lineRule="auto"/>
        <w:rPr>
          <w:rFonts w:ascii="Times New Roman" w:eastAsia="Calibri" w:hAnsi="Times New Roman" w:cs="Times New Roman"/>
          <w:sz w:val="24"/>
          <w:szCs w:val="24"/>
        </w:rPr>
      </w:pPr>
    </w:p>
    <w:p w:rsidR="005D7C24" w:rsidRDefault="005D7C24" w:rsidP="005D7C2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Program </w:t>
      </w:r>
      <w:r w:rsidRPr="00006BFE">
        <w:rPr>
          <w:rFonts w:ascii="Times New Roman" w:eastAsia="Calibri" w:hAnsi="Times New Roman" w:cs="Times New Roman"/>
          <w:b/>
          <w:sz w:val="24"/>
          <w:szCs w:val="24"/>
          <w:u w:val="single"/>
        </w:rPr>
        <w:t xml:space="preserve">Obligations </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sz w:val="24"/>
          <w:szCs w:val="24"/>
        </w:rPr>
      </w:pPr>
      <w:r w:rsidRPr="00006BFE">
        <w:rPr>
          <w:rFonts w:ascii="Times New Roman" w:hAnsi="Times New Roman" w:cs="Times New Roman"/>
          <w:sz w:val="24"/>
          <w:szCs w:val="24"/>
        </w:rPr>
        <w:t xml:space="preserve">All ORBs must be registered with the Exchange and may </w:t>
      </w:r>
      <w:r w:rsidRPr="003477B3">
        <w:rPr>
          <w:rFonts w:ascii="Times New Roman" w:hAnsi="Times New Roman" w:cs="Times New Roman"/>
          <w:sz w:val="24"/>
          <w:szCs w:val="24"/>
        </w:rPr>
        <w:t xml:space="preserve">only submit </w:t>
      </w:r>
      <w:r w:rsidRPr="00222995">
        <w:rPr>
          <w:rFonts w:ascii="Times New Roman" w:eastAsia="Calibri" w:hAnsi="Times New Roman" w:cs="Times New Roman"/>
          <w:sz w:val="24"/>
          <w:szCs w:val="24"/>
        </w:rPr>
        <w:t>Block Trades</w:t>
      </w:r>
      <w:r w:rsidRPr="003477B3">
        <w:rPr>
          <w:rFonts w:ascii="Times New Roman" w:hAnsi="Times New Roman" w:cs="Times New Roman"/>
          <w:sz w:val="24"/>
          <w:szCs w:val="24"/>
        </w:rPr>
        <w:t xml:space="preserve"> eligible for incentive payments after they have obtained login credentials.  Participants must disclose the accounts in which they plan to submit matched trades.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Pr="00006BFE" w:rsidRDefault="005D7C24" w:rsidP="005D7C24">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Program I</w:t>
      </w:r>
      <w:r w:rsidRPr="00006BFE">
        <w:rPr>
          <w:rFonts w:ascii="Times New Roman" w:eastAsia="Calibri" w:hAnsi="Times New Roman" w:cs="Times New Roman"/>
          <w:b/>
          <w:sz w:val="24"/>
          <w:szCs w:val="24"/>
          <w:u w:val="single"/>
        </w:rPr>
        <w:t>ncentives</w:t>
      </w:r>
    </w:p>
    <w:p w:rsidR="005D7C24" w:rsidRPr="00006BFE" w:rsidRDefault="005D7C24" w:rsidP="005D7C24">
      <w:pPr>
        <w:spacing w:after="0" w:line="240" w:lineRule="auto"/>
        <w:rPr>
          <w:rFonts w:ascii="Times New Roman" w:eastAsia="Calibri" w:hAnsi="Times New Roman" w:cs="Times New Roman"/>
          <w:sz w:val="24"/>
          <w:szCs w:val="24"/>
        </w:rPr>
      </w:pPr>
    </w:p>
    <w:p w:rsidR="005D7C24" w:rsidRDefault="005D7C24" w:rsidP="00943B2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Upon meeting all Program obligations, as determined by NFX, </w:t>
      </w:r>
      <w:r w:rsidRPr="00006BFE">
        <w:rPr>
          <w:rFonts w:ascii="Times New Roman" w:hAnsi="Times New Roman" w:cs="Times New Roman"/>
          <w:sz w:val="24"/>
          <w:szCs w:val="24"/>
        </w:rPr>
        <w:t xml:space="preserve">ORBs who submit </w:t>
      </w:r>
      <w:r w:rsidRPr="00943B27">
        <w:rPr>
          <w:rFonts w:ascii="Times New Roman" w:hAnsi="Times New Roman" w:cs="Times New Roman"/>
          <w:sz w:val="24"/>
          <w:szCs w:val="24"/>
        </w:rPr>
        <w:t>Block Trades</w:t>
      </w:r>
      <w:r w:rsidRPr="00006BFE">
        <w:rPr>
          <w:rFonts w:ascii="Times New Roman" w:hAnsi="Times New Roman" w:cs="Times New Roman"/>
          <w:sz w:val="24"/>
          <w:szCs w:val="24"/>
        </w:rPr>
        <w:t xml:space="preserve"> </w:t>
      </w:r>
      <w:r>
        <w:rPr>
          <w:rFonts w:ascii="Times New Roman" w:hAnsi="Times New Roman" w:cs="Times New Roman"/>
          <w:sz w:val="24"/>
          <w:szCs w:val="24"/>
        </w:rPr>
        <w:t>in the Products which are cleared will be eligible for the incentives set forth in the table above under Product Scope.</w:t>
      </w:r>
    </w:p>
    <w:p w:rsidR="00943B27" w:rsidRDefault="00943B27" w:rsidP="00943B27">
      <w:pPr>
        <w:spacing w:after="0" w:line="240" w:lineRule="auto"/>
        <w:rPr>
          <w:rFonts w:ascii="Times New Roman" w:hAnsi="Times New Roman" w:cs="Times New Roman"/>
          <w:sz w:val="24"/>
          <w:szCs w:val="24"/>
        </w:rPr>
      </w:pPr>
    </w:p>
    <w:p w:rsidR="00F83BFF" w:rsidRPr="00431495" w:rsidRDefault="00F83BFF"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 xml:space="preserve">Where an ORB </w:t>
      </w:r>
      <w:r w:rsidR="006C05F8" w:rsidRPr="00431495">
        <w:rPr>
          <w:rFonts w:ascii="Times New Roman" w:hAnsi="Times New Roman" w:cs="Times New Roman"/>
          <w:sz w:val="24"/>
          <w:szCs w:val="24"/>
        </w:rPr>
        <w:t>submits</w:t>
      </w:r>
      <w:r w:rsidRPr="00431495">
        <w:rPr>
          <w:rFonts w:ascii="Times New Roman" w:hAnsi="Times New Roman" w:cs="Times New Roman"/>
          <w:sz w:val="24"/>
          <w:szCs w:val="24"/>
        </w:rPr>
        <w:t xml:space="preserve"> a Fuel Oil Tier Incentive Product, their aggregated volume across all Fuel Oil Tier Incentive Products within a calendar month will be compared with </w:t>
      </w:r>
      <w:r w:rsidR="00105EE0" w:rsidRPr="00431495">
        <w:rPr>
          <w:rFonts w:ascii="Times New Roman" w:hAnsi="Times New Roman" w:cs="Times New Roman"/>
          <w:sz w:val="24"/>
          <w:szCs w:val="24"/>
        </w:rPr>
        <w:t xml:space="preserve">the total volume across all Fuel Oil Tier Incentive Products </w:t>
      </w:r>
      <w:r w:rsidR="00943B27" w:rsidRPr="00431495">
        <w:rPr>
          <w:rFonts w:ascii="Times New Roman" w:hAnsi="Times New Roman" w:cs="Times New Roman"/>
          <w:sz w:val="24"/>
          <w:szCs w:val="24"/>
        </w:rPr>
        <w:t xml:space="preserve">within a calendar month </w:t>
      </w:r>
      <w:r w:rsidR="00105EE0" w:rsidRPr="00431495">
        <w:rPr>
          <w:rFonts w:ascii="Times New Roman" w:hAnsi="Times New Roman" w:cs="Times New Roman"/>
          <w:sz w:val="24"/>
          <w:szCs w:val="24"/>
        </w:rPr>
        <w:t xml:space="preserve">generated </w:t>
      </w:r>
      <w:r w:rsidR="00943B27" w:rsidRPr="00431495">
        <w:rPr>
          <w:rFonts w:ascii="Times New Roman" w:hAnsi="Times New Roman" w:cs="Times New Roman"/>
          <w:sz w:val="24"/>
          <w:szCs w:val="24"/>
        </w:rPr>
        <w:t>by</w:t>
      </w:r>
      <w:r w:rsidR="00105EE0" w:rsidRPr="00431495">
        <w:rPr>
          <w:rFonts w:ascii="Times New Roman" w:hAnsi="Times New Roman" w:cs="Times New Roman"/>
          <w:sz w:val="24"/>
          <w:szCs w:val="24"/>
        </w:rPr>
        <w:t xml:space="preserve"> all ORBs</w:t>
      </w:r>
      <w:r w:rsidR="00943B27" w:rsidRPr="00431495">
        <w:rPr>
          <w:rFonts w:ascii="Times New Roman" w:hAnsi="Times New Roman" w:cs="Times New Roman"/>
          <w:sz w:val="24"/>
          <w:szCs w:val="24"/>
        </w:rPr>
        <w:t>,</w:t>
      </w:r>
      <w:r w:rsidR="00105EE0" w:rsidRPr="00431495">
        <w:rPr>
          <w:rFonts w:ascii="Times New Roman" w:hAnsi="Times New Roman" w:cs="Times New Roman"/>
          <w:sz w:val="24"/>
          <w:szCs w:val="24"/>
        </w:rPr>
        <w:t xml:space="preserve"> to create a market share </w:t>
      </w:r>
      <w:r w:rsidR="00943B27" w:rsidRPr="00431495">
        <w:rPr>
          <w:rFonts w:ascii="Times New Roman" w:hAnsi="Times New Roman" w:cs="Times New Roman"/>
          <w:sz w:val="24"/>
          <w:szCs w:val="24"/>
        </w:rPr>
        <w:t xml:space="preserve">measure </w:t>
      </w:r>
      <w:r w:rsidR="00105EE0" w:rsidRPr="00431495">
        <w:rPr>
          <w:rFonts w:ascii="Times New Roman" w:hAnsi="Times New Roman" w:cs="Times New Roman"/>
          <w:sz w:val="24"/>
          <w:szCs w:val="24"/>
        </w:rPr>
        <w:t xml:space="preserve">for each ORB.  ORBs will then receive an incentive </w:t>
      </w:r>
      <w:r w:rsidR="00943B27" w:rsidRPr="00431495">
        <w:rPr>
          <w:rFonts w:ascii="Times New Roman" w:hAnsi="Times New Roman" w:cs="Times New Roman"/>
          <w:sz w:val="24"/>
          <w:szCs w:val="24"/>
        </w:rPr>
        <w:t>based on their market share</w:t>
      </w:r>
      <w:r w:rsidR="00105EE0" w:rsidRPr="00431495">
        <w:rPr>
          <w:rFonts w:ascii="Times New Roman" w:hAnsi="Times New Roman" w:cs="Times New Roman"/>
          <w:sz w:val="24"/>
          <w:szCs w:val="24"/>
        </w:rPr>
        <w:t xml:space="preserve">: </w:t>
      </w:r>
    </w:p>
    <w:p w:rsidR="00943B27" w:rsidRPr="00431495" w:rsidRDefault="00943B27" w:rsidP="00943B27">
      <w:pPr>
        <w:spacing w:after="0" w:line="240" w:lineRule="auto"/>
        <w:rPr>
          <w:rFonts w:ascii="Times New Roman" w:hAnsi="Times New Roman" w:cs="Times New Roman"/>
          <w:sz w:val="24"/>
          <w:szCs w:val="24"/>
        </w:rPr>
      </w:pPr>
    </w:p>
    <w:p w:rsidR="00105EE0"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l</w:t>
      </w:r>
      <w:r w:rsidR="00105EE0" w:rsidRPr="00431495">
        <w:rPr>
          <w:rFonts w:ascii="Times New Roman" w:hAnsi="Times New Roman" w:cs="Times New Roman"/>
          <w:sz w:val="24"/>
          <w:szCs w:val="24"/>
        </w:rPr>
        <w:t>ess than 10% market share they will receive $1.00 per contract side.</w:t>
      </w:r>
    </w:p>
    <w:p w:rsidR="00105EE0"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w:t>
      </w:r>
      <w:r w:rsidR="00105EE0" w:rsidRPr="00431495">
        <w:rPr>
          <w:rFonts w:ascii="Times New Roman" w:hAnsi="Times New Roman" w:cs="Times New Roman"/>
          <w:sz w:val="24"/>
          <w:szCs w:val="24"/>
        </w:rPr>
        <w:t xml:space="preserve"> </w:t>
      </w:r>
      <w:r w:rsidRPr="00431495">
        <w:rPr>
          <w:rFonts w:ascii="Times New Roman" w:hAnsi="Times New Roman" w:cs="Times New Roman"/>
          <w:sz w:val="24"/>
          <w:szCs w:val="24"/>
        </w:rPr>
        <w:t xml:space="preserve">between </w:t>
      </w:r>
      <w:r w:rsidR="00105EE0" w:rsidRPr="00431495">
        <w:rPr>
          <w:rFonts w:ascii="Times New Roman" w:hAnsi="Times New Roman" w:cs="Times New Roman"/>
          <w:sz w:val="24"/>
          <w:szCs w:val="24"/>
        </w:rPr>
        <w:t xml:space="preserve">10% </w:t>
      </w:r>
      <w:r w:rsidRPr="00431495">
        <w:rPr>
          <w:rFonts w:ascii="Times New Roman" w:hAnsi="Times New Roman" w:cs="Times New Roman"/>
          <w:sz w:val="24"/>
          <w:szCs w:val="24"/>
        </w:rPr>
        <w:t>and 20%</w:t>
      </w:r>
      <w:r w:rsidR="00105EE0" w:rsidRPr="00431495">
        <w:rPr>
          <w:rFonts w:ascii="Times New Roman" w:hAnsi="Times New Roman" w:cs="Times New Roman"/>
          <w:sz w:val="24"/>
          <w:szCs w:val="24"/>
        </w:rPr>
        <w:t xml:space="preserve"> market share they will receive $1.</w:t>
      </w:r>
      <w:r w:rsidRPr="00431495">
        <w:rPr>
          <w:rFonts w:ascii="Times New Roman" w:hAnsi="Times New Roman" w:cs="Times New Roman"/>
          <w:sz w:val="24"/>
          <w:szCs w:val="24"/>
        </w:rPr>
        <w:t>25</w:t>
      </w:r>
      <w:r w:rsidR="00105EE0" w:rsidRPr="00431495">
        <w:rPr>
          <w:rFonts w:ascii="Times New Roman" w:hAnsi="Times New Roman" w:cs="Times New Roman"/>
          <w:sz w:val="24"/>
          <w:szCs w:val="24"/>
        </w:rPr>
        <w:t xml:space="preserve"> per contract side.</w:t>
      </w:r>
    </w:p>
    <w:p w:rsidR="00943B27"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between 20% and 30% market share they will receive $1.75 per contract side.</w:t>
      </w:r>
    </w:p>
    <w:p w:rsidR="00943B27" w:rsidRPr="00431495" w:rsidRDefault="00943B27" w:rsidP="00943B27">
      <w:pPr>
        <w:spacing w:after="0" w:line="240" w:lineRule="auto"/>
        <w:rPr>
          <w:rFonts w:ascii="Times New Roman" w:hAnsi="Times New Roman" w:cs="Times New Roman"/>
          <w:sz w:val="24"/>
          <w:szCs w:val="24"/>
        </w:rPr>
      </w:pPr>
      <w:r w:rsidRPr="00431495">
        <w:rPr>
          <w:rFonts w:ascii="Times New Roman" w:hAnsi="Times New Roman" w:cs="Times New Roman"/>
          <w:sz w:val="24"/>
          <w:szCs w:val="24"/>
        </w:rPr>
        <w:t>For more than 30% market share they will receive $2.75 per contract side.</w:t>
      </w:r>
    </w:p>
    <w:p w:rsidR="00943B27" w:rsidRPr="00943B27" w:rsidRDefault="00943B27" w:rsidP="00943B27">
      <w:pPr>
        <w:spacing w:after="0" w:line="240" w:lineRule="auto"/>
        <w:rPr>
          <w:rFonts w:ascii="Times New Roman" w:hAnsi="Times New Roman" w:cs="Times New Roman"/>
          <w:sz w:val="24"/>
          <w:szCs w:val="24"/>
        </w:rPr>
      </w:pPr>
    </w:p>
    <w:p w:rsidR="005D7C24" w:rsidRDefault="005D7C24" w:rsidP="005D7C24">
      <w:pPr>
        <w:rPr>
          <w:rFonts w:ascii="Times New Roman" w:hAnsi="Times New Roman" w:cs="Times New Roman"/>
          <w:sz w:val="24"/>
          <w:szCs w:val="24"/>
        </w:rPr>
      </w:pPr>
      <w:r w:rsidRPr="00C37052">
        <w:rPr>
          <w:rFonts w:ascii="Times New Roman" w:hAnsi="Times New Roman" w:cs="Times New Roman"/>
          <w:b/>
          <w:sz w:val="24"/>
          <w:szCs w:val="24"/>
          <w:u w:val="single"/>
        </w:rPr>
        <w:t>Monitoring and Termination of Status</w:t>
      </w:r>
    </w:p>
    <w:p w:rsidR="005D7C24" w:rsidRDefault="005D7C24" w:rsidP="005D7C24">
      <w:r>
        <w:rPr>
          <w:rFonts w:ascii="Times New Roman" w:hAnsi="Times New Roman" w:cs="Times New Roman"/>
          <w:sz w:val="24"/>
          <w:szCs w:val="24"/>
        </w:rPr>
        <w:t>NFX shall monitor trading activity and participants’ performance and shall retain the right to revoke Program participant status if it concludes from review that a Program participant no longer meets eligibility requirements.</w:t>
      </w:r>
    </w:p>
    <w:p w:rsidR="005D7C24" w:rsidRDefault="005D7C24" w:rsidP="007E2958">
      <w:pPr>
        <w:spacing w:after="0" w:line="240" w:lineRule="auto"/>
      </w:pPr>
    </w:p>
    <w:sectPr w:rsidR="005D7C24" w:rsidSect="005444C0">
      <w:headerReference w:type="default" r:id="rId13"/>
      <w:headerReference w:type="first" r:id="rId14"/>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0A1" w:rsidRDefault="00D530A1">
      <w:r>
        <w:separator/>
      </w:r>
    </w:p>
  </w:endnote>
  <w:endnote w:type="continuationSeparator" w:id="0">
    <w:p w:rsidR="00D530A1" w:rsidRDefault="00D5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A05EB61F-3629-4FFE-AC84-4A746E59DB8E}"/>
    <w:embedBold r:id="rId2" w:fontKey="{BFA4D335-0FA5-454D-BCFA-F85707730511}"/>
    <w:embedItalic r:id="rId3" w:fontKey="{C3C228F3-24C5-46B0-B9CE-1BC34B59B709}"/>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EF984DAF-4E5D-4985-86EA-39AA874C9F3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0A1" w:rsidRDefault="00D530A1">
      <w:r>
        <w:separator/>
      </w:r>
    </w:p>
  </w:footnote>
  <w:footnote w:type="continuationSeparator" w:id="0">
    <w:p w:rsidR="00D530A1" w:rsidRDefault="00D530A1">
      <w:r>
        <w:continuationSeparator/>
      </w:r>
    </w:p>
  </w:footnote>
  <w:footnote w:id="1">
    <w:p w:rsidR="007E2958" w:rsidRPr="001A4E51" w:rsidRDefault="007E2958" w:rsidP="008E09CB">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w:t>
      </w:r>
      <w:r w:rsidRPr="00DF795B">
        <w:rPr>
          <w:rFonts w:ascii="Times New Roman" w:hAnsi="Times New Roman" w:cs="Times New Roman"/>
          <w:sz w:val="24"/>
          <w:szCs w:val="24"/>
        </w:rPr>
        <w:t xml:space="preserve">The Exchange initially filed the </w:t>
      </w:r>
      <w:r w:rsidR="00F83BFF">
        <w:rPr>
          <w:rFonts w:ascii="Times New Roman" w:hAnsi="Times New Roman" w:cs="Times New Roman"/>
          <w:sz w:val="24"/>
          <w:szCs w:val="24"/>
        </w:rPr>
        <w:t>Program</w:t>
      </w:r>
      <w:r w:rsidRPr="00DF795B">
        <w:rPr>
          <w:rFonts w:ascii="Times New Roman" w:hAnsi="Times New Roman" w:cs="Times New Roman"/>
          <w:sz w:val="24"/>
          <w:szCs w:val="24"/>
        </w:rPr>
        <w:t xml:space="preserve"> as SR-NFX-2015-45 on June 19, 2015 and the Program launched on July 24, 2015.  </w:t>
      </w:r>
      <w:r w:rsidR="008E09CB" w:rsidRPr="00DF795B">
        <w:rPr>
          <w:rFonts w:ascii="Times New Roman" w:hAnsi="Times New Roman" w:cs="Times New Roman"/>
          <w:sz w:val="24"/>
          <w:szCs w:val="24"/>
        </w:rPr>
        <w:t xml:space="preserve">The Exchange recertified the </w:t>
      </w:r>
      <w:r w:rsidR="00F83BFF">
        <w:rPr>
          <w:rFonts w:ascii="Times New Roman" w:hAnsi="Times New Roman" w:cs="Times New Roman"/>
          <w:sz w:val="24"/>
          <w:szCs w:val="24"/>
        </w:rPr>
        <w:t>Program</w:t>
      </w:r>
      <w:r w:rsidR="008E09CB" w:rsidRPr="00DF795B">
        <w:rPr>
          <w:rFonts w:ascii="Times New Roman" w:hAnsi="Times New Roman" w:cs="Times New Roman"/>
          <w:sz w:val="24"/>
          <w:szCs w:val="24"/>
        </w:rPr>
        <w:t xml:space="preserve"> as SR-NFX-2016-71 on July 8, 2016.</w:t>
      </w:r>
      <w:r w:rsidR="00F83BFF">
        <w:rPr>
          <w:rFonts w:ascii="Times New Roman" w:hAnsi="Times New Roman" w:cs="Times New Roman"/>
          <w:sz w:val="24"/>
          <w:szCs w:val="24"/>
        </w:rPr>
        <w:t xml:space="preserve"> </w:t>
      </w:r>
    </w:p>
    <w:p w:rsidR="007E2958" w:rsidRPr="001A4E51" w:rsidRDefault="007E2958" w:rsidP="007E2958">
      <w:pPr>
        <w:pStyle w:val="FootnoteText"/>
        <w:rPr>
          <w:rFonts w:ascii="Times New Roman" w:hAnsi="Times New Roman" w:cs="Times New Roman"/>
          <w:sz w:val="24"/>
          <w:szCs w:val="24"/>
        </w:rPr>
      </w:pPr>
    </w:p>
  </w:footnote>
  <w:footnote w:id="2">
    <w:p w:rsidR="007E2958" w:rsidRDefault="007E2958" w:rsidP="007E2958">
      <w:pPr>
        <w:pStyle w:val="FootnoteText"/>
        <w:rPr>
          <w:rFonts w:ascii="Times New Roman" w:hAnsi="Times New Roman" w:cs="Times New Roman"/>
          <w:sz w:val="24"/>
          <w:szCs w:val="24"/>
        </w:rPr>
      </w:pPr>
      <w:r w:rsidRPr="001A4E51">
        <w:rPr>
          <w:rStyle w:val="FootnoteReference"/>
          <w:rFonts w:ascii="Times New Roman" w:hAnsi="Times New Roman" w:cs="Times New Roman"/>
          <w:sz w:val="24"/>
          <w:szCs w:val="24"/>
        </w:rPr>
        <w:footnoteRef/>
      </w:r>
      <w:r w:rsidRPr="001A4E51">
        <w:rPr>
          <w:rFonts w:ascii="Times New Roman" w:hAnsi="Times New Roman" w:cs="Times New Roman"/>
          <w:sz w:val="24"/>
          <w:szCs w:val="24"/>
        </w:rPr>
        <w:t xml:space="preserve"> “Off</w:t>
      </w:r>
      <w:r>
        <w:rPr>
          <w:rFonts w:ascii="Times New Roman" w:hAnsi="Times New Roman" w:cs="Times New Roman"/>
          <w:sz w:val="24"/>
          <w:szCs w:val="24"/>
        </w:rPr>
        <w:t>-</w:t>
      </w:r>
      <w:r w:rsidRPr="001A4E51">
        <w:rPr>
          <w:rFonts w:ascii="Times New Roman" w:hAnsi="Times New Roman" w:cs="Times New Roman"/>
          <w:sz w:val="24"/>
          <w:szCs w:val="24"/>
        </w:rPr>
        <w:t>Exchange Reporting Broker” is defined in Chapter I, Section 1 of the NFX Rulebook as an Authorized Customer who has received authorization from the Exchange as provided in Chapter V, Section 4(m) which in turn provides that an Off-Exchange Reporting Broker may access the Trading System directly for the purpose of submitting transactions for reporting and clearing if the Off-Exchange Reporting Broker has received authorization from the Exchange and from a Clearing Futures Participant in a form prescribed by the Exchange.</w:t>
      </w:r>
    </w:p>
    <w:p w:rsidR="00431495" w:rsidRPr="001A4E51" w:rsidRDefault="00431495" w:rsidP="007E2958">
      <w:pPr>
        <w:pStyle w:val="FootnoteText"/>
        <w:rPr>
          <w:rFonts w:ascii="Times New Roman" w:hAnsi="Times New Roman" w:cs="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Pr="00F83BFF" w:rsidRDefault="001418CB"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October 7</w:t>
    </w:r>
    <w:r w:rsidR="008225AC" w:rsidRPr="00F83BFF">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sidRPr="00F83BFF">
      <w:rPr>
        <w:rFonts w:ascii="Times New Roman" w:hAnsi="Times New Roman" w:cs="Times New Roman"/>
        <w:sz w:val="20"/>
        <w:szCs w:val="20"/>
      </w:rPr>
      <w:t>SR-NFX-2016</w:t>
    </w:r>
    <w:r w:rsidR="00371610" w:rsidRPr="00F83BFF">
      <w:rPr>
        <w:rFonts w:ascii="Times New Roman" w:hAnsi="Times New Roman" w:cs="Times New Roman"/>
        <w:sz w:val="20"/>
        <w:szCs w:val="20"/>
      </w:rPr>
      <w:t>-</w:t>
    </w:r>
    <w:r w:rsidR="001418CB">
      <w:rPr>
        <w:rFonts w:ascii="Times New Roman" w:hAnsi="Times New Roman" w:cs="Times New Roman"/>
        <w:sz w:val="20"/>
        <w:szCs w:val="20"/>
      </w:rPr>
      <w:t>93</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F96805">
      <w:rPr>
        <w:rFonts w:ascii="Times New Roman" w:hAnsi="Times New Roman" w:cs="Times New Roman"/>
        <w:noProof/>
        <w:sz w:val="20"/>
        <w:szCs w:val="20"/>
      </w:rPr>
      <w:t>6</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44" w:rsidRPr="00955F8C" w:rsidRDefault="00955F8C" w:rsidP="00955F8C">
    <w:pPr>
      <w:pStyle w:val="Header"/>
    </w:pPr>
    <w:r w:rsidRPr="002E383E">
      <w:rPr>
        <w:lang w:eastAsia="en-US"/>
      </w:rPr>
      <w:drawing>
        <wp:anchor distT="0" distB="0" distL="114300" distR="114300" simplePos="0" relativeHeight="251659264" behindDoc="0" locked="1" layoutInCell="1" allowOverlap="1" wp14:anchorId="6EFD944C" wp14:editId="112F24D1">
          <wp:simplePos x="0" y="0"/>
          <wp:positionH relativeFrom="column">
            <wp:posOffset>4265295</wp:posOffset>
          </wp:positionH>
          <wp:positionV relativeFrom="page">
            <wp:posOffset>355600</wp:posOffset>
          </wp:positionV>
          <wp:extent cx="1673225" cy="481330"/>
          <wp:effectExtent l="0" t="0" r="317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481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19"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1"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0"/>
  </w:num>
  <w:num w:numId="5">
    <w:abstractNumId w:val="15"/>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0"/>
  </w:num>
  <w:num w:numId="18">
    <w:abstractNumId w:val="9"/>
  </w:num>
  <w:num w:numId="19">
    <w:abstractNumId w:val="12"/>
  </w:num>
  <w:num w:numId="20">
    <w:abstractNumId w:val="10"/>
  </w:num>
  <w:num w:numId="21">
    <w:abstractNumId w:val="20"/>
  </w:num>
  <w:num w:numId="22">
    <w:abstractNumId w:val="9"/>
  </w:num>
  <w:num w:numId="23">
    <w:abstractNumId w:val="12"/>
  </w:num>
  <w:num w:numId="24">
    <w:abstractNumId w:val="10"/>
  </w:num>
  <w:num w:numId="25">
    <w:abstractNumId w:val="20"/>
  </w:num>
  <w:num w:numId="26">
    <w:abstractNumId w:val="18"/>
  </w:num>
  <w:num w:numId="27">
    <w:abstractNumId w:val="20"/>
  </w:num>
  <w:num w:numId="28">
    <w:abstractNumId w:val="18"/>
  </w:num>
  <w:num w:numId="29">
    <w:abstractNumId w:val="17"/>
  </w:num>
  <w:num w:numId="30">
    <w:abstractNumId w:val="19"/>
  </w:num>
  <w:num w:numId="31">
    <w:abstractNumId w:val="16"/>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6145">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141E6"/>
    <w:rsid w:val="000277E6"/>
    <w:rsid w:val="000313E1"/>
    <w:rsid w:val="00035AE7"/>
    <w:rsid w:val="00043BF8"/>
    <w:rsid w:val="000467B2"/>
    <w:rsid w:val="00047438"/>
    <w:rsid w:val="00051023"/>
    <w:rsid w:val="00054E16"/>
    <w:rsid w:val="00095F3F"/>
    <w:rsid w:val="000A0FF7"/>
    <w:rsid w:val="000A3874"/>
    <w:rsid w:val="000B0F2E"/>
    <w:rsid w:val="000D02B9"/>
    <w:rsid w:val="000D4A76"/>
    <w:rsid w:val="000F5FC6"/>
    <w:rsid w:val="00105EE0"/>
    <w:rsid w:val="001265C8"/>
    <w:rsid w:val="00135BE1"/>
    <w:rsid w:val="001418CB"/>
    <w:rsid w:val="00153179"/>
    <w:rsid w:val="00166D58"/>
    <w:rsid w:val="001746B9"/>
    <w:rsid w:val="0018088D"/>
    <w:rsid w:val="00197F73"/>
    <w:rsid w:val="001A2A6A"/>
    <w:rsid w:val="001C4306"/>
    <w:rsid w:val="001D1708"/>
    <w:rsid w:val="001E53F3"/>
    <w:rsid w:val="00206BF7"/>
    <w:rsid w:val="00213D5A"/>
    <w:rsid w:val="00214905"/>
    <w:rsid w:val="00242C21"/>
    <w:rsid w:val="002610EE"/>
    <w:rsid w:val="00261A57"/>
    <w:rsid w:val="00273392"/>
    <w:rsid w:val="002A147E"/>
    <w:rsid w:val="002A70DC"/>
    <w:rsid w:val="002B0DB3"/>
    <w:rsid w:val="002D1A0E"/>
    <w:rsid w:val="002E3700"/>
    <w:rsid w:val="002F0DC7"/>
    <w:rsid w:val="002F37B4"/>
    <w:rsid w:val="00300E44"/>
    <w:rsid w:val="003017B3"/>
    <w:rsid w:val="00304F17"/>
    <w:rsid w:val="00310833"/>
    <w:rsid w:val="003171C6"/>
    <w:rsid w:val="00337B63"/>
    <w:rsid w:val="00347C6C"/>
    <w:rsid w:val="00352533"/>
    <w:rsid w:val="00353B33"/>
    <w:rsid w:val="003579D4"/>
    <w:rsid w:val="003603D3"/>
    <w:rsid w:val="00363601"/>
    <w:rsid w:val="003658B4"/>
    <w:rsid w:val="00371610"/>
    <w:rsid w:val="00372973"/>
    <w:rsid w:val="003742C7"/>
    <w:rsid w:val="00376EFA"/>
    <w:rsid w:val="00386A23"/>
    <w:rsid w:val="00394142"/>
    <w:rsid w:val="003A1E6B"/>
    <w:rsid w:val="003A25DA"/>
    <w:rsid w:val="003D071F"/>
    <w:rsid w:val="003D2483"/>
    <w:rsid w:val="003D7D45"/>
    <w:rsid w:val="003F1332"/>
    <w:rsid w:val="003F2C96"/>
    <w:rsid w:val="00400D58"/>
    <w:rsid w:val="004166F5"/>
    <w:rsid w:val="00420946"/>
    <w:rsid w:val="00425E24"/>
    <w:rsid w:val="00431495"/>
    <w:rsid w:val="004416D1"/>
    <w:rsid w:val="0044196D"/>
    <w:rsid w:val="00444B42"/>
    <w:rsid w:val="004468C6"/>
    <w:rsid w:val="00451810"/>
    <w:rsid w:val="004623F3"/>
    <w:rsid w:val="00471651"/>
    <w:rsid w:val="004B0B80"/>
    <w:rsid w:val="004B4800"/>
    <w:rsid w:val="004C1038"/>
    <w:rsid w:val="004C595C"/>
    <w:rsid w:val="004E0359"/>
    <w:rsid w:val="004F4A5F"/>
    <w:rsid w:val="004F6A14"/>
    <w:rsid w:val="0050746F"/>
    <w:rsid w:val="00517EAC"/>
    <w:rsid w:val="005444C0"/>
    <w:rsid w:val="0055465F"/>
    <w:rsid w:val="0055547F"/>
    <w:rsid w:val="0056301F"/>
    <w:rsid w:val="005671D2"/>
    <w:rsid w:val="005737C0"/>
    <w:rsid w:val="00575375"/>
    <w:rsid w:val="00584691"/>
    <w:rsid w:val="0059608D"/>
    <w:rsid w:val="005B121C"/>
    <w:rsid w:val="005B3A86"/>
    <w:rsid w:val="005C2E8D"/>
    <w:rsid w:val="005C4063"/>
    <w:rsid w:val="005D6916"/>
    <w:rsid w:val="005D7C24"/>
    <w:rsid w:val="005E244B"/>
    <w:rsid w:val="005E4060"/>
    <w:rsid w:val="005E518E"/>
    <w:rsid w:val="00615BE5"/>
    <w:rsid w:val="0061772D"/>
    <w:rsid w:val="0064234D"/>
    <w:rsid w:val="00642E1A"/>
    <w:rsid w:val="00645538"/>
    <w:rsid w:val="006505E1"/>
    <w:rsid w:val="006512A6"/>
    <w:rsid w:val="006532B0"/>
    <w:rsid w:val="0065383D"/>
    <w:rsid w:val="00662BF1"/>
    <w:rsid w:val="00663AC4"/>
    <w:rsid w:val="00672BD3"/>
    <w:rsid w:val="00674E96"/>
    <w:rsid w:val="00682E52"/>
    <w:rsid w:val="00687792"/>
    <w:rsid w:val="00687FED"/>
    <w:rsid w:val="00690113"/>
    <w:rsid w:val="006A23F0"/>
    <w:rsid w:val="006B55A4"/>
    <w:rsid w:val="006C05F8"/>
    <w:rsid w:val="006C1819"/>
    <w:rsid w:val="006C2BD3"/>
    <w:rsid w:val="006C7C6D"/>
    <w:rsid w:val="006D0516"/>
    <w:rsid w:val="006D5C69"/>
    <w:rsid w:val="006D7316"/>
    <w:rsid w:val="006E620B"/>
    <w:rsid w:val="006F78A0"/>
    <w:rsid w:val="00704A07"/>
    <w:rsid w:val="00706405"/>
    <w:rsid w:val="0071674F"/>
    <w:rsid w:val="00723F8E"/>
    <w:rsid w:val="0073418F"/>
    <w:rsid w:val="00746658"/>
    <w:rsid w:val="007525F5"/>
    <w:rsid w:val="00752A6A"/>
    <w:rsid w:val="007667BD"/>
    <w:rsid w:val="00776855"/>
    <w:rsid w:val="00783552"/>
    <w:rsid w:val="0079548F"/>
    <w:rsid w:val="007A1CAF"/>
    <w:rsid w:val="007B39B4"/>
    <w:rsid w:val="007D2F21"/>
    <w:rsid w:val="007D48A6"/>
    <w:rsid w:val="007D654F"/>
    <w:rsid w:val="007E2958"/>
    <w:rsid w:val="007F6B89"/>
    <w:rsid w:val="00803051"/>
    <w:rsid w:val="008225AC"/>
    <w:rsid w:val="00823846"/>
    <w:rsid w:val="00830474"/>
    <w:rsid w:val="0083294B"/>
    <w:rsid w:val="00845388"/>
    <w:rsid w:val="0084600D"/>
    <w:rsid w:val="008504E3"/>
    <w:rsid w:val="008601E9"/>
    <w:rsid w:val="00862FB8"/>
    <w:rsid w:val="0087322B"/>
    <w:rsid w:val="00895C49"/>
    <w:rsid w:val="008A5035"/>
    <w:rsid w:val="008A6F33"/>
    <w:rsid w:val="008D0EA0"/>
    <w:rsid w:val="008D2006"/>
    <w:rsid w:val="008D575B"/>
    <w:rsid w:val="008E09CB"/>
    <w:rsid w:val="008E113C"/>
    <w:rsid w:val="008E5622"/>
    <w:rsid w:val="008F2A00"/>
    <w:rsid w:val="008F34CB"/>
    <w:rsid w:val="008F39CF"/>
    <w:rsid w:val="009013E0"/>
    <w:rsid w:val="00901585"/>
    <w:rsid w:val="009325A9"/>
    <w:rsid w:val="00940AE9"/>
    <w:rsid w:val="00943B27"/>
    <w:rsid w:val="00946B2C"/>
    <w:rsid w:val="00955F8C"/>
    <w:rsid w:val="009A2490"/>
    <w:rsid w:val="009A5679"/>
    <w:rsid w:val="009D691D"/>
    <w:rsid w:val="009E0F13"/>
    <w:rsid w:val="009E11F4"/>
    <w:rsid w:val="009F7A70"/>
    <w:rsid w:val="00A01B4B"/>
    <w:rsid w:val="00A03815"/>
    <w:rsid w:val="00A06C10"/>
    <w:rsid w:val="00A137D7"/>
    <w:rsid w:val="00A35B1F"/>
    <w:rsid w:val="00A43066"/>
    <w:rsid w:val="00A568CC"/>
    <w:rsid w:val="00A62A66"/>
    <w:rsid w:val="00A74418"/>
    <w:rsid w:val="00A80E30"/>
    <w:rsid w:val="00A85786"/>
    <w:rsid w:val="00A87688"/>
    <w:rsid w:val="00A87D38"/>
    <w:rsid w:val="00A961CE"/>
    <w:rsid w:val="00AB4A64"/>
    <w:rsid w:val="00AB5353"/>
    <w:rsid w:val="00AB6119"/>
    <w:rsid w:val="00AB649F"/>
    <w:rsid w:val="00AC119B"/>
    <w:rsid w:val="00AC6FDD"/>
    <w:rsid w:val="00AD07B6"/>
    <w:rsid w:val="00AD646A"/>
    <w:rsid w:val="00AE5ED0"/>
    <w:rsid w:val="00AF349F"/>
    <w:rsid w:val="00AF47D9"/>
    <w:rsid w:val="00B01B83"/>
    <w:rsid w:val="00B03D03"/>
    <w:rsid w:val="00B040FC"/>
    <w:rsid w:val="00B14D27"/>
    <w:rsid w:val="00B15314"/>
    <w:rsid w:val="00B15816"/>
    <w:rsid w:val="00B16521"/>
    <w:rsid w:val="00B34650"/>
    <w:rsid w:val="00B376CB"/>
    <w:rsid w:val="00B45B23"/>
    <w:rsid w:val="00B46E8E"/>
    <w:rsid w:val="00B5273F"/>
    <w:rsid w:val="00B569C1"/>
    <w:rsid w:val="00B56CCC"/>
    <w:rsid w:val="00B61518"/>
    <w:rsid w:val="00B65CC7"/>
    <w:rsid w:val="00B67098"/>
    <w:rsid w:val="00B679D2"/>
    <w:rsid w:val="00B817A8"/>
    <w:rsid w:val="00B82EFE"/>
    <w:rsid w:val="00B8408C"/>
    <w:rsid w:val="00BA01EC"/>
    <w:rsid w:val="00BB1623"/>
    <w:rsid w:val="00BB1695"/>
    <w:rsid w:val="00BC7B09"/>
    <w:rsid w:val="00BD39A6"/>
    <w:rsid w:val="00BD5978"/>
    <w:rsid w:val="00BD66AD"/>
    <w:rsid w:val="00BF0157"/>
    <w:rsid w:val="00BF2D2F"/>
    <w:rsid w:val="00C03127"/>
    <w:rsid w:val="00C0409C"/>
    <w:rsid w:val="00C0680F"/>
    <w:rsid w:val="00C06CFA"/>
    <w:rsid w:val="00C2091F"/>
    <w:rsid w:val="00C22DCB"/>
    <w:rsid w:val="00C268B4"/>
    <w:rsid w:val="00C31044"/>
    <w:rsid w:val="00C32D24"/>
    <w:rsid w:val="00C43D2B"/>
    <w:rsid w:val="00C448A7"/>
    <w:rsid w:val="00C50A84"/>
    <w:rsid w:val="00C50CD7"/>
    <w:rsid w:val="00C628A0"/>
    <w:rsid w:val="00C654A6"/>
    <w:rsid w:val="00CA65E5"/>
    <w:rsid w:val="00CB6A80"/>
    <w:rsid w:val="00CD6D2F"/>
    <w:rsid w:val="00CE4500"/>
    <w:rsid w:val="00CF7C6B"/>
    <w:rsid w:val="00D05049"/>
    <w:rsid w:val="00D05477"/>
    <w:rsid w:val="00D138C3"/>
    <w:rsid w:val="00D31404"/>
    <w:rsid w:val="00D31F01"/>
    <w:rsid w:val="00D44C87"/>
    <w:rsid w:val="00D527EA"/>
    <w:rsid w:val="00D530A1"/>
    <w:rsid w:val="00D63C25"/>
    <w:rsid w:val="00D700BB"/>
    <w:rsid w:val="00D70163"/>
    <w:rsid w:val="00D725B3"/>
    <w:rsid w:val="00D825F3"/>
    <w:rsid w:val="00D86D6F"/>
    <w:rsid w:val="00DA6428"/>
    <w:rsid w:val="00DB1B21"/>
    <w:rsid w:val="00DC305C"/>
    <w:rsid w:val="00DD389D"/>
    <w:rsid w:val="00DE1FAA"/>
    <w:rsid w:val="00DF2531"/>
    <w:rsid w:val="00DF4F89"/>
    <w:rsid w:val="00DF795B"/>
    <w:rsid w:val="00E00A30"/>
    <w:rsid w:val="00E00C58"/>
    <w:rsid w:val="00E0574E"/>
    <w:rsid w:val="00E05D32"/>
    <w:rsid w:val="00E07DDC"/>
    <w:rsid w:val="00E149BA"/>
    <w:rsid w:val="00E31039"/>
    <w:rsid w:val="00E360CB"/>
    <w:rsid w:val="00E36D1C"/>
    <w:rsid w:val="00E418B5"/>
    <w:rsid w:val="00E42260"/>
    <w:rsid w:val="00E453F6"/>
    <w:rsid w:val="00E462DD"/>
    <w:rsid w:val="00E5071D"/>
    <w:rsid w:val="00E50F10"/>
    <w:rsid w:val="00E57FB8"/>
    <w:rsid w:val="00E62D3A"/>
    <w:rsid w:val="00E67374"/>
    <w:rsid w:val="00E74ECF"/>
    <w:rsid w:val="00E81CD4"/>
    <w:rsid w:val="00E85C6B"/>
    <w:rsid w:val="00E87C9F"/>
    <w:rsid w:val="00EA57C7"/>
    <w:rsid w:val="00EA7DF6"/>
    <w:rsid w:val="00EC12B3"/>
    <w:rsid w:val="00EC1F98"/>
    <w:rsid w:val="00EC63DB"/>
    <w:rsid w:val="00F06CCD"/>
    <w:rsid w:val="00F12343"/>
    <w:rsid w:val="00F16B3B"/>
    <w:rsid w:val="00F16EA3"/>
    <w:rsid w:val="00F17C44"/>
    <w:rsid w:val="00F255EE"/>
    <w:rsid w:val="00F25FF4"/>
    <w:rsid w:val="00F530AB"/>
    <w:rsid w:val="00F535EB"/>
    <w:rsid w:val="00F55BF6"/>
    <w:rsid w:val="00F609A9"/>
    <w:rsid w:val="00F83BFF"/>
    <w:rsid w:val="00F96805"/>
    <w:rsid w:val="00F978A6"/>
    <w:rsid w:val="00FC5EE9"/>
    <w:rsid w:val="00FD25EA"/>
    <w:rsid w:val="00FE61BC"/>
    <w:rsid w:val="00FF4AEE"/>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3d0073"/>
    </o:shapedefaults>
    <o:shapelayout v:ext="edit">
      <o:idmap v:ext="edit" data="1"/>
    </o:shapelayout>
  </w:shapeDefaults>
  <w:decimalSymbol w:val="."/>
  <w:listSeparator w:val=","/>
  <w15:docId w15:val="{940DEC01-A073-4553-8BC6-C30E22B66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paragraph" w:customStyle="1" w:styleId="Default">
    <w:name w:val="Default"/>
    <w:rsid w:val="00D700BB"/>
    <w:pPr>
      <w:autoSpaceDE w:val="0"/>
      <w:autoSpaceDN w:val="0"/>
      <w:adjustRightInd w:val="0"/>
    </w:pPr>
    <w:rPr>
      <w:color w:val="000000"/>
      <w:sz w:val="24"/>
      <w:szCs w:val="24"/>
    </w:rPr>
  </w:style>
  <w:style w:type="paragraph" w:customStyle="1" w:styleId="LetterheadAddress">
    <w:name w:val="Letterhead Address"/>
    <w:basedOn w:val="Normal"/>
    <w:qFormat/>
    <w:rsid w:val="00955F8C"/>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character" w:styleId="FollowedHyperlink">
    <w:name w:val="FollowedHyperlink"/>
    <w:basedOn w:val="DefaultParagraphFont"/>
    <w:rsid w:val="00690113"/>
    <w:rPr>
      <w:color w:val="800080" w:themeColor="followedHyperlink"/>
      <w:u w:val="single"/>
    </w:rPr>
  </w:style>
  <w:style w:type="table" w:customStyle="1" w:styleId="ListTable1Light1">
    <w:name w:val="List Table 1 Light1"/>
    <w:basedOn w:val="TableNormal"/>
    <w:uiPriority w:val="46"/>
    <w:rsid w:val="005D7C24"/>
    <w:pPr>
      <w:jc w:val="both"/>
    </w:pPr>
    <w:rPr>
      <w:rFonts w:eastAsiaTheme="minorHAnsi"/>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semiHidden/>
    <w:unhideWhenUsed/>
    <w:rsid w:val="00D725B3"/>
    <w:rPr>
      <w:sz w:val="16"/>
      <w:szCs w:val="16"/>
    </w:rPr>
  </w:style>
  <w:style w:type="paragraph" w:styleId="CommentText">
    <w:name w:val="annotation text"/>
    <w:basedOn w:val="Normal"/>
    <w:link w:val="CommentTextChar"/>
    <w:semiHidden/>
    <w:unhideWhenUsed/>
    <w:rsid w:val="00D725B3"/>
    <w:pPr>
      <w:spacing w:line="240" w:lineRule="auto"/>
    </w:pPr>
    <w:rPr>
      <w:sz w:val="20"/>
      <w:szCs w:val="20"/>
    </w:rPr>
  </w:style>
  <w:style w:type="character" w:customStyle="1" w:styleId="CommentTextChar">
    <w:name w:val="Comment Text Char"/>
    <w:basedOn w:val="DefaultParagraphFont"/>
    <w:link w:val="CommentText"/>
    <w:semiHidden/>
    <w:rsid w:val="00D725B3"/>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D725B3"/>
    <w:rPr>
      <w:b/>
      <w:bCs/>
    </w:rPr>
  </w:style>
  <w:style w:type="character" w:customStyle="1" w:styleId="CommentSubjectChar">
    <w:name w:val="Comment Subject Char"/>
    <w:basedOn w:val="CommentTextChar"/>
    <w:link w:val="CommentSubject"/>
    <w:semiHidden/>
    <w:rsid w:val="00D725B3"/>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19974764">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14adbe04-9bb2-44af-bb50-1cbc079086ca</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2016-10-07T19:17:11+00:00</Document_x0020_Date>
    <Document_x0020_No xmlns="4b47aac5-4c46-444f-8595-ce09b406fc61">26820</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9B430-DA1B-4525-AA8B-FF06717017A0}"/>
</file>

<file path=customXml/itemProps2.xml><?xml version="1.0" encoding="utf-8"?>
<ds:datastoreItem xmlns:ds="http://schemas.openxmlformats.org/officeDocument/2006/customXml" ds:itemID="{6588A149-2316-40D7-9F36-0E56DBB07D64}"/>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C29BD23F-D6F2-4400-A6D4-B87CEEC8E8E9}"/>
</file>

<file path=customXml/itemProps5.xml><?xml version="1.0" encoding="utf-8"?>
<ds:datastoreItem xmlns:ds="http://schemas.openxmlformats.org/officeDocument/2006/customXml" ds:itemID="{B184A8EE-3483-42B9-B39C-FFC6B1B9097D}"/>
</file>

<file path=docProps/app.xml><?xml version="1.0" encoding="utf-8"?>
<Properties xmlns="http://schemas.openxmlformats.org/officeDocument/2006/extended-properties" xmlns:vt="http://schemas.openxmlformats.org/officeDocument/2006/docPropsVTypes">
  <Template>NASDAQ Futures NFX_Philadelphia letterhead</Template>
  <TotalTime>0</TotalTime>
  <Pages>6</Pages>
  <Words>1277</Words>
  <Characters>7283</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2016-07-14T14:19:00Z</cp:lastPrinted>
  <dcterms:created xsi:type="dcterms:W3CDTF">2016-10-07T18:28:00Z</dcterms:created>
  <dcterms:modified xsi:type="dcterms:W3CDTF">2016-10-07T18:28:00Z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3020400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