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3.xml" ContentType="application/vnd.openxmlformats-officedocument.drawingml.diagramLayout+xml"/>
  <Override PartName="/word/diagrams/drawing3.xml" ContentType="application/vnd.ms-office.drawingml.diagramDrawing+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2.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4B" w:rsidRDefault="005F484B" w:rsidP="001B6ADA">
      <w:pPr>
        <w:pStyle w:val="NoSpacing"/>
        <w:ind w:left="2620" w:firstLine="1310"/>
        <w:rPr>
          <w:rFonts w:ascii="Times New Roman" w:eastAsia="Calibri" w:hAnsi="Times New Roman" w:cs="Times New Roman"/>
          <w:b/>
          <w:bCs/>
          <w:color w:val="333333"/>
          <w:sz w:val="24"/>
          <w:szCs w:val="24"/>
        </w:rPr>
      </w:pPr>
      <w:bookmarkStart w:id="0" w:name="_GoBack"/>
      <w:bookmarkEnd w:id="0"/>
    </w:p>
    <w:p w:rsidR="005F484B" w:rsidRDefault="005F484B" w:rsidP="001B6ADA">
      <w:pPr>
        <w:pStyle w:val="NoSpacing"/>
        <w:ind w:left="2620" w:firstLine="1310"/>
        <w:rPr>
          <w:rFonts w:ascii="Times New Roman" w:eastAsia="Calibri" w:hAnsi="Times New Roman" w:cs="Times New Roman"/>
          <w:b/>
          <w:bCs/>
          <w:color w:val="333333"/>
          <w:sz w:val="24"/>
          <w:szCs w:val="24"/>
        </w:rPr>
      </w:pPr>
    </w:p>
    <w:p w:rsidR="00EC1F98" w:rsidRPr="007F5AEF" w:rsidRDefault="00EC1F98" w:rsidP="001B6ADA">
      <w:pPr>
        <w:pStyle w:val="NoSpacing"/>
        <w:ind w:left="2620" w:firstLine="1310"/>
        <w:rPr>
          <w:rFonts w:ascii="Times New Roman" w:eastAsia="Calibri" w:hAnsi="Times New Roman" w:cs="Times New Roman"/>
          <w:b/>
          <w:bCs/>
          <w:sz w:val="24"/>
          <w:szCs w:val="24"/>
        </w:rPr>
      </w:pPr>
      <w:r w:rsidRPr="007F5AEF">
        <w:rPr>
          <w:rFonts w:ascii="Times New Roman" w:eastAsia="Calibri" w:hAnsi="Times New Roman" w:cs="Times New Roman"/>
          <w:b/>
          <w:bCs/>
          <w:color w:val="333333"/>
          <w:sz w:val="24"/>
          <w:szCs w:val="24"/>
        </w:rPr>
        <w:t>Rule Self-Certification</w:t>
      </w:r>
    </w:p>
    <w:p w:rsidR="00EC1F98" w:rsidRPr="007F5AEF" w:rsidRDefault="00EC1F98" w:rsidP="00EC1F98">
      <w:pPr>
        <w:pStyle w:val="NoSpacing"/>
        <w:rPr>
          <w:rFonts w:ascii="Times New Roman" w:eastAsia="Calibri" w:hAnsi="Times New Roman" w:cs="Times New Roman"/>
          <w:sz w:val="24"/>
          <w:szCs w:val="24"/>
          <w:u w:val="single"/>
        </w:rPr>
      </w:pPr>
    </w:p>
    <w:p w:rsidR="00EC1F98" w:rsidRPr="007F5AEF" w:rsidRDefault="00EC1F98" w:rsidP="00EC1F98">
      <w:pPr>
        <w:pStyle w:val="NoSpacing"/>
        <w:rPr>
          <w:rFonts w:ascii="Times New Roman" w:hAnsi="Times New Roman" w:cs="Times New Roman"/>
          <w:sz w:val="24"/>
          <w:szCs w:val="24"/>
        </w:rPr>
      </w:pPr>
    </w:p>
    <w:p w:rsidR="00EC1F98" w:rsidRPr="007F5AEF" w:rsidRDefault="00983B0F" w:rsidP="00EC1F98">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October 17</w:t>
      </w:r>
      <w:r w:rsidR="00352533" w:rsidRPr="007F5AEF">
        <w:rPr>
          <w:rFonts w:ascii="Times New Roman" w:eastAsia="Calibri" w:hAnsi="Times New Roman" w:cs="Times New Roman"/>
          <w:sz w:val="24"/>
          <w:szCs w:val="24"/>
        </w:rPr>
        <w:t>, 2016</w:t>
      </w:r>
    </w:p>
    <w:p w:rsidR="00EC1F98" w:rsidRPr="007F5AEF" w:rsidRDefault="00EC1F98" w:rsidP="00EC1F98">
      <w:pPr>
        <w:pStyle w:val="NoSpacing"/>
        <w:rPr>
          <w:rFonts w:ascii="Times New Roman" w:eastAsia="Calibri" w:hAnsi="Times New Roman" w:cs="Times New Roman"/>
          <w:sz w:val="24"/>
          <w:szCs w:val="24"/>
        </w:rPr>
      </w:pPr>
    </w:p>
    <w:p w:rsidR="00197F73" w:rsidRPr="007F5AEF" w:rsidRDefault="00197F73" w:rsidP="00197F73">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Christopher J. Kirkpatrick</w:t>
      </w:r>
    </w:p>
    <w:p w:rsidR="00197F73" w:rsidRPr="007F5AEF" w:rsidRDefault="00197F73" w:rsidP="00197F73">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Office of the Secretariat</w:t>
      </w:r>
    </w:p>
    <w:p w:rsidR="00EC1F98" w:rsidRPr="007F5AEF" w:rsidRDefault="00EC1F98" w:rsidP="00197F73">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Commodity Futures Trading Commission</w:t>
      </w:r>
    </w:p>
    <w:p w:rsidR="00EC1F98" w:rsidRPr="007F5AEF" w:rsidRDefault="00EC1F98" w:rsidP="00EC1F98">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Three Lafayette Center</w:t>
      </w:r>
    </w:p>
    <w:p w:rsidR="00EC1F98" w:rsidRPr="007F5AEF" w:rsidRDefault="00EC1F98" w:rsidP="00EC1F98">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1155 21</w:t>
      </w:r>
      <w:r w:rsidRPr="007F5AEF">
        <w:rPr>
          <w:rFonts w:ascii="Times New Roman" w:eastAsia="Calibri" w:hAnsi="Times New Roman" w:cs="Times New Roman"/>
          <w:sz w:val="24"/>
          <w:szCs w:val="24"/>
          <w:vertAlign w:val="superscript"/>
        </w:rPr>
        <w:t>st</w:t>
      </w:r>
      <w:r w:rsidRPr="007F5AEF">
        <w:rPr>
          <w:rFonts w:ascii="Times New Roman" w:eastAsia="Calibri" w:hAnsi="Times New Roman" w:cs="Times New Roman"/>
          <w:sz w:val="24"/>
          <w:szCs w:val="24"/>
        </w:rPr>
        <w:t xml:space="preserve"> Street, NW</w:t>
      </w:r>
    </w:p>
    <w:p w:rsidR="00EC1F98" w:rsidRPr="007F5AEF" w:rsidRDefault="00EC1F98" w:rsidP="00EC1F98">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Washington, DC  20581</w:t>
      </w:r>
    </w:p>
    <w:p w:rsidR="00EC1F98" w:rsidRPr="007F5AEF" w:rsidRDefault="00EC1F98" w:rsidP="00EC1F98">
      <w:pPr>
        <w:pStyle w:val="NoSpacing"/>
        <w:rPr>
          <w:rFonts w:ascii="Times New Roman" w:eastAsia="Times New Roman" w:hAnsi="Times New Roman" w:cs="Times New Roman"/>
          <w:sz w:val="24"/>
          <w:szCs w:val="24"/>
        </w:rPr>
      </w:pPr>
    </w:p>
    <w:p w:rsidR="00352533" w:rsidRPr="007F5AEF" w:rsidRDefault="00352533" w:rsidP="00983B0F">
      <w:pPr>
        <w:pStyle w:val="NoSpacing"/>
        <w:ind w:left="720"/>
        <w:rPr>
          <w:rFonts w:ascii="Times New Roman" w:eastAsia="Calibri" w:hAnsi="Times New Roman" w:cs="Times New Roman"/>
          <w:b/>
          <w:sz w:val="24"/>
          <w:szCs w:val="24"/>
        </w:rPr>
      </w:pPr>
      <w:r w:rsidRPr="007F5AEF">
        <w:rPr>
          <w:rFonts w:ascii="Times New Roman" w:eastAsia="Calibri" w:hAnsi="Times New Roman" w:cs="Times New Roman"/>
          <w:sz w:val="24"/>
          <w:szCs w:val="24"/>
        </w:rPr>
        <w:t xml:space="preserve">Re: </w:t>
      </w:r>
      <w:r w:rsidR="00983B0F" w:rsidRPr="007F5AEF">
        <w:rPr>
          <w:rFonts w:ascii="Times New Roman" w:eastAsia="Calibri" w:hAnsi="Times New Roman" w:cs="Times New Roman"/>
          <w:sz w:val="24"/>
          <w:szCs w:val="24"/>
        </w:rPr>
        <w:t xml:space="preserve"> </w:t>
      </w:r>
      <w:r w:rsidR="00983B0F" w:rsidRPr="007F5AEF">
        <w:rPr>
          <w:rFonts w:ascii="Times New Roman" w:eastAsia="Calibri" w:hAnsi="Times New Roman" w:cs="Times New Roman"/>
          <w:b/>
          <w:sz w:val="24"/>
          <w:szCs w:val="24"/>
        </w:rPr>
        <w:t>Implementation of New Self-Match Prevention Functionality</w:t>
      </w:r>
    </w:p>
    <w:p w:rsidR="00197F73" w:rsidRPr="007F5AEF" w:rsidRDefault="00352533" w:rsidP="00352533">
      <w:pPr>
        <w:pStyle w:val="NoSpacing"/>
        <w:ind w:left="720"/>
        <w:rPr>
          <w:rFonts w:ascii="Times New Roman" w:eastAsia="Calibri" w:hAnsi="Times New Roman" w:cs="Times New Roman"/>
          <w:b/>
          <w:sz w:val="24"/>
          <w:szCs w:val="24"/>
          <w:u w:val="single"/>
        </w:rPr>
      </w:pPr>
      <w:r w:rsidRPr="007F5AEF">
        <w:rPr>
          <w:rFonts w:ascii="Times New Roman" w:eastAsia="Calibri" w:hAnsi="Times New Roman" w:cs="Times New Roman"/>
          <w:b/>
          <w:sz w:val="24"/>
          <w:szCs w:val="24"/>
        </w:rPr>
        <w:t xml:space="preserve">       </w:t>
      </w:r>
      <w:r w:rsidRPr="007F5AEF">
        <w:rPr>
          <w:rFonts w:ascii="Times New Roman" w:eastAsia="Calibri" w:hAnsi="Times New Roman" w:cs="Times New Roman"/>
          <w:b/>
          <w:sz w:val="24"/>
          <w:szCs w:val="24"/>
          <w:u w:val="single"/>
        </w:rPr>
        <w:t>R</w:t>
      </w:r>
      <w:r w:rsidR="00197F73" w:rsidRPr="007F5AEF">
        <w:rPr>
          <w:rFonts w:ascii="Times New Roman" w:eastAsia="Calibri" w:hAnsi="Times New Roman" w:cs="Times New Roman"/>
          <w:b/>
          <w:sz w:val="24"/>
          <w:szCs w:val="24"/>
          <w:u w:val="single"/>
        </w:rPr>
        <w:t>eference File: SR-NFX-20</w:t>
      </w:r>
      <w:r w:rsidR="00F535EB" w:rsidRPr="007F5AEF">
        <w:rPr>
          <w:rFonts w:ascii="Times New Roman" w:eastAsia="Calibri" w:hAnsi="Times New Roman" w:cs="Times New Roman"/>
          <w:b/>
          <w:sz w:val="24"/>
          <w:szCs w:val="24"/>
          <w:u w:val="single"/>
        </w:rPr>
        <w:t>1</w:t>
      </w:r>
      <w:r w:rsidRPr="007F5AEF">
        <w:rPr>
          <w:rFonts w:ascii="Times New Roman" w:eastAsia="Calibri" w:hAnsi="Times New Roman" w:cs="Times New Roman"/>
          <w:b/>
          <w:sz w:val="24"/>
          <w:szCs w:val="24"/>
          <w:u w:val="single"/>
        </w:rPr>
        <w:t>6</w:t>
      </w:r>
      <w:r w:rsidR="00F535EB" w:rsidRPr="007F5AEF">
        <w:rPr>
          <w:rFonts w:ascii="Times New Roman" w:eastAsia="Calibri" w:hAnsi="Times New Roman" w:cs="Times New Roman"/>
          <w:b/>
          <w:sz w:val="24"/>
          <w:szCs w:val="24"/>
          <w:u w:val="single"/>
        </w:rPr>
        <w:t>-</w:t>
      </w:r>
      <w:r w:rsidR="00983B0F" w:rsidRPr="007F5AEF">
        <w:rPr>
          <w:rFonts w:ascii="Times New Roman" w:eastAsia="Calibri" w:hAnsi="Times New Roman" w:cs="Times New Roman"/>
          <w:b/>
          <w:sz w:val="24"/>
          <w:szCs w:val="24"/>
          <w:u w:val="single"/>
        </w:rPr>
        <w:t>96</w:t>
      </w:r>
    </w:p>
    <w:p w:rsidR="00EC1F98" w:rsidRPr="007F5AEF" w:rsidRDefault="00EC1F98" w:rsidP="00EC1F98">
      <w:pPr>
        <w:pStyle w:val="NoSpacing"/>
        <w:ind w:left="720" w:hanging="720"/>
        <w:rPr>
          <w:rFonts w:ascii="Times New Roman" w:hAnsi="Times New Roman" w:cs="Times New Roman"/>
          <w:b/>
          <w:sz w:val="24"/>
          <w:szCs w:val="24"/>
          <w:u w:val="single"/>
        </w:rPr>
      </w:pPr>
    </w:p>
    <w:p w:rsidR="00EC1F98" w:rsidRPr="007F5AEF" w:rsidRDefault="00197F73" w:rsidP="00EC1F98">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Dear Mr. Kirkpatrick:</w:t>
      </w:r>
    </w:p>
    <w:p w:rsidR="00EC1F98" w:rsidRPr="007F5AEF" w:rsidRDefault="00EC1F98" w:rsidP="00EC1F98">
      <w:pPr>
        <w:pStyle w:val="NoSpacing"/>
        <w:rPr>
          <w:rFonts w:ascii="Times New Roman" w:eastAsia="Calibri" w:hAnsi="Times New Roman" w:cs="Times New Roman"/>
          <w:sz w:val="24"/>
          <w:szCs w:val="24"/>
        </w:rPr>
      </w:pPr>
    </w:p>
    <w:p w:rsidR="007F5AEF" w:rsidRPr="007F5AEF" w:rsidRDefault="007F5AEF" w:rsidP="00773C7C">
      <w:pPr>
        <w:pStyle w:val="NoSpacing"/>
        <w:ind w:firstLine="720"/>
        <w:contextualSpacing/>
        <w:jc w:val="both"/>
        <w:rPr>
          <w:rFonts w:ascii="Times New Roman" w:eastAsia="Calibri" w:hAnsi="Times New Roman" w:cs="Times New Roman"/>
          <w:sz w:val="24"/>
          <w:szCs w:val="24"/>
        </w:rPr>
      </w:pPr>
      <w:r w:rsidRPr="007F5AEF">
        <w:rPr>
          <w:rFonts w:ascii="Times New Roman" w:eastAsia="Calibri" w:hAnsi="Times New Roman" w:cs="Times New Roman"/>
          <w:sz w:val="24"/>
          <w:szCs w:val="24"/>
        </w:rPr>
        <w:t>Pursuant to Section 5c(c)(1) of the Commodity Exchange Act, as amended (“</w:t>
      </w:r>
      <w:r w:rsidRPr="007F5AEF">
        <w:rPr>
          <w:rFonts w:ascii="Times New Roman" w:eastAsia="Calibri" w:hAnsi="Times New Roman" w:cs="Times New Roman"/>
          <w:sz w:val="24"/>
          <w:szCs w:val="24"/>
          <w:u w:val="single"/>
        </w:rPr>
        <w:t>Act</w:t>
      </w:r>
      <w:r w:rsidRPr="007F5AEF">
        <w:rPr>
          <w:rFonts w:ascii="Times New Roman" w:eastAsia="Calibri" w:hAnsi="Times New Roman" w:cs="Times New Roman"/>
          <w:sz w:val="24"/>
          <w:szCs w:val="24"/>
        </w:rPr>
        <w:t xml:space="preserve">”), and Section </w:t>
      </w:r>
      <w:r w:rsidRPr="007F5AEF">
        <w:rPr>
          <w:rFonts w:ascii="Times New Roman" w:hAnsi="Times New Roman" w:cs="Times New Roman"/>
          <w:sz w:val="24"/>
          <w:szCs w:val="24"/>
        </w:rPr>
        <w:t xml:space="preserve">40.6(a) </w:t>
      </w:r>
      <w:r w:rsidRPr="007F5AEF">
        <w:rPr>
          <w:rFonts w:ascii="Times New Roman" w:eastAsia="Calibri" w:hAnsi="Times New Roman" w:cs="Times New Roman"/>
          <w:sz w:val="24"/>
          <w:szCs w:val="24"/>
        </w:rPr>
        <w:t xml:space="preserve">of the regulations promulgated by the Commodity Futures Trading Commission </w:t>
      </w:r>
      <w:r w:rsidR="00773C7C">
        <w:rPr>
          <w:rFonts w:ascii="Times New Roman" w:eastAsia="Calibri" w:hAnsi="Times New Roman" w:cs="Times New Roman"/>
          <w:sz w:val="24"/>
          <w:szCs w:val="24"/>
        </w:rPr>
        <w:t xml:space="preserve">(“CFTC” or the “Commission”) </w:t>
      </w:r>
      <w:r w:rsidRPr="007F5AEF">
        <w:rPr>
          <w:rFonts w:ascii="Times New Roman" w:eastAsia="Calibri" w:hAnsi="Times New Roman" w:cs="Times New Roman"/>
          <w:sz w:val="24"/>
          <w:szCs w:val="24"/>
        </w:rPr>
        <w:t>under the Act, NASDAQ Futures, Inc. (“</w:t>
      </w:r>
      <w:smartTag w:uri="urn:schemas-microsoft-com:office:smarttags" w:element="stockticker">
        <w:r w:rsidRPr="007F5AEF">
          <w:rPr>
            <w:rFonts w:ascii="Times New Roman" w:eastAsia="Calibri" w:hAnsi="Times New Roman" w:cs="Times New Roman"/>
            <w:sz w:val="24"/>
            <w:szCs w:val="24"/>
            <w:u w:val="single"/>
          </w:rPr>
          <w:t>NFX</w:t>
        </w:r>
      </w:smartTag>
      <w:r w:rsidRPr="007F5AEF">
        <w:rPr>
          <w:rFonts w:ascii="Times New Roman" w:eastAsia="Calibri" w:hAnsi="Times New Roman" w:cs="Times New Roman"/>
          <w:sz w:val="24"/>
          <w:szCs w:val="24"/>
        </w:rPr>
        <w:t>” or “</w:t>
      </w:r>
      <w:r w:rsidRPr="007F5AEF">
        <w:rPr>
          <w:rFonts w:ascii="Times New Roman" w:eastAsia="Calibri" w:hAnsi="Times New Roman" w:cs="Times New Roman"/>
          <w:sz w:val="24"/>
          <w:szCs w:val="24"/>
          <w:u w:val="single"/>
        </w:rPr>
        <w:t>Exchange</w:t>
      </w:r>
      <w:r w:rsidRPr="007F5AEF">
        <w:rPr>
          <w:rFonts w:ascii="Times New Roman" w:eastAsia="Calibri" w:hAnsi="Times New Roman" w:cs="Times New Roman"/>
          <w:sz w:val="24"/>
          <w:szCs w:val="24"/>
        </w:rPr>
        <w:t xml:space="preserve">”) amends its Rules at Chapter IV, Section 10, entitled “Self-Match Prevention” </w:t>
      </w:r>
      <w:r w:rsidR="00372A0A">
        <w:rPr>
          <w:rFonts w:ascii="Times New Roman" w:eastAsia="Calibri" w:hAnsi="Times New Roman" w:cs="Times New Roman"/>
          <w:sz w:val="24"/>
          <w:szCs w:val="24"/>
        </w:rPr>
        <w:t xml:space="preserve">(“SMP”) </w:t>
      </w:r>
      <w:r w:rsidRPr="007F5AEF">
        <w:rPr>
          <w:rFonts w:ascii="Times New Roman" w:eastAsia="Calibri" w:hAnsi="Times New Roman" w:cs="Times New Roman"/>
          <w:sz w:val="24"/>
          <w:szCs w:val="24"/>
        </w:rPr>
        <w:t xml:space="preserve">as well as its </w:t>
      </w:r>
      <w:r w:rsidR="00062009">
        <w:rPr>
          <w:rFonts w:ascii="Times New Roman" w:eastAsia="Calibri" w:hAnsi="Times New Roman" w:cs="Times New Roman"/>
          <w:sz w:val="24"/>
          <w:szCs w:val="24"/>
        </w:rPr>
        <w:t xml:space="preserve">Mass Quote Protection &amp; </w:t>
      </w:r>
      <w:r w:rsidRPr="007F5AEF">
        <w:rPr>
          <w:rFonts w:ascii="Times New Roman" w:eastAsia="Calibri" w:hAnsi="Times New Roman" w:cs="Times New Roman"/>
          <w:sz w:val="24"/>
          <w:szCs w:val="24"/>
        </w:rPr>
        <w:t>Self-Match Prevention Reference Guide</w:t>
      </w:r>
      <w:r w:rsidR="00DA6700">
        <w:rPr>
          <w:rFonts w:ascii="Times New Roman" w:eastAsia="Calibri" w:hAnsi="Times New Roman" w:cs="Times New Roman"/>
          <w:sz w:val="24"/>
          <w:szCs w:val="24"/>
        </w:rPr>
        <w:t xml:space="preserve"> (“Reference Guide”)</w:t>
      </w:r>
      <w:r w:rsidR="00312BB2">
        <w:rPr>
          <w:rFonts w:ascii="Times New Roman" w:eastAsia="Calibri" w:hAnsi="Times New Roman" w:cs="Times New Roman"/>
          <w:sz w:val="24"/>
          <w:szCs w:val="24"/>
        </w:rPr>
        <w:t>,</w:t>
      </w:r>
      <w:r w:rsidRPr="007F5AEF">
        <w:rPr>
          <w:rFonts w:ascii="Times New Roman" w:eastAsia="Calibri" w:hAnsi="Times New Roman" w:cs="Times New Roman"/>
          <w:sz w:val="24"/>
          <w:szCs w:val="24"/>
        </w:rPr>
        <w:t xml:space="preserve"> to offer Futures Participants additional optionality in selecting the manner </w:t>
      </w:r>
      <w:r w:rsidR="00DA6700">
        <w:rPr>
          <w:rFonts w:ascii="Times New Roman" w:eastAsia="Calibri" w:hAnsi="Times New Roman" w:cs="Times New Roman"/>
          <w:sz w:val="24"/>
          <w:szCs w:val="24"/>
        </w:rPr>
        <w:t xml:space="preserve">by </w:t>
      </w:r>
      <w:r w:rsidRPr="007F5AEF">
        <w:rPr>
          <w:rFonts w:ascii="Times New Roman" w:eastAsia="Calibri" w:hAnsi="Times New Roman" w:cs="Times New Roman"/>
          <w:sz w:val="24"/>
          <w:szCs w:val="24"/>
        </w:rPr>
        <w:t xml:space="preserve">which orders that </w:t>
      </w:r>
      <w:r w:rsidR="00312BB2">
        <w:rPr>
          <w:rFonts w:ascii="Times New Roman" w:eastAsia="Calibri" w:hAnsi="Times New Roman" w:cs="Times New Roman"/>
          <w:sz w:val="24"/>
          <w:szCs w:val="24"/>
        </w:rPr>
        <w:t xml:space="preserve">would result in a </w:t>
      </w:r>
      <w:r w:rsidRPr="007F5AEF">
        <w:rPr>
          <w:rFonts w:ascii="Times New Roman" w:eastAsia="Calibri" w:hAnsi="Times New Roman" w:cs="Times New Roman"/>
          <w:sz w:val="24"/>
          <w:szCs w:val="24"/>
        </w:rPr>
        <w:t xml:space="preserve">self-match </w:t>
      </w:r>
      <w:r w:rsidR="00DA6700">
        <w:rPr>
          <w:rFonts w:ascii="Times New Roman" w:eastAsia="Calibri" w:hAnsi="Times New Roman" w:cs="Times New Roman"/>
          <w:sz w:val="24"/>
          <w:szCs w:val="24"/>
        </w:rPr>
        <w:t xml:space="preserve">are </w:t>
      </w:r>
      <w:r w:rsidRPr="007F5AEF">
        <w:rPr>
          <w:rFonts w:ascii="Times New Roman" w:eastAsia="Calibri" w:hAnsi="Times New Roman" w:cs="Times New Roman"/>
          <w:sz w:val="24"/>
          <w:szCs w:val="24"/>
        </w:rPr>
        <w:t xml:space="preserve">handled.  This rule change will be implemented on </w:t>
      </w:r>
      <w:r w:rsidR="00062009">
        <w:rPr>
          <w:rFonts w:ascii="Times New Roman" w:eastAsia="Calibri" w:hAnsi="Times New Roman" w:cs="Times New Roman"/>
          <w:sz w:val="24"/>
          <w:szCs w:val="24"/>
        </w:rPr>
        <w:t>November 1</w:t>
      </w:r>
      <w:r w:rsidRPr="007F5AEF">
        <w:rPr>
          <w:rFonts w:ascii="Times New Roman" w:eastAsia="Calibri" w:hAnsi="Times New Roman" w:cs="Times New Roman"/>
          <w:sz w:val="24"/>
          <w:szCs w:val="24"/>
        </w:rPr>
        <w:t>, 2016</w:t>
      </w:r>
      <w:r w:rsidR="00312BB2">
        <w:rPr>
          <w:rFonts w:ascii="Times New Roman" w:eastAsia="Calibri" w:hAnsi="Times New Roman" w:cs="Times New Roman"/>
          <w:sz w:val="24"/>
          <w:szCs w:val="24"/>
        </w:rPr>
        <w:t xml:space="preserve"> for trade date November </w:t>
      </w:r>
      <w:r w:rsidR="00062009">
        <w:rPr>
          <w:rFonts w:ascii="Times New Roman" w:eastAsia="Calibri" w:hAnsi="Times New Roman" w:cs="Times New Roman"/>
          <w:sz w:val="24"/>
          <w:szCs w:val="24"/>
        </w:rPr>
        <w:t>2</w:t>
      </w:r>
      <w:r w:rsidR="00312BB2">
        <w:rPr>
          <w:rFonts w:ascii="Times New Roman" w:eastAsia="Calibri" w:hAnsi="Times New Roman" w:cs="Times New Roman"/>
          <w:sz w:val="24"/>
          <w:szCs w:val="24"/>
        </w:rPr>
        <w:t>, 2016</w:t>
      </w:r>
      <w:r w:rsidRPr="007F5AEF">
        <w:rPr>
          <w:rFonts w:ascii="Times New Roman" w:eastAsia="Calibri" w:hAnsi="Times New Roman" w:cs="Times New Roman"/>
          <w:sz w:val="24"/>
          <w:szCs w:val="24"/>
        </w:rPr>
        <w:t xml:space="preserve">.  The text of Chapter IV, Section 10 is set forth in Exhibit A.  The text of the Reference Guide is set forth in Exhibit B.  </w:t>
      </w:r>
    </w:p>
    <w:p w:rsidR="007F5AEF" w:rsidRPr="007F5AEF" w:rsidRDefault="007F5AEF" w:rsidP="00773C7C">
      <w:pPr>
        <w:pStyle w:val="NoSpacing"/>
        <w:contextualSpacing/>
        <w:jc w:val="both"/>
        <w:rPr>
          <w:rFonts w:ascii="Times New Roman" w:eastAsia="Calibri" w:hAnsi="Times New Roman" w:cs="Times New Roman"/>
          <w:sz w:val="24"/>
          <w:szCs w:val="24"/>
        </w:rPr>
      </w:pPr>
    </w:p>
    <w:p w:rsidR="007F5AEF" w:rsidRDefault="00312BB2" w:rsidP="00124D00">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Under the current NFX trading system</w:t>
      </w:r>
      <w:r w:rsidR="00B803E8">
        <w:rPr>
          <w:rFonts w:ascii="Times New Roman" w:hAnsi="Times New Roman" w:cs="Times New Roman"/>
          <w:sz w:val="24"/>
          <w:szCs w:val="24"/>
        </w:rPr>
        <w:t xml:space="preserve"> (</w:t>
      </w:r>
      <w:r>
        <w:rPr>
          <w:rFonts w:ascii="Times New Roman" w:hAnsi="Times New Roman" w:cs="Times New Roman"/>
          <w:sz w:val="24"/>
          <w:szCs w:val="24"/>
        </w:rPr>
        <w:t>“Trading System”)</w:t>
      </w:r>
      <w:r w:rsidR="007F5AEF" w:rsidRPr="007F5AEF">
        <w:rPr>
          <w:rFonts w:ascii="Times New Roman" w:hAnsi="Times New Roman" w:cs="Times New Roman"/>
          <w:sz w:val="24"/>
          <w:szCs w:val="24"/>
        </w:rPr>
        <w:t>, a Futures Participant may elect to have Orders or Quotes</w:t>
      </w:r>
      <w:r w:rsidR="007F5AEF" w:rsidRPr="007F5AEF">
        <w:rPr>
          <w:rStyle w:val="FootnoteReference"/>
          <w:rFonts w:ascii="Times New Roman" w:hAnsi="Times New Roman" w:cs="Times New Roman"/>
          <w:sz w:val="24"/>
          <w:szCs w:val="24"/>
        </w:rPr>
        <w:footnoteReference w:id="1"/>
      </w:r>
      <w:r w:rsidR="007F5AEF" w:rsidRPr="007F5AEF">
        <w:rPr>
          <w:rFonts w:ascii="Times New Roman" w:hAnsi="Times New Roman" w:cs="Times New Roman"/>
          <w:sz w:val="24"/>
          <w:szCs w:val="24"/>
        </w:rPr>
        <w:t xml:space="preserve"> not execute against Orders or Quotes on the opposite side of the market that were entered by a</w:t>
      </w:r>
      <w:r w:rsidR="00DA6700">
        <w:rPr>
          <w:rFonts w:ascii="Times New Roman" w:hAnsi="Times New Roman" w:cs="Times New Roman"/>
          <w:sz w:val="24"/>
          <w:szCs w:val="24"/>
        </w:rPr>
        <w:t xml:space="preserve"> </w:t>
      </w:r>
      <w:r>
        <w:rPr>
          <w:rFonts w:ascii="Times New Roman" w:hAnsi="Times New Roman" w:cs="Times New Roman"/>
          <w:sz w:val="24"/>
          <w:szCs w:val="24"/>
        </w:rPr>
        <w:t>Futures Participant with the same Market Participant User Identification (“MPID”)</w:t>
      </w:r>
      <w:r w:rsidR="007F5AEF" w:rsidRPr="007F5AEF">
        <w:rPr>
          <w:rFonts w:ascii="Times New Roman" w:hAnsi="Times New Roman" w:cs="Times New Roman"/>
          <w:sz w:val="24"/>
          <w:szCs w:val="24"/>
        </w:rPr>
        <w:t xml:space="preserve">.  </w:t>
      </w:r>
      <w:r w:rsidR="00C9651C">
        <w:rPr>
          <w:rFonts w:ascii="Times New Roman" w:hAnsi="Times New Roman" w:cs="Times New Roman"/>
          <w:sz w:val="24"/>
          <w:szCs w:val="24"/>
        </w:rPr>
        <w:t>Under this process</w:t>
      </w:r>
      <w:r w:rsidR="000A3CC3">
        <w:rPr>
          <w:rFonts w:ascii="Times New Roman" w:hAnsi="Times New Roman" w:cs="Times New Roman"/>
          <w:sz w:val="24"/>
          <w:szCs w:val="24"/>
        </w:rPr>
        <w:t>,</w:t>
      </w:r>
      <w:r>
        <w:rPr>
          <w:rFonts w:ascii="Times New Roman" w:hAnsi="Times New Roman" w:cs="Times New Roman"/>
          <w:sz w:val="24"/>
          <w:szCs w:val="24"/>
        </w:rPr>
        <w:t xml:space="preserve"> </w:t>
      </w:r>
      <w:r w:rsidR="000A3CC3">
        <w:rPr>
          <w:rFonts w:ascii="Times New Roman" w:hAnsi="Times New Roman" w:cs="Times New Roman"/>
          <w:sz w:val="24"/>
          <w:szCs w:val="24"/>
        </w:rPr>
        <w:t>the incoming Order or Quote will skip the resting Order or Quote that would result in self-match and match wit</w:t>
      </w:r>
      <w:r w:rsidR="0009249B">
        <w:rPr>
          <w:rFonts w:ascii="Times New Roman" w:hAnsi="Times New Roman" w:cs="Times New Roman"/>
          <w:sz w:val="24"/>
          <w:szCs w:val="24"/>
        </w:rPr>
        <w:t>h the next marketable Order or Q</w:t>
      </w:r>
      <w:r w:rsidR="000A3CC3">
        <w:rPr>
          <w:rFonts w:ascii="Times New Roman" w:hAnsi="Times New Roman" w:cs="Times New Roman"/>
          <w:sz w:val="24"/>
          <w:szCs w:val="24"/>
        </w:rPr>
        <w:t xml:space="preserve">uote from a Futures Participant with a different MPID.  </w:t>
      </w:r>
      <w:r w:rsidR="007F5AEF" w:rsidRPr="007F5AEF">
        <w:rPr>
          <w:rFonts w:ascii="Times New Roman" w:hAnsi="Times New Roman" w:cs="Times New Roman"/>
          <w:sz w:val="24"/>
          <w:szCs w:val="24"/>
        </w:rPr>
        <w:t xml:space="preserve">The Exchange is amending the </w:t>
      </w:r>
      <w:r w:rsidR="00C9651C">
        <w:rPr>
          <w:rFonts w:ascii="Times New Roman" w:hAnsi="Times New Roman" w:cs="Times New Roman"/>
          <w:sz w:val="24"/>
          <w:szCs w:val="24"/>
        </w:rPr>
        <w:t xml:space="preserve">SMP </w:t>
      </w:r>
      <w:r w:rsidR="007F5AEF" w:rsidRPr="007F5AEF">
        <w:rPr>
          <w:rFonts w:ascii="Times New Roman" w:hAnsi="Times New Roman" w:cs="Times New Roman"/>
          <w:sz w:val="24"/>
          <w:szCs w:val="24"/>
        </w:rPr>
        <w:t xml:space="preserve">rule to </w:t>
      </w:r>
      <w:r w:rsidR="00372A0A">
        <w:rPr>
          <w:rFonts w:ascii="Times New Roman" w:hAnsi="Times New Roman" w:cs="Times New Roman"/>
          <w:sz w:val="24"/>
          <w:szCs w:val="24"/>
        </w:rPr>
        <w:t xml:space="preserve">provide </w:t>
      </w:r>
      <w:r w:rsidR="007F5AEF" w:rsidRPr="007F5AEF">
        <w:rPr>
          <w:rFonts w:ascii="Times New Roman" w:hAnsi="Times New Roman" w:cs="Times New Roman"/>
          <w:sz w:val="24"/>
          <w:szCs w:val="24"/>
        </w:rPr>
        <w:t xml:space="preserve">Futures Participants </w:t>
      </w:r>
      <w:r w:rsidR="000A3CC3">
        <w:rPr>
          <w:rFonts w:ascii="Times New Roman" w:hAnsi="Times New Roman" w:cs="Times New Roman"/>
          <w:sz w:val="24"/>
          <w:szCs w:val="24"/>
        </w:rPr>
        <w:t>greater clarity as to how potential self-matching Order</w:t>
      </w:r>
      <w:r w:rsidR="00C9651C">
        <w:rPr>
          <w:rFonts w:ascii="Times New Roman" w:hAnsi="Times New Roman" w:cs="Times New Roman"/>
          <w:sz w:val="24"/>
          <w:szCs w:val="24"/>
        </w:rPr>
        <w:t>s</w:t>
      </w:r>
      <w:r w:rsidR="000A3CC3">
        <w:rPr>
          <w:rFonts w:ascii="Times New Roman" w:hAnsi="Times New Roman" w:cs="Times New Roman"/>
          <w:sz w:val="24"/>
          <w:szCs w:val="24"/>
        </w:rPr>
        <w:t xml:space="preserve"> or Quotes are handled by the Trading System.  Under the new rule, </w:t>
      </w:r>
      <w:r w:rsidR="007F5AEF" w:rsidRPr="007F5AEF">
        <w:rPr>
          <w:rFonts w:ascii="Times New Roman" w:hAnsi="Times New Roman" w:cs="Times New Roman"/>
          <w:sz w:val="24"/>
          <w:szCs w:val="24"/>
        </w:rPr>
        <w:t>Futures Participant</w:t>
      </w:r>
      <w:r w:rsidR="0009249B">
        <w:rPr>
          <w:rFonts w:ascii="Times New Roman" w:hAnsi="Times New Roman" w:cs="Times New Roman"/>
          <w:sz w:val="24"/>
          <w:szCs w:val="24"/>
        </w:rPr>
        <w:t>s</w:t>
      </w:r>
      <w:r w:rsidR="007F5AEF" w:rsidRPr="007F5AEF">
        <w:rPr>
          <w:rFonts w:ascii="Times New Roman" w:hAnsi="Times New Roman" w:cs="Times New Roman"/>
          <w:sz w:val="24"/>
          <w:szCs w:val="24"/>
        </w:rPr>
        <w:t xml:space="preserve"> </w:t>
      </w:r>
      <w:r w:rsidR="000A3CC3">
        <w:rPr>
          <w:rFonts w:ascii="Times New Roman" w:hAnsi="Times New Roman" w:cs="Times New Roman"/>
          <w:sz w:val="24"/>
          <w:szCs w:val="24"/>
        </w:rPr>
        <w:t xml:space="preserve">utilizing SMP must </w:t>
      </w:r>
      <w:r w:rsidR="007F5AEF" w:rsidRPr="007F5AEF">
        <w:rPr>
          <w:rFonts w:ascii="Times New Roman" w:hAnsi="Times New Roman" w:cs="Times New Roman"/>
          <w:sz w:val="24"/>
          <w:szCs w:val="24"/>
        </w:rPr>
        <w:t xml:space="preserve">elect to </w:t>
      </w:r>
      <w:r w:rsidR="00372A0A">
        <w:rPr>
          <w:rFonts w:ascii="Times New Roman" w:hAnsi="Times New Roman" w:cs="Times New Roman"/>
          <w:sz w:val="24"/>
          <w:szCs w:val="24"/>
        </w:rPr>
        <w:t xml:space="preserve">either </w:t>
      </w:r>
      <w:r w:rsidR="007F5AEF" w:rsidRPr="007F5AEF">
        <w:rPr>
          <w:rFonts w:ascii="Times New Roman" w:hAnsi="Times New Roman" w:cs="Times New Roman"/>
          <w:sz w:val="24"/>
          <w:szCs w:val="24"/>
        </w:rPr>
        <w:t xml:space="preserve">(1) cancel the incoming Order or Quote; (2) cancel the resting Order or Quote; </w:t>
      </w:r>
      <w:r w:rsidR="001747F7">
        <w:rPr>
          <w:rFonts w:ascii="Times New Roman" w:hAnsi="Times New Roman" w:cs="Times New Roman"/>
          <w:sz w:val="24"/>
          <w:szCs w:val="24"/>
        </w:rPr>
        <w:t xml:space="preserve">or </w:t>
      </w:r>
      <w:r w:rsidR="007F5AEF" w:rsidRPr="007F5AEF">
        <w:rPr>
          <w:rFonts w:ascii="Times New Roman" w:hAnsi="Times New Roman" w:cs="Times New Roman"/>
          <w:sz w:val="24"/>
          <w:szCs w:val="24"/>
        </w:rPr>
        <w:t xml:space="preserve">(3) </w:t>
      </w:r>
      <w:r w:rsidR="008471A9">
        <w:rPr>
          <w:rFonts w:ascii="Times New Roman" w:hAnsi="Times New Roman" w:cs="Times New Roman"/>
          <w:sz w:val="24"/>
          <w:szCs w:val="24"/>
        </w:rPr>
        <w:t xml:space="preserve">in the case of </w:t>
      </w:r>
      <w:r w:rsidR="00F710D1">
        <w:rPr>
          <w:rFonts w:ascii="Times New Roman" w:hAnsi="Times New Roman" w:cs="Times New Roman"/>
          <w:sz w:val="24"/>
          <w:szCs w:val="24"/>
        </w:rPr>
        <w:t>Implied O</w:t>
      </w:r>
      <w:r w:rsidR="008471A9">
        <w:rPr>
          <w:rFonts w:ascii="Times New Roman" w:hAnsi="Times New Roman" w:cs="Times New Roman"/>
          <w:sz w:val="24"/>
          <w:szCs w:val="24"/>
        </w:rPr>
        <w:t xml:space="preserve">rders, </w:t>
      </w:r>
      <w:r w:rsidR="0009249B">
        <w:rPr>
          <w:rFonts w:ascii="Times New Roman" w:hAnsi="Times New Roman" w:cs="Times New Roman"/>
          <w:sz w:val="24"/>
          <w:szCs w:val="24"/>
        </w:rPr>
        <w:t xml:space="preserve">allow </w:t>
      </w:r>
      <w:r w:rsidR="008471A9">
        <w:rPr>
          <w:rFonts w:ascii="Times New Roman" w:hAnsi="Times New Roman" w:cs="Times New Roman"/>
          <w:sz w:val="24"/>
          <w:szCs w:val="24"/>
        </w:rPr>
        <w:t xml:space="preserve">the incoming </w:t>
      </w:r>
      <w:r w:rsidR="00DA6700">
        <w:rPr>
          <w:rFonts w:ascii="Times New Roman" w:hAnsi="Times New Roman" w:cs="Times New Roman"/>
          <w:sz w:val="24"/>
          <w:szCs w:val="24"/>
        </w:rPr>
        <w:t>O</w:t>
      </w:r>
      <w:r w:rsidR="008471A9">
        <w:rPr>
          <w:rFonts w:ascii="Times New Roman" w:hAnsi="Times New Roman" w:cs="Times New Roman"/>
          <w:sz w:val="24"/>
          <w:szCs w:val="24"/>
        </w:rPr>
        <w:t xml:space="preserve">rder </w:t>
      </w:r>
      <w:r w:rsidR="0009249B">
        <w:rPr>
          <w:rFonts w:ascii="Times New Roman" w:hAnsi="Times New Roman" w:cs="Times New Roman"/>
          <w:sz w:val="24"/>
          <w:szCs w:val="24"/>
        </w:rPr>
        <w:t xml:space="preserve">to </w:t>
      </w:r>
      <w:r w:rsidR="008471A9">
        <w:rPr>
          <w:rFonts w:ascii="Times New Roman" w:hAnsi="Times New Roman" w:cs="Times New Roman"/>
          <w:sz w:val="24"/>
          <w:szCs w:val="24"/>
        </w:rPr>
        <w:t xml:space="preserve">skip the resting </w:t>
      </w:r>
      <w:r w:rsidR="00DA6700">
        <w:rPr>
          <w:rFonts w:ascii="Times New Roman" w:hAnsi="Times New Roman" w:cs="Times New Roman"/>
          <w:sz w:val="24"/>
          <w:szCs w:val="24"/>
        </w:rPr>
        <w:t>O</w:t>
      </w:r>
      <w:r w:rsidR="008471A9">
        <w:rPr>
          <w:rFonts w:ascii="Times New Roman" w:hAnsi="Times New Roman" w:cs="Times New Roman"/>
          <w:sz w:val="24"/>
          <w:szCs w:val="24"/>
        </w:rPr>
        <w:t xml:space="preserve">rder </w:t>
      </w:r>
      <w:r w:rsidR="00DA6700">
        <w:rPr>
          <w:rFonts w:ascii="Times New Roman" w:hAnsi="Times New Roman" w:cs="Times New Roman"/>
          <w:sz w:val="24"/>
          <w:szCs w:val="24"/>
        </w:rPr>
        <w:t xml:space="preserve">or Quote </w:t>
      </w:r>
      <w:r w:rsidR="008471A9">
        <w:rPr>
          <w:rFonts w:ascii="Times New Roman" w:hAnsi="Times New Roman" w:cs="Times New Roman"/>
          <w:sz w:val="24"/>
          <w:szCs w:val="24"/>
        </w:rPr>
        <w:t xml:space="preserve">that would result in </w:t>
      </w:r>
      <w:r w:rsidR="00C9651C">
        <w:rPr>
          <w:rFonts w:ascii="Times New Roman" w:hAnsi="Times New Roman" w:cs="Times New Roman"/>
          <w:sz w:val="24"/>
          <w:szCs w:val="24"/>
        </w:rPr>
        <w:t xml:space="preserve">a </w:t>
      </w:r>
      <w:r w:rsidR="008471A9">
        <w:rPr>
          <w:rFonts w:ascii="Times New Roman" w:hAnsi="Times New Roman" w:cs="Times New Roman"/>
          <w:sz w:val="24"/>
          <w:szCs w:val="24"/>
        </w:rPr>
        <w:t xml:space="preserve">self-match and </w:t>
      </w:r>
      <w:r w:rsidR="00DA6700">
        <w:rPr>
          <w:rFonts w:ascii="Times New Roman" w:hAnsi="Times New Roman" w:cs="Times New Roman"/>
          <w:sz w:val="24"/>
          <w:szCs w:val="24"/>
        </w:rPr>
        <w:lastRenderedPageBreak/>
        <w:t>match with the next marketable O</w:t>
      </w:r>
      <w:r w:rsidR="008471A9">
        <w:rPr>
          <w:rFonts w:ascii="Times New Roman" w:hAnsi="Times New Roman" w:cs="Times New Roman"/>
          <w:sz w:val="24"/>
          <w:szCs w:val="24"/>
        </w:rPr>
        <w:t xml:space="preserve">rder </w:t>
      </w:r>
      <w:r w:rsidR="00DA6700">
        <w:rPr>
          <w:rFonts w:ascii="Times New Roman" w:hAnsi="Times New Roman" w:cs="Times New Roman"/>
          <w:sz w:val="24"/>
          <w:szCs w:val="24"/>
        </w:rPr>
        <w:t xml:space="preserve">or Quote </w:t>
      </w:r>
      <w:r w:rsidR="008471A9" w:rsidRPr="00F507BA">
        <w:rPr>
          <w:rFonts w:ascii="Times New Roman" w:hAnsi="Times New Roman" w:cs="Times New Roman"/>
          <w:sz w:val="24"/>
          <w:szCs w:val="24"/>
        </w:rPr>
        <w:t>of a Futures Participant</w:t>
      </w:r>
      <w:r w:rsidR="008471A9">
        <w:rPr>
          <w:rFonts w:ascii="Times New Roman" w:hAnsi="Times New Roman" w:cs="Times New Roman"/>
          <w:sz w:val="24"/>
          <w:szCs w:val="24"/>
        </w:rPr>
        <w:t xml:space="preserve"> with a different MPID.  </w:t>
      </w:r>
      <w:r w:rsidR="007F5AEF" w:rsidRPr="007F5AEF">
        <w:rPr>
          <w:rFonts w:ascii="Times New Roman" w:hAnsi="Times New Roman" w:cs="Times New Roman"/>
          <w:sz w:val="24"/>
          <w:szCs w:val="24"/>
        </w:rPr>
        <w:t>The Exchange w</w:t>
      </w:r>
      <w:r w:rsidR="00773C7C">
        <w:rPr>
          <w:rFonts w:ascii="Times New Roman" w:hAnsi="Times New Roman" w:cs="Times New Roman"/>
          <w:sz w:val="24"/>
          <w:szCs w:val="24"/>
        </w:rPr>
        <w:t>ill</w:t>
      </w:r>
      <w:r w:rsidR="007F5AEF" w:rsidRPr="007F5AEF">
        <w:rPr>
          <w:rFonts w:ascii="Times New Roman" w:hAnsi="Times New Roman" w:cs="Times New Roman"/>
          <w:sz w:val="24"/>
          <w:szCs w:val="24"/>
        </w:rPr>
        <w:t xml:space="preserve"> continue to offer SMP on an optional basis to Future Participants to prevent against self-match in both the Single and Combination Order Books.  The Exchange believes that these additional choices will allow Futures Participants to better manage their risk.</w:t>
      </w:r>
    </w:p>
    <w:p w:rsidR="00773C7C" w:rsidRPr="007F5AEF" w:rsidRDefault="00773C7C" w:rsidP="00773C7C">
      <w:pPr>
        <w:spacing w:line="240" w:lineRule="auto"/>
        <w:contextualSpacing/>
        <w:jc w:val="both"/>
        <w:rPr>
          <w:rFonts w:ascii="Times New Roman" w:hAnsi="Times New Roman" w:cs="Times New Roman"/>
          <w:sz w:val="24"/>
          <w:szCs w:val="24"/>
        </w:rPr>
      </w:pPr>
    </w:p>
    <w:p w:rsidR="007F5AEF" w:rsidRPr="007F5AEF" w:rsidRDefault="007F5AEF" w:rsidP="00773C7C">
      <w:pPr>
        <w:spacing w:line="240" w:lineRule="auto"/>
        <w:ind w:firstLine="720"/>
        <w:contextualSpacing/>
        <w:jc w:val="both"/>
      </w:pPr>
      <w:r w:rsidRPr="007F5AEF">
        <w:rPr>
          <w:rFonts w:ascii="Times New Roman" w:hAnsi="Times New Roman" w:cs="Times New Roman"/>
          <w:sz w:val="24"/>
          <w:szCs w:val="24"/>
        </w:rPr>
        <w:t xml:space="preserve">The Exchange proposes to make corresponding changes to the Reference Guide to provide further guidance to market participants with respect to the optional protections offered by the Exchange.  In addition, the Exchange has added more specificity to the Reference Guide, including cross references, relocated certain text and added more examples.  The Reference Guide will be posted on the Exchange’s website to provide market participants additional information with respect to these available protections. </w:t>
      </w:r>
    </w:p>
    <w:p w:rsidR="007F5AEF" w:rsidRPr="007F5AEF" w:rsidRDefault="007F5AEF" w:rsidP="00773C7C">
      <w:pPr>
        <w:pStyle w:val="NoSpacing"/>
        <w:ind w:firstLine="720"/>
        <w:contextualSpacing/>
        <w:rPr>
          <w:rFonts w:ascii="Times New Roman" w:eastAsia="Calibri" w:hAnsi="Times New Roman" w:cs="Times New Roman"/>
          <w:sz w:val="24"/>
          <w:szCs w:val="24"/>
        </w:rPr>
      </w:pPr>
      <w:r w:rsidRPr="007F5AEF">
        <w:rPr>
          <w:rFonts w:ascii="Times New Roman" w:eastAsia="Calibri" w:hAnsi="Times New Roman" w:cs="Times New Roman"/>
          <w:sz w:val="24"/>
          <w:szCs w:val="24"/>
        </w:rPr>
        <w:t xml:space="preserve">The Exchange certifies that the amendments comply with the Act and, specifically, the following designated contract market core principles: </w:t>
      </w:r>
    </w:p>
    <w:p w:rsidR="007F5AEF" w:rsidRPr="007F5AEF" w:rsidRDefault="007F5AEF" w:rsidP="00773C7C">
      <w:pPr>
        <w:pStyle w:val="Default"/>
        <w:spacing w:after="27"/>
        <w:ind w:left="720" w:right="720"/>
        <w:contextualSpacing/>
        <w:jc w:val="both"/>
        <w:rPr>
          <w:color w:val="auto"/>
        </w:rPr>
      </w:pPr>
    </w:p>
    <w:p w:rsidR="00D90AEB" w:rsidRDefault="00346C5D" w:rsidP="00773C7C">
      <w:pPr>
        <w:autoSpaceDE w:val="0"/>
        <w:autoSpaceDN w:val="0"/>
        <w:spacing w:after="0" w:line="240" w:lineRule="auto"/>
        <w:contextualSpacing/>
        <w:rPr>
          <w:rFonts w:ascii="Calibri" w:eastAsia="Times New Roman" w:hAnsi="Calibri" w:cs="Times New Roman"/>
        </w:rPr>
      </w:pPr>
      <w:r w:rsidRPr="007F5AEF">
        <w:rPr>
          <w:rFonts w:ascii="Times New Roman" w:eastAsia="Calibri" w:hAnsi="Times New Roman" w:cs="Times New Roman"/>
          <w:sz w:val="24"/>
          <w:szCs w:val="24"/>
        </w:rPr>
        <w:t xml:space="preserve">• </w:t>
      </w:r>
      <w:r w:rsidRPr="00372A0A">
        <w:rPr>
          <w:rFonts w:ascii="Times New Roman" w:eastAsia="Calibri" w:hAnsi="Times New Roman" w:cs="Times New Roman"/>
          <w:i/>
          <w:sz w:val="24"/>
          <w:szCs w:val="24"/>
        </w:rPr>
        <w:t>Protection of market</w:t>
      </w:r>
      <w:r>
        <w:rPr>
          <w:rFonts w:ascii="Times New Roman" w:eastAsia="Calibri" w:hAnsi="Times New Roman" w:cs="Times New Roman"/>
          <w:i/>
          <w:sz w:val="24"/>
          <w:szCs w:val="24"/>
        </w:rPr>
        <w:t>s and market</w:t>
      </w:r>
      <w:r w:rsidRPr="00372A0A">
        <w:rPr>
          <w:rFonts w:ascii="Times New Roman" w:eastAsia="Calibri" w:hAnsi="Times New Roman" w:cs="Times New Roman"/>
          <w:i/>
          <w:sz w:val="24"/>
          <w:szCs w:val="24"/>
        </w:rPr>
        <w:t xml:space="preserve"> participants</w:t>
      </w:r>
      <w:r w:rsidRPr="007F5AEF">
        <w:rPr>
          <w:rFonts w:ascii="Times New Roman" w:eastAsia="Calibri" w:hAnsi="Times New Roman" w:cs="Times New Roman"/>
          <w:sz w:val="24"/>
          <w:szCs w:val="24"/>
        </w:rPr>
        <w:t xml:space="preserve">.  Chapter III of the Exchange’s Rulebook </w:t>
      </w:r>
      <w:r>
        <w:rPr>
          <w:rFonts w:ascii="Times New Roman" w:eastAsia="Calibri" w:hAnsi="Times New Roman" w:cs="Times New Roman"/>
          <w:sz w:val="24"/>
          <w:szCs w:val="24"/>
        </w:rPr>
        <w:t>sets out general trading standards and prohibited practices.  Specifically, NFX prohibits Futures Participants from engaging in wash transactions that create the misleading appearance of activity occurring on the Trading System and/or causes the reporting of a misleading price level.  Th</w:t>
      </w:r>
      <w:r w:rsidR="006A3664">
        <w:rPr>
          <w:rFonts w:ascii="Times New Roman" w:eastAsia="Calibri" w:hAnsi="Times New Roman" w:cs="Times New Roman"/>
          <w:sz w:val="24"/>
          <w:szCs w:val="24"/>
        </w:rPr>
        <w:t>e</w:t>
      </w:r>
      <w:r>
        <w:rPr>
          <w:rFonts w:ascii="Times New Roman" w:eastAsia="Calibri" w:hAnsi="Times New Roman" w:cs="Times New Roman"/>
          <w:sz w:val="24"/>
          <w:szCs w:val="24"/>
        </w:rPr>
        <w:t xml:space="preserve"> new SMP rule will work to reduce the likelihood that Futures Participants will </w:t>
      </w:r>
      <w:r w:rsidR="009B21A4">
        <w:rPr>
          <w:rFonts w:ascii="Times New Roman" w:eastAsia="Calibri" w:hAnsi="Times New Roman" w:cs="Times New Roman"/>
          <w:sz w:val="24"/>
          <w:szCs w:val="24"/>
        </w:rPr>
        <w:t xml:space="preserve">be able to </w:t>
      </w:r>
      <w:r>
        <w:rPr>
          <w:rFonts w:ascii="Times New Roman" w:eastAsia="Calibri" w:hAnsi="Times New Roman" w:cs="Times New Roman"/>
          <w:sz w:val="24"/>
          <w:szCs w:val="24"/>
        </w:rPr>
        <w:t xml:space="preserve">engage in wash trading activity.  This will protect the market by ensuring that </w:t>
      </w:r>
      <w:r w:rsidR="00EE5F7E">
        <w:rPr>
          <w:rFonts w:ascii="Times New Roman" w:eastAsia="Calibri" w:hAnsi="Times New Roman" w:cs="Times New Roman"/>
          <w:sz w:val="24"/>
          <w:szCs w:val="24"/>
        </w:rPr>
        <w:t xml:space="preserve">displayed trading activity </w:t>
      </w:r>
      <w:r>
        <w:rPr>
          <w:rFonts w:ascii="Times New Roman" w:eastAsia="Calibri" w:hAnsi="Times New Roman" w:cs="Times New Roman"/>
          <w:sz w:val="24"/>
          <w:szCs w:val="24"/>
        </w:rPr>
        <w:t xml:space="preserve">accurately reflects the </w:t>
      </w:r>
      <w:r w:rsidR="009B21A4">
        <w:rPr>
          <w:rFonts w:ascii="Times New Roman" w:eastAsia="Calibri" w:hAnsi="Times New Roman" w:cs="Times New Roman"/>
          <w:sz w:val="24"/>
          <w:szCs w:val="24"/>
        </w:rPr>
        <w:t xml:space="preserve">level of supply and demand in any given contract traded on the </w:t>
      </w:r>
      <w:r>
        <w:rPr>
          <w:rFonts w:ascii="Times New Roman" w:eastAsia="Calibri" w:hAnsi="Times New Roman" w:cs="Times New Roman"/>
          <w:sz w:val="24"/>
          <w:szCs w:val="24"/>
        </w:rPr>
        <w:t xml:space="preserve">NFX platform.  </w:t>
      </w:r>
      <w:r w:rsidR="00C9651C">
        <w:rPr>
          <w:rFonts w:ascii="Times New Roman" w:eastAsia="Calibri" w:hAnsi="Times New Roman" w:cs="Times New Roman"/>
          <w:sz w:val="24"/>
          <w:szCs w:val="24"/>
        </w:rPr>
        <w:t xml:space="preserve">This will protect market participants from inadvertently engaging in wash trades.  </w:t>
      </w:r>
    </w:p>
    <w:p w:rsidR="00346C5D" w:rsidRDefault="00346C5D" w:rsidP="00773C7C">
      <w:pPr>
        <w:pStyle w:val="Default"/>
        <w:spacing w:after="27"/>
        <w:contextualSpacing/>
        <w:jc w:val="both"/>
        <w:rPr>
          <w:rFonts w:eastAsia="Calibri"/>
          <w:color w:val="auto"/>
        </w:rPr>
      </w:pPr>
    </w:p>
    <w:p w:rsidR="006A3664" w:rsidRPr="007F5AEF" w:rsidRDefault="006A3664" w:rsidP="00773C7C">
      <w:pPr>
        <w:pStyle w:val="NoSpacing"/>
        <w:contextualSpacing/>
        <w:jc w:val="both"/>
        <w:rPr>
          <w:rFonts w:ascii="Times New Roman" w:eastAsia="Calibri" w:hAnsi="Times New Roman" w:cs="Times New Roman"/>
          <w:sz w:val="24"/>
          <w:szCs w:val="24"/>
        </w:rPr>
      </w:pPr>
      <w:r w:rsidRPr="007F5AEF">
        <w:rPr>
          <w:rFonts w:ascii="Times New Roman" w:eastAsia="Calibri" w:hAnsi="Times New Roman" w:cs="Times New Roman"/>
          <w:sz w:val="24"/>
          <w:szCs w:val="24"/>
        </w:rPr>
        <w:t xml:space="preserve">• </w:t>
      </w:r>
      <w:r w:rsidRPr="00372A0A">
        <w:rPr>
          <w:rFonts w:ascii="Times New Roman" w:eastAsia="Calibri" w:hAnsi="Times New Roman" w:cs="Times New Roman"/>
          <w:i/>
          <w:sz w:val="24"/>
          <w:szCs w:val="24"/>
        </w:rPr>
        <w:t>Execution of Transactions</w:t>
      </w:r>
      <w:r w:rsidRPr="007F5AEF">
        <w:rPr>
          <w:rFonts w:ascii="Times New Roman" w:eastAsia="Calibri" w:hAnsi="Times New Roman" w:cs="Times New Roman"/>
          <w:sz w:val="24"/>
          <w:szCs w:val="24"/>
        </w:rPr>
        <w:t xml:space="preserve">.  The Exchange operates an electronic trading facility that provides Futures Participants with the ability to execute Orders within the Exchange’s Order Book </w:t>
      </w:r>
      <w:r w:rsidR="008C3912">
        <w:rPr>
          <w:rFonts w:ascii="Times New Roman" w:eastAsia="Calibri" w:hAnsi="Times New Roman" w:cs="Times New Roman"/>
          <w:sz w:val="24"/>
          <w:szCs w:val="24"/>
        </w:rPr>
        <w:t xml:space="preserve">using </w:t>
      </w:r>
      <w:r w:rsidRPr="007F5AEF">
        <w:rPr>
          <w:rFonts w:ascii="Times New Roman" w:eastAsia="Calibri" w:hAnsi="Times New Roman" w:cs="Times New Roman"/>
          <w:sz w:val="24"/>
          <w:szCs w:val="24"/>
        </w:rPr>
        <w:t xml:space="preserve">a predetermined automated trade matching and execution algorithm.  Orders submitted into the Trading System will be matched in Price-Time priority.  The Exchange specifies the types of Orders that will be accepted by the Trading System in Chapter IV, Section 4.  </w:t>
      </w:r>
      <w:r>
        <w:rPr>
          <w:rFonts w:ascii="Times New Roman" w:eastAsia="Calibri" w:hAnsi="Times New Roman" w:cs="Times New Roman"/>
          <w:sz w:val="24"/>
          <w:szCs w:val="24"/>
        </w:rPr>
        <w:t xml:space="preserve">The new SMP functionality will allow NFX to continue to protect the price discovery function by ensuring only competitively priced trades are executed on the Trading System.  </w:t>
      </w:r>
    </w:p>
    <w:p w:rsidR="006A3664" w:rsidRDefault="006A3664" w:rsidP="00773C7C">
      <w:pPr>
        <w:pStyle w:val="Default"/>
        <w:spacing w:after="27"/>
        <w:contextualSpacing/>
        <w:jc w:val="both"/>
        <w:rPr>
          <w:rFonts w:eastAsia="Calibri"/>
          <w:color w:val="auto"/>
        </w:rPr>
      </w:pPr>
    </w:p>
    <w:p w:rsidR="009B21A4" w:rsidRPr="007F5AEF" w:rsidRDefault="009B21A4" w:rsidP="00773C7C">
      <w:pPr>
        <w:spacing w:line="240" w:lineRule="auto"/>
        <w:ind w:right="-14"/>
        <w:contextualSpacing/>
        <w:jc w:val="both"/>
      </w:pPr>
      <w:r w:rsidRPr="007F5AEF">
        <w:rPr>
          <w:rFonts w:ascii="Times New Roman" w:hAnsi="Times New Roman" w:cs="Times New Roman"/>
          <w:sz w:val="24"/>
          <w:szCs w:val="24"/>
        </w:rPr>
        <w:t xml:space="preserve">• </w:t>
      </w:r>
      <w:r w:rsidRPr="007F5AEF">
        <w:rPr>
          <w:rFonts w:ascii="Times New Roman" w:hAnsi="Times New Roman" w:cs="Times New Roman"/>
          <w:i/>
          <w:sz w:val="24"/>
          <w:szCs w:val="24"/>
        </w:rPr>
        <w:t>Prevention of Market Disruption</w:t>
      </w:r>
      <w:r w:rsidRPr="007F5AEF">
        <w:rPr>
          <w:rFonts w:ascii="Times New Roman" w:hAnsi="Times New Roman" w:cs="Times New Roman"/>
          <w:sz w:val="24"/>
          <w:szCs w:val="24"/>
        </w:rPr>
        <w:t xml:space="preserve">: The Exchange’s Regulatory Department, which handles real-time surveillance, monitors trading activity on the Exchange with a SMARTS Surveillance Application through which the Exchange can track activity of specific Authorized Traders, monitor price and volume information and receive alerts regarding market messages.  The Exchange’s Regulatory Department utilizes data collected by the SMARTS Surveillance Application to monitor price movements, as well as market conditions and volumes to detect suspicious activity such as manipulation, disruptive trading and other abnormal market activity.   </w:t>
      </w:r>
      <w:r>
        <w:rPr>
          <w:rFonts w:ascii="Times New Roman" w:hAnsi="Times New Roman" w:cs="Times New Roman"/>
          <w:sz w:val="24"/>
          <w:szCs w:val="24"/>
        </w:rPr>
        <w:t>The new SMP functionality will aid the Exchange’s Regulatory Department by allowing it to focus valuable resources on other areas of market disruption that cannot be prevented using automated trading controls</w:t>
      </w:r>
      <w:r w:rsidR="00C9651C">
        <w:rPr>
          <w:rFonts w:ascii="Times New Roman" w:hAnsi="Times New Roman" w:cs="Times New Roman"/>
          <w:sz w:val="24"/>
          <w:szCs w:val="24"/>
        </w:rPr>
        <w:t xml:space="preserve"> such as SMP</w:t>
      </w:r>
      <w:r>
        <w:rPr>
          <w:rFonts w:ascii="Times New Roman" w:hAnsi="Times New Roman" w:cs="Times New Roman"/>
          <w:sz w:val="24"/>
          <w:szCs w:val="24"/>
        </w:rPr>
        <w:t xml:space="preserve">.  </w:t>
      </w:r>
    </w:p>
    <w:p w:rsidR="00124D00" w:rsidRDefault="007F5AEF" w:rsidP="00124D00">
      <w:pPr>
        <w:pStyle w:val="Default"/>
        <w:spacing w:after="27"/>
        <w:contextualSpacing/>
        <w:jc w:val="both"/>
        <w:rPr>
          <w:rFonts w:eastAsia="Calibri"/>
          <w:color w:val="auto"/>
        </w:rPr>
      </w:pPr>
      <w:r w:rsidRPr="007F5AEF">
        <w:rPr>
          <w:rFonts w:eastAsia="Calibri"/>
          <w:color w:val="auto"/>
        </w:rPr>
        <w:t>•</w:t>
      </w:r>
      <w:r w:rsidRPr="00372A0A">
        <w:rPr>
          <w:rFonts w:eastAsia="Calibri"/>
          <w:i/>
          <w:color w:val="auto"/>
        </w:rPr>
        <w:t xml:space="preserve"> Compliance with Rules</w:t>
      </w:r>
      <w:r w:rsidRPr="007F5AEF">
        <w:rPr>
          <w:rFonts w:eastAsia="Calibri"/>
          <w:color w:val="auto"/>
        </w:rPr>
        <w:t>.  The Exchange specifies the manner in which Futures Participants may</w:t>
      </w:r>
      <w:r w:rsidR="001747F7">
        <w:rPr>
          <w:rFonts w:eastAsia="Calibri"/>
          <w:color w:val="auto"/>
        </w:rPr>
        <w:t xml:space="preserve"> </w:t>
      </w:r>
      <w:r w:rsidRPr="007F5AEF">
        <w:rPr>
          <w:rFonts w:eastAsia="Calibri"/>
          <w:color w:val="auto"/>
        </w:rPr>
        <w:t xml:space="preserve">access and trade on NFX.  Chapter II, Section I provides for the qualifications and rules of participation applicable to Futures Participants as well as Authorized Traders.  Futures Participants must utilize the Exchange’s services in a responsible manner, comply with Rules, cooperate with Exchange investigations and inquiries and observe high standards of </w:t>
      </w:r>
      <w:r w:rsidRPr="007F5AEF">
        <w:rPr>
          <w:rFonts w:eastAsia="Calibri"/>
          <w:color w:val="auto"/>
        </w:rPr>
        <w:lastRenderedPageBreak/>
        <w:t>integrity.  In addition</w:t>
      </w:r>
      <w:r w:rsidR="00372A0A">
        <w:rPr>
          <w:rFonts w:eastAsia="Calibri"/>
          <w:color w:val="auto"/>
        </w:rPr>
        <w:t>,</w:t>
      </w:r>
      <w:r w:rsidRPr="007F5AEF">
        <w:rPr>
          <w:rFonts w:eastAsia="Calibri"/>
          <w:color w:val="auto"/>
        </w:rPr>
        <w:t xml:space="preserve"> the Rule provides clear and transparent access criteria and requirements for Futures Participants and Authorized Traders.  Chapter V, Section 18 describes prohibited activities with respect to the Trading System.</w:t>
      </w:r>
    </w:p>
    <w:p w:rsidR="00124D00" w:rsidRDefault="00124D00" w:rsidP="00124D00">
      <w:pPr>
        <w:pStyle w:val="Default"/>
        <w:spacing w:after="27"/>
        <w:contextualSpacing/>
        <w:jc w:val="both"/>
        <w:rPr>
          <w:rFonts w:eastAsia="Calibri"/>
          <w:color w:val="auto"/>
        </w:rPr>
      </w:pPr>
    </w:p>
    <w:p w:rsidR="00773C7C" w:rsidRDefault="007F5AEF" w:rsidP="00124D00">
      <w:pPr>
        <w:pStyle w:val="Default"/>
        <w:spacing w:after="27"/>
        <w:ind w:firstLine="720"/>
        <w:contextualSpacing/>
        <w:jc w:val="both"/>
      </w:pPr>
      <w:r w:rsidRPr="007F5AEF">
        <w:t xml:space="preserve">There were no opposing views among the Exchange’s Board of Directors, members or market participants.  The Exchange hereby certifies that the amendments to </w:t>
      </w:r>
      <w:r w:rsidRPr="007F5AEF">
        <w:rPr>
          <w:rFonts w:eastAsia="Calibri"/>
        </w:rPr>
        <w:t xml:space="preserve">Chapter IV, Section 10 and the </w:t>
      </w:r>
      <w:r w:rsidRPr="007F5AEF">
        <w:t>Reference Guide comply with the Commodity Exchange Act and regulations thereunder.  The Exchange also certifies that a notice of pending certification with the Commission and a copy of this submission have been concurrently posted on the Exchange’s website at</w:t>
      </w:r>
      <w:r w:rsidRPr="007F5AEF">
        <w:rPr>
          <w:rFonts w:eastAsia="Calibri"/>
        </w:rPr>
        <w:t xml:space="preserve"> </w:t>
      </w:r>
      <w:hyperlink r:id="rId11" w:history="1">
        <w:r>
          <w:rPr>
            <w:rStyle w:val="Hyperlink"/>
          </w:rPr>
          <w:t>business.nasdaq.com/futures</w:t>
        </w:r>
      </w:hyperlink>
      <w:r w:rsidRPr="007F5AEF">
        <w:t>.</w:t>
      </w:r>
      <w:r w:rsidR="00DE2FCF">
        <w:t xml:space="preserve">  A Futures Trader Alert, informing NFX’s Futures Participants of the pending changes and the need to select a new SMP functionality by November 1, 2016, is attached to this certification as Exhibit C.  </w:t>
      </w:r>
    </w:p>
    <w:p w:rsidR="00124D00" w:rsidRPr="007F5AEF" w:rsidRDefault="00124D00" w:rsidP="00124D00">
      <w:pPr>
        <w:pStyle w:val="Default"/>
        <w:spacing w:after="27"/>
        <w:ind w:firstLine="720"/>
        <w:contextualSpacing/>
        <w:jc w:val="both"/>
      </w:pPr>
    </w:p>
    <w:p w:rsidR="007F5AEF" w:rsidRPr="007F5AEF" w:rsidRDefault="007F5AEF" w:rsidP="00773C7C">
      <w:pPr>
        <w:spacing w:line="240" w:lineRule="auto"/>
        <w:ind w:firstLine="720"/>
        <w:contextualSpacing/>
        <w:rPr>
          <w:rFonts w:ascii="Times New Roman" w:hAnsi="Times New Roman" w:cs="Times New Roman"/>
          <w:sz w:val="24"/>
          <w:szCs w:val="24"/>
        </w:rPr>
      </w:pPr>
      <w:r w:rsidRPr="007F5AEF">
        <w:rPr>
          <w:rFonts w:ascii="Times New Roman" w:hAnsi="Times New Roman" w:cs="Times New Roman"/>
          <w:sz w:val="24"/>
          <w:szCs w:val="24"/>
        </w:rPr>
        <w:t xml:space="preserve">If you require any additional information regarding the submission, please contact </w:t>
      </w:r>
      <w:r>
        <w:rPr>
          <w:rFonts w:ascii="Times New Roman" w:hAnsi="Times New Roman" w:cs="Times New Roman"/>
          <w:sz w:val="24"/>
          <w:szCs w:val="24"/>
        </w:rPr>
        <w:t xml:space="preserve">Aravind Menon </w:t>
      </w:r>
      <w:r w:rsidRPr="007F5AEF">
        <w:rPr>
          <w:rFonts w:ascii="Times New Roman" w:hAnsi="Times New Roman" w:cs="Times New Roman"/>
          <w:sz w:val="24"/>
          <w:szCs w:val="24"/>
        </w:rPr>
        <w:t>at +1</w:t>
      </w:r>
      <w:r w:rsidR="00346C5D">
        <w:rPr>
          <w:rFonts w:ascii="Times New Roman" w:hAnsi="Times New Roman" w:cs="Times New Roman"/>
          <w:sz w:val="24"/>
          <w:szCs w:val="24"/>
        </w:rPr>
        <w:t>-</w:t>
      </w:r>
      <w:r>
        <w:rPr>
          <w:rFonts w:ascii="Times New Roman" w:hAnsi="Times New Roman" w:cs="Times New Roman"/>
          <w:sz w:val="24"/>
          <w:szCs w:val="24"/>
        </w:rPr>
        <w:t>301</w:t>
      </w:r>
      <w:r w:rsidR="00346C5D">
        <w:rPr>
          <w:rFonts w:ascii="Times New Roman" w:hAnsi="Times New Roman" w:cs="Times New Roman"/>
          <w:sz w:val="24"/>
          <w:szCs w:val="24"/>
        </w:rPr>
        <w:t>-</w:t>
      </w:r>
      <w:r>
        <w:rPr>
          <w:rFonts w:ascii="Times New Roman" w:hAnsi="Times New Roman" w:cs="Times New Roman"/>
          <w:sz w:val="24"/>
          <w:szCs w:val="24"/>
        </w:rPr>
        <w:t>978</w:t>
      </w:r>
      <w:r w:rsidR="00346C5D">
        <w:rPr>
          <w:rFonts w:ascii="Times New Roman" w:hAnsi="Times New Roman" w:cs="Times New Roman"/>
          <w:sz w:val="24"/>
          <w:szCs w:val="24"/>
        </w:rPr>
        <w:t>-</w:t>
      </w:r>
      <w:r>
        <w:rPr>
          <w:rFonts w:ascii="Times New Roman" w:hAnsi="Times New Roman" w:cs="Times New Roman"/>
          <w:sz w:val="24"/>
          <w:szCs w:val="24"/>
        </w:rPr>
        <w:t>8416</w:t>
      </w:r>
      <w:r w:rsidRPr="007F5AEF">
        <w:rPr>
          <w:rFonts w:ascii="Times New Roman" w:hAnsi="Times New Roman" w:cs="Times New Roman"/>
          <w:sz w:val="24"/>
          <w:szCs w:val="24"/>
        </w:rPr>
        <w:t xml:space="preserve"> or via e-mail at </w:t>
      </w:r>
      <w:hyperlink r:id="rId12" w:history="1">
        <w:r w:rsidRPr="00AB2EC3">
          <w:rPr>
            <w:rStyle w:val="Hyperlink"/>
            <w:rFonts w:ascii="Times New Roman" w:hAnsi="Times New Roman" w:cs="Times New Roman"/>
            <w:sz w:val="24"/>
            <w:szCs w:val="24"/>
          </w:rPr>
          <w:t>aravind.menon@nasdaq.com</w:t>
        </w:r>
      </w:hyperlink>
      <w:r w:rsidRPr="007F5AEF">
        <w:rPr>
          <w:rFonts w:ascii="Times New Roman" w:hAnsi="Times New Roman" w:cs="Times New Roman"/>
          <w:sz w:val="24"/>
          <w:szCs w:val="24"/>
        </w:rPr>
        <w:t xml:space="preserve">. </w:t>
      </w:r>
      <w:r w:rsidR="00773C7C">
        <w:rPr>
          <w:rFonts w:ascii="Times New Roman" w:hAnsi="Times New Roman" w:cs="Times New Roman"/>
          <w:sz w:val="24"/>
          <w:szCs w:val="24"/>
        </w:rPr>
        <w:t xml:space="preserve"> Please reference SR-NFX-2016-96</w:t>
      </w:r>
      <w:r w:rsidRPr="007F5AEF">
        <w:rPr>
          <w:rFonts w:ascii="Times New Roman" w:hAnsi="Times New Roman" w:cs="Times New Roman"/>
          <w:sz w:val="24"/>
          <w:szCs w:val="24"/>
        </w:rPr>
        <w:t xml:space="preserve"> in any related correspondence.</w:t>
      </w:r>
    </w:p>
    <w:p w:rsidR="007F5AEF" w:rsidRPr="007F5AEF" w:rsidRDefault="007F5AEF" w:rsidP="00773C7C">
      <w:pPr>
        <w:spacing w:line="240" w:lineRule="auto"/>
        <w:contextualSpacing/>
        <w:rPr>
          <w:rFonts w:ascii="Times New Roman" w:hAnsi="Times New Roman" w:cs="Times New Roman"/>
          <w:sz w:val="24"/>
          <w:szCs w:val="24"/>
        </w:rPr>
      </w:pPr>
    </w:p>
    <w:p w:rsidR="007F5AEF" w:rsidRPr="007F5AEF" w:rsidRDefault="007F5AEF" w:rsidP="00773C7C">
      <w:pPr>
        <w:pStyle w:val="NoSpacing"/>
        <w:ind w:left="2880" w:firstLine="720"/>
        <w:contextualSpacing/>
        <w:rPr>
          <w:rFonts w:ascii="Times New Roman" w:eastAsia="Calibri" w:hAnsi="Times New Roman" w:cs="Times New Roman"/>
          <w:sz w:val="24"/>
          <w:szCs w:val="24"/>
        </w:rPr>
      </w:pPr>
      <w:r w:rsidRPr="007F5AEF">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6E6BFD14" wp14:editId="3FD8ED57">
            <wp:simplePos x="0" y="0"/>
            <wp:positionH relativeFrom="column">
              <wp:posOffset>2196465</wp:posOffset>
            </wp:positionH>
            <wp:positionV relativeFrom="paragraph">
              <wp:posOffset>48260</wp:posOffset>
            </wp:positionV>
            <wp:extent cx="2752725" cy="6381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52725" cy="638175"/>
                    </a:xfrm>
                    <a:prstGeom prst="rect">
                      <a:avLst/>
                    </a:prstGeom>
                    <a:noFill/>
                    <a:ln w="9525">
                      <a:noFill/>
                      <a:miter lim="800000"/>
                      <a:headEnd/>
                      <a:tailEnd/>
                    </a:ln>
                  </pic:spPr>
                </pic:pic>
              </a:graphicData>
            </a:graphic>
          </wp:anchor>
        </w:drawing>
      </w:r>
      <w:r w:rsidRPr="007F5AEF">
        <w:rPr>
          <w:rFonts w:ascii="Times New Roman" w:eastAsia="Calibri" w:hAnsi="Times New Roman" w:cs="Times New Roman"/>
          <w:sz w:val="24"/>
          <w:szCs w:val="24"/>
        </w:rPr>
        <w:t>Regards,</w:t>
      </w:r>
    </w:p>
    <w:p w:rsidR="007F5AEF" w:rsidRPr="007F5AEF" w:rsidRDefault="007F5AEF" w:rsidP="00773C7C">
      <w:pPr>
        <w:pStyle w:val="NoSpacing"/>
        <w:ind w:left="2880" w:firstLine="720"/>
        <w:contextualSpacing/>
        <w:rPr>
          <w:rFonts w:ascii="Times New Roman" w:eastAsia="Calibri" w:hAnsi="Times New Roman" w:cs="Times New Roman"/>
          <w:sz w:val="24"/>
          <w:szCs w:val="24"/>
        </w:rPr>
      </w:pPr>
    </w:p>
    <w:p w:rsidR="007F5AEF" w:rsidRPr="007F5AEF" w:rsidRDefault="007F5AEF" w:rsidP="00773C7C">
      <w:pPr>
        <w:pStyle w:val="NoSpacing"/>
        <w:ind w:left="2880" w:firstLine="720"/>
        <w:contextualSpacing/>
        <w:rPr>
          <w:rFonts w:ascii="Times New Roman" w:hAnsi="Times New Roman" w:cs="Times New Roman"/>
          <w:sz w:val="24"/>
          <w:szCs w:val="24"/>
        </w:rPr>
      </w:pPr>
    </w:p>
    <w:p w:rsidR="007F5AEF" w:rsidRPr="007F5AEF" w:rsidRDefault="007F5AEF" w:rsidP="00773C7C">
      <w:pPr>
        <w:pStyle w:val="NoSpacing"/>
        <w:ind w:left="2880" w:firstLine="720"/>
        <w:contextualSpacing/>
        <w:rPr>
          <w:rFonts w:ascii="Times New Roman" w:hAnsi="Times New Roman" w:cs="Times New Roman"/>
          <w:sz w:val="24"/>
          <w:szCs w:val="24"/>
        </w:rPr>
      </w:pPr>
    </w:p>
    <w:p w:rsidR="007F5AEF" w:rsidRPr="007F5AEF" w:rsidRDefault="007F5AEF" w:rsidP="00773C7C">
      <w:pPr>
        <w:pStyle w:val="NoSpacing"/>
        <w:ind w:left="2880" w:firstLine="720"/>
        <w:contextualSpacing/>
        <w:rPr>
          <w:rFonts w:ascii="Times New Roman" w:eastAsia="Calibri" w:hAnsi="Times New Roman" w:cs="Times New Roman"/>
          <w:sz w:val="24"/>
          <w:szCs w:val="24"/>
        </w:rPr>
      </w:pPr>
      <w:r w:rsidRPr="007F5AEF">
        <w:rPr>
          <w:rFonts w:ascii="Times New Roman" w:eastAsia="Calibri" w:hAnsi="Times New Roman" w:cs="Times New Roman"/>
          <w:sz w:val="24"/>
          <w:szCs w:val="24"/>
        </w:rPr>
        <w:t>Daniel R. Carrigan</w:t>
      </w:r>
    </w:p>
    <w:p w:rsidR="007F5AEF" w:rsidRPr="007F5AEF" w:rsidRDefault="007F5AEF" w:rsidP="00773C7C">
      <w:pPr>
        <w:pStyle w:val="NoSpacing"/>
        <w:ind w:left="2880" w:firstLine="720"/>
        <w:contextualSpacing/>
        <w:rPr>
          <w:rFonts w:ascii="Times New Roman" w:eastAsia="Calibri" w:hAnsi="Times New Roman" w:cs="Times New Roman"/>
          <w:sz w:val="24"/>
          <w:szCs w:val="24"/>
        </w:rPr>
      </w:pPr>
      <w:r w:rsidRPr="007F5AEF">
        <w:rPr>
          <w:rFonts w:ascii="Times New Roman" w:eastAsia="Calibri" w:hAnsi="Times New Roman" w:cs="Times New Roman"/>
          <w:sz w:val="24"/>
          <w:szCs w:val="24"/>
        </w:rPr>
        <w:t>President</w:t>
      </w:r>
    </w:p>
    <w:p w:rsidR="007F5AEF" w:rsidRPr="007F5AEF" w:rsidRDefault="007F5AEF" w:rsidP="007F5AEF">
      <w:pPr>
        <w:pStyle w:val="NoSpacing"/>
        <w:ind w:left="2880" w:firstLine="720"/>
        <w:rPr>
          <w:rFonts w:ascii="Times New Roman" w:eastAsia="Calibri" w:hAnsi="Times New Roman" w:cs="Times New Roman"/>
          <w:sz w:val="24"/>
          <w:szCs w:val="24"/>
        </w:rPr>
      </w:pPr>
    </w:p>
    <w:p w:rsidR="007F5AEF" w:rsidRPr="007F5AEF" w:rsidRDefault="007F5AEF" w:rsidP="007F5AEF">
      <w:pPr>
        <w:pStyle w:val="NoSpacing"/>
        <w:rPr>
          <w:rFonts w:ascii="Times New Roman" w:eastAsia="Calibri" w:hAnsi="Times New Roman" w:cs="Times New Roman"/>
          <w:sz w:val="24"/>
          <w:szCs w:val="24"/>
        </w:rPr>
      </w:pPr>
      <w:r w:rsidRPr="007F5AEF">
        <w:rPr>
          <w:rFonts w:ascii="Times New Roman" w:eastAsia="Calibri" w:hAnsi="Times New Roman" w:cs="Times New Roman"/>
          <w:sz w:val="24"/>
          <w:szCs w:val="24"/>
        </w:rPr>
        <w:t>cc:</w:t>
      </w:r>
      <w:r w:rsidRPr="007F5AEF">
        <w:rPr>
          <w:rFonts w:ascii="Times New Roman" w:eastAsia="Calibri" w:hAnsi="Times New Roman" w:cs="Times New Roman"/>
          <w:sz w:val="24"/>
          <w:szCs w:val="24"/>
        </w:rPr>
        <w:tab/>
        <w:t>National Futures Association</w:t>
      </w:r>
    </w:p>
    <w:p w:rsidR="001E0D3A" w:rsidRDefault="001E0D3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1268E" w:rsidRPr="00BD2799" w:rsidRDefault="0091268E" w:rsidP="0091268E">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Exhibit </w:t>
      </w:r>
      <w:r w:rsidR="00A36131">
        <w:rPr>
          <w:rFonts w:ascii="Times New Roman" w:hAnsi="Times New Roman" w:cs="Times New Roman"/>
          <w:b/>
          <w:sz w:val="24"/>
          <w:szCs w:val="24"/>
          <w:u w:val="single"/>
        </w:rPr>
        <w:t>A</w:t>
      </w:r>
      <w:r w:rsidRPr="00DA063E">
        <w:rPr>
          <w:rFonts w:ascii="Times New Roman" w:hAnsi="Times New Roman" w:cs="Times New Roman"/>
          <w:b/>
          <w:sz w:val="24"/>
          <w:szCs w:val="24"/>
          <w:u w:val="single"/>
        </w:rPr>
        <w:t xml:space="preserve"> </w:t>
      </w:r>
      <w:r w:rsidRPr="00F83BFF">
        <w:rPr>
          <w:rFonts w:ascii="Times New Roman" w:hAnsi="Times New Roman" w:cs="Times New Roman"/>
          <w:b/>
          <w:sz w:val="24"/>
          <w:szCs w:val="24"/>
          <w:u w:val="single"/>
        </w:rPr>
        <w:t>to SR-NFX-2016-</w:t>
      </w:r>
      <w:r>
        <w:rPr>
          <w:rFonts w:ascii="Times New Roman" w:hAnsi="Times New Roman" w:cs="Times New Roman"/>
          <w:b/>
          <w:sz w:val="24"/>
          <w:szCs w:val="24"/>
          <w:u w:val="single"/>
        </w:rPr>
        <w:t>96</w:t>
      </w:r>
    </w:p>
    <w:p w:rsidR="0091268E" w:rsidRPr="000C4580" w:rsidRDefault="0091268E" w:rsidP="0091268E">
      <w:pPr>
        <w:spacing w:after="0" w:line="240" w:lineRule="auto"/>
        <w:ind w:left="2620" w:firstLine="1310"/>
        <w:rPr>
          <w:rFonts w:ascii="Times New Roman" w:eastAsia="Calibri" w:hAnsi="Times New Roman" w:cs="Times New Roman"/>
          <w:b/>
          <w:sz w:val="24"/>
          <w:szCs w:val="24"/>
          <w:u w:val="single"/>
        </w:rPr>
      </w:pPr>
      <w:r w:rsidRPr="000C4580">
        <w:rPr>
          <w:rFonts w:ascii="Times New Roman" w:eastAsia="Calibri" w:hAnsi="Times New Roman" w:cs="Times New Roman"/>
          <w:b/>
          <w:sz w:val="24"/>
          <w:szCs w:val="24"/>
          <w:u w:val="single"/>
        </w:rPr>
        <w:t xml:space="preserve">  </w:t>
      </w:r>
    </w:p>
    <w:p w:rsidR="0091268E" w:rsidRDefault="0091268E" w:rsidP="0091268E">
      <w:pPr>
        <w:spacing w:after="160" w:line="259" w:lineRule="auto"/>
        <w:rPr>
          <w:rFonts w:ascii="Times New Roman" w:hAnsi="Times New Roman" w:cs="Times New Roman"/>
          <w:color w:val="000000"/>
          <w:sz w:val="24"/>
        </w:rPr>
      </w:pPr>
      <w:r w:rsidRPr="004B563F">
        <w:rPr>
          <w:rFonts w:ascii="Times New Roman" w:eastAsia="Calibri" w:hAnsi="Times New Roman" w:cs="Times New Roman"/>
          <w:i/>
          <w:sz w:val="24"/>
          <w:szCs w:val="24"/>
          <w:u w:val="single"/>
        </w:rPr>
        <w:t>New text is underlined</w:t>
      </w:r>
      <w:r>
        <w:rPr>
          <w:rFonts w:ascii="Times New Roman" w:eastAsia="Calibri" w:hAnsi="Times New Roman" w:cs="Times New Roman"/>
          <w:i/>
          <w:sz w:val="24"/>
          <w:szCs w:val="24"/>
          <w:u w:val="single"/>
        </w:rPr>
        <w:t>; deleted text is stricken</w:t>
      </w:r>
    </w:p>
    <w:p w:rsidR="0091268E" w:rsidRDefault="0091268E" w:rsidP="0091268E">
      <w:pPr>
        <w:spacing w:after="160" w:line="259" w:lineRule="auto"/>
        <w:rPr>
          <w:rFonts w:ascii="Times New Roman" w:hAnsi="Times New Roman" w:cs="Times New Roman"/>
          <w:color w:val="000000"/>
          <w:sz w:val="24"/>
        </w:rPr>
      </w:pPr>
      <w:r>
        <w:rPr>
          <w:rFonts w:ascii="Times New Roman" w:hAnsi="Times New Roman" w:cs="Times New Roman"/>
          <w:color w:val="000000"/>
          <w:sz w:val="24"/>
        </w:rPr>
        <w:t>Chapter IV:  Trading System</w:t>
      </w:r>
    </w:p>
    <w:p w:rsidR="0091268E" w:rsidRDefault="0091268E" w:rsidP="0091268E">
      <w:pPr>
        <w:spacing w:after="160" w:line="259" w:lineRule="auto"/>
        <w:rPr>
          <w:rFonts w:ascii="Times New Roman" w:hAnsi="Times New Roman" w:cs="Times New Roman"/>
          <w:color w:val="000000"/>
          <w:sz w:val="24"/>
        </w:rPr>
      </w:pPr>
      <w:r>
        <w:rPr>
          <w:rFonts w:ascii="Times New Roman" w:hAnsi="Times New Roman" w:cs="Times New Roman"/>
          <w:color w:val="000000"/>
          <w:sz w:val="24"/>
        </w:rPr>
        <w:t>*****</w:t>
      </w:r>
    </w:p>
    <w:p w:rsidR="0091268E" w:rsidRPr="0091268E" w:rsidRDefault="0091268E" w:rsidP="0091268E">
      <w:pPr>
        <w:spacing w:after="160" w:line="259" w:lineRule="auto"/>
        <w:rPr>
          <w:rFonts w:ascii="Times New Roman" w:hAnsi="Times New Roman" w:cs="Times New Roman"/>
          <w:color w:val="000000"/>
          <w:sz w:val="24"/>
        </w:rPr>
      </w:pPr>
      <w:r>
        <w:rPr>
          <w:rFonts w:ascii="Times New Roman" w:hAnsi="Times New Roman" w:cs="Times New Roman"/>
          <w:color w:val="000000"/>
          <w:sz w:val="24"/>
        </w:rPr>
        <w:t>Section 10:  Self-Match Prevention</w:t>
      </w:r>
    </w:p>
    <w:p w:rsidR="001E0D3A" w:rsidRPr="00380657" w:rsidRDefault="001E0D3A" w:rsidP="00834A38">
      <w:pPr>
        <w:pStyle w:val="ListParagraph"/>
        <w:numPr>
          <w:ilvl w:val="0"/>
          <w:numId w:val="5"/>
        </w:numPr>
        <w:spacing w:after="160" w:line="259" w:lineRule="auto"/>
        <w:rPr>
          <w:rFonts w:ascii="Times New Roman" w:hAnsi="Times New Roman" w:cs="Times New Roman"/>
          <w:color w:val="000000"/>
          <w:sz w:val="24"/>
        </w:rPr>
      </w:pPr>
      <w:r w:rsidRPr="00380657">
        <w:rPr>
          <w:rFonts w:ascii="Times New Roman" w:hAnsi="Times New Roman" w:cs="Times New Roman"/>
          <w:color w:val="000000"/>
          <w:sz w:val="24"/>
        </w:rPr>
        <w:t xml:space="preserve">Futures Participants may elect that </w:t>
      </w:r>
      <w:r w:rsidRPr="00380657">
        <w:rPr>
          <w:rFonts w:ascii="Times New Roman" w:hAnsi="Times New Roman" w:cs="Times New Roman"/>
          <w:color w:val="000000"/>
          <w:sz w:val="24"/>
          <w:u w:val="single"/>
        </w:rPr>
        <w:t>Single or Combination</w:t>
      </w:r>
      <w:r w:rsidRPr="00380657">
        <w:rPr>
          <w:rFonts w:ascii="Times New Roman" w:hAnsi="Times New Roman" w:cs="Times New Roman"/>
          <w:color w:val="000000"/>
          <w:sz w:val="24"/>
        </w:rPr>
        <w:t xml:space="preserve"> Orders </w:t>
      </w:r>
      <w:r w:rsidRPr="00380657">
        <w:rPr>
          <w:rFonts w:ascii="Times New Roman" w:hAnsi="Times New Roman" w:cs="Times New Roman"/>
          <w:color w:val="000000"/>
          <w:sz w:val="24"/>
          <w:u w:val="single"/>
        </w:rPr>
        <w:t>or Quotes of the Futures Participant</w:t>
      </w:r>
      <w:r w:rsidRPr="00380657">
        <w:rPr>
          <w:rFonts w:ascii="Times New Roman" w:hAnsi="Times New Roman" w:cs="Times New Roman"/>
          <w:color w:val="000000"/>
          <w:sz w:val="24"/>
        </w:rPr>
        <w:t xml:space="preserve"> </w:t>
      </w:r>
      <w:r w:rsidRPr="00ED4517">
        <w:rPr>
          <w:rFonts w:ascii="Times New Roman" w:hAnsi="Times New Roman" w:cs="Times New Roman"/>
          <w:color w:val="000000"/>
          <w:sz w:val="24"/>
        </w:rPr>
        <w:t>not be executed against</w:t>
      </w:r>
      <w:r w:rsidRPr="00380657">
        <w:rPr>
          <w:rFonts w:ascii="Times New Roman" w:hAnsi="Times New Roman" w:cs="Times New Roman"/>
          <w:color w:val="000000"/>
          <w:sz w:val="24"/>
        </w:rPr>
        <w:t xml:space="preserve"> </w:t>
      </w:r>
      <w:r w:rsidRPr="00380657">
        <w:rPr>
          <w:rFonts w:ascii="Times New Roman" w:hAnsi="Times New Roman" w:cs="Times New Roman"/>
          <w:color w:val="000000"/>
          <w:sz w:val="24"/>
          <w:u w:val="single"/>
        </w:rPr>
        <w:t xml:space="preserve">Single or Combination </w:t>
      </w:r>
      <w:r w:rsidRPr="00380657">
        <w:rPr>
          <w:rFonts w:ascii="Times New Roman" w:hAnsi="Times New Roman" w:cs="Times New Roman"/>
          <w:color w:val="000000"/>
          <w:sz w:val="24"/>
        </w:rPr>
        <w:t xml:space="preserve">Orders </w:t>
      </w:r>
      <w:r w:rsidRPr="00380657">
        <w:rPr>
          <w:rFonts w:ascii="Times New Roman" w:hAnsi="Times New Roman" w:cs="Times New Roman"/>
          <w:color w:val="000000"/>
          <w:sz w:val="24"/>
          <w:u w:val="single"/>
        </w:rPr>
        <w:t xml:space="preserve">or Quotes </w:t>
      </w:r>
      <w:r w:rsidRPr="00380657">
        <w:rPr>
          <w:rFonts w:ascii="Times New Roman" w:hAnsi="Times New Roman" w:cs="Times New Roman"/>
          <w:color w:val="000000"/>
          <w:sz w:val="24"/>
        </w:rPr>
        <w:t>entered on the opposite side of the market by its Authorized Traders</w:t>
      </w:r>
      <w:r w:rsidRPr="00380657">
        <w:rPr>
          <w:rFonts w:ascii="Times New Roman" w:hAnsi="Times New Roman" w:cs="Times New Roman"/>
          <w:color w:val="000000"/>
          <w:sz w:val="24"/>
          <w:u w:val="single"/>
        </w:rPr>
        <w:t xml:space="preserve"> with the same Market Participant Identifier (“MPID”)</w:t>
      </w:r>
      <w:r w:rsidRPr="00380657">
        <w:rPr>
          <w:rFonts w:ascii="Times New Roman" w:hAnsi="Times New Roman" w:cs="Times New Roman"/>
          <w:color w:val="000000"/>
          <w:sz w:val="24"/>
        </w:rPr>
        <w:t xml:space="preserve">.  Authorized Traders of a Futures Participant may </w:t>
      </w:r>
      <w:r w:rsidRPr="00380657">
        <w:rPr>
          <w:rFonts w:ascii="Times New Roman" w:hAnsi="Times New Roman" w:cs="Times New Roman"/>
          <w:color w:val="000000"/>
          <w:sz w:val="24"/>
          <w:u w:val="single"/>
        </w:rPr>
        <w:t xml:space="preserve">elect to </w:t>
      </w:r>
      <w:r w:rsidRPr="00380657">
        <w:rPr>
          <w:rFonts w:ascii="Times New Roman" w:hAnsi="Times New Roman" w:cs="Times New Roman"/>
          <w:color w:val="000000"/>
          <w:sz w:val="24"/>
        </w:rPr>
        <w:t xml:space="preserve">be grouped together </w:t>
      </w:r>
      <w:r w:rsidRPr="00380657">
        <w:rPr>
          <w:rFonts w:ascii="Times New Roman" w:hAnsi="Times New Roman" w:cs="Times New Roman"/>
          <w:color w:val="000000"/>
          <w:sz w:val="24"/>
          <w:u w:val="single"/>
        </w:rPr>
        <w:t>with a unique MPID (collectively “Group MPID”),</w:t>
      </w:r>
      <w:r w:rsidRPr="00380657">
        <w:rPr>
          <w:rFonts w:ascii="Times New Roman" w:hAnsi="Times New Roman" w:cs="Times New Roman"/>
          <w:color w:val="000000"/>
          <w:sz w:val="24"/>
        </w:rPr>
        <w:t xml:space="preserve"> for purposes of Self-Match Prevention.  A Futures Participant's Authorized Customer may elect that Orders </w:t>
      </w:r>
      <w:r w:rsidRPr="00380657">
        <w:rPr>
          <w:rFonts w:ascii="Times New Roman" w:hAnsi="Times New Roman" w:cs="Times New Roman"/>
          <w:color w:val="000000"/>
          <w:sz w:val="24"/>
          <w:u w:val="single"/>
        </w:rPr>
        <w:t xml:space="preserve">or Quotes of the Authorized Customer </w:t>
      </w:r>
      <w:r w:rsidRPr="00380657">
        <w:rPr>
          <w:rFonts w:ascii="Times New Roman" w:hAnsi="Times New Roman" w:cs="Times New Roman"/>
          <w:color w:val="000000"/>
          <w:sz w:val="24"/>
        </w:rPr>
        <w:t xml:space="preserve">not be executed against Orders </w:t>
      </w:r>
      <w:r w:rsidRPr="00380657">
        <w:rPr>
          <w:rFonts w:ascii="Times New Roman" w:hAnsi="Times New Roman" w:cs="Times New Roman"/>
          <w:color w:val="000000"/>
          <w:sz w:val="24"/>
          <w:u w:val="single"/>
        </w:rPr>
        <w:t xml:space="preserve">or Quotes </w:t>
      </w:r>
      <w:r w:rsidRPr="00380657">
        <w:rPr>
          <w:rFonts w:ascii="Times New Roman" w:hAnsi="Times New Roman" w:cs="Times New Roman"/>
          <w:color w:val="000000"/>
          <w:sz w:val="24"/>
        </w:rPr>
        <w:t>entered on the opposite side of the market by its Authorized Traders</w:t>
      </w:r>
      <w:r w:rsidRPr="00380657">
        <w:rPr>
          <w:rFonts w:ascii="Times New Roman" w:hAnsi="Times New Roman" w:cs="Times New Roman"/>
          <w:color w:val="000000"/>
          <w:sz w:val="24"/>
          <w:u w:val="single"/>
        </w:rPr>
        <w:t xml:space="preserve"> using the same MPID</w:t>
      </w:r>
      <w:r w:rsidRPr="00380657">
        <w:rPr>
          <w:rFonts w:ascii="Times New Roman" w:hAnsi="Times New Roman" w:cs="Times New Roman"/>
          <w:color w:val="000000"/>
          <w:sz w:val="24"/>
        </w:rPr>
        <w:t xml:space="preserve">. </w:t>
      </w:r>
    </w:p>
    <w:p w:rsidR="001E0D3A" w:rsidRPr="00380657" w:rsidRDefault="001E0D3A" w:rsidP="001E0D3A">
      <w:pPr>
        <w:pStyle w:val="ListParagraph"/>
        <w:ind w:left="1080"/>
        <w:rPr>
          <w:rFonts w:ascii="Times New Roman" w:hAnsi="Times New Roman" w:cs="Times New Roman"/>
          <w:color w:val="000000"/>
          <w:sz w:val="24"/>
        </w:rPr>
      </w:pPr>
    </w:p>
    <w:p w:rsidR="001E0D3A" w:rsidRPr="00380657" w:rsidRDefault="001E0D3A" w:rsidP="00834A38">
      <w:pPr>
        <w:pStyle w:val="ListParagraph"/>
        <w:numPr>
          <w:ilvl w:val="0"/>
          <w:numId w:val="5"/>
        </w:numPr>
        <w:spacing w:after="160" w:line="259" w:lineRule="auto"/>
        <w:rPr>
          <w:rFonts w:ascii="Times New Roman" w:hAnsi="Times New Roman" w:cs="Times New Roman"/>
          <w:sz w:val="24"/>
        </w:rPr>
      </w:pPr>
      <w:r w:rsidRPr="00380657">
        <w:rPr>
          <w:rFonts w:ascii="Times New Roman" w:hAnsi="Times New Roman" w:cs="Times New Roman"/>
          <w:color w:val="000000"/>
          <w:sz w:val="24"/>
        </w:rPr>
        <w:t xml:space="preserve">If Self-Match is engaged, </w:t>
      </w:r>
      <w:r w:rsidRPr="00380657">
        <w:rPr>
          <w:rFonts w:ascii="Times New Roman" w:hAnsi="Times New Roman" w:cs="Times New Roman"/>
          <w:color w:val="000000"/>
          <w:sz w:val="24"/>
          <w:u w:val="single"/>
        </w:rPr>
        <w:t xml:space="preserve">the Trading System will remove certain Orders or Quotes that would otherwise match with Orders or Quotes of Authorized Traders using the same Group MPID.  In the case of Implied Orders, an Order or Quote that would result in a self-match will not be removed.  Instead, the Implied Order will skip to the next marketable Order or Quote in the Order Book that will not result in a self-match.  In the event there is no other marketable Order or Quote in the Order Book, the incoming Order or Quote will be removed, except Incoming Implied Orders may be generated in the Order Book at one minimum trading increment away from the best bid or offer.  </w:t>
      </w:r>
    </w:p>
    <w:p w:rsidR="001E0D3A" w:rsidRPr="00380657" w:rsidRDefault="001E0D3A" w:rsidP="001E0D3A">
      <w:pPr>
        <w:pStyle w:val="ListParagraph"/>
        <w:ind w:left="1080"/>
        <w:rPr>
          <w:rFonts w:ascii="Times New Roman" w:hAnsi="Times New Roman" w:cs="Times New Roman"/>
          <w:sz w:val="24"/>
        </w:rPr>
      </w:pPr>
    </w:p>
    <w:p w:rsidR="001E0D3A" w:rsidRPr="00380657" w:rsidRDefault="001E0D3A" w:rsidP="00834A38">
      <w:pPr>
        <w:pStyle w:val="ListParagraph"/>
        <w:numPr>
          <w:ilvl w:val="0"/>
          <w:numId w:val="5"/>
        </w:numPr>
        <w:spacing w:after="160" w:line="259" w:lineRule="auto"/>
        <w:rPr>
          <w:rFonts w:ascii="Times New Roman" w:hAnsi="Times New Roman" w:cs="Times New Roman"/>
          <w:sz w:val="24"/>
        </w:rPr>
      </w:pPr>
      <w:r w:rsidRPr="00380657">
        <w:rPr>
          <w:rFonts w:ascii="Times New Roman" w:hAnsi="Times New Roman" w:cs="Times New Roman"/>
          <w:strike/>
          <w:color w:val="000000"/>
          <w:sz w:val="24"/>
        </w:rPr>
        <w:t>the last Order which is entered on the opposite side of the market at a price which is at or better than the affiliated Futures Participant's Authorized Trader's bid or offer will be ineligible to execute against that Order. The Order will not be rejected unless the only contra-side interest resting on the book is from its affiliated Authorized Traders, and the Order may interact with other resting Orders on the Order Book.</w:t>
      </w:r>
      <w:r w:rsidRPr="00380657">
        <w:rPr>
          <w:rFonts w:ascii="Times New Roman" w:hAnsi="Times New Roman" w:cs="Times New Roman"/>
          <w:color w:val="000000"/>
          <w:sz w:val="24"/>
        </w:rPr>
        <w:t xml:space="preserve"> Self-Match Prevention is optional for Futures Participants. </w:t>
      </w:r>
      <w:r>
        <w:rPr>
          <w:rFonts w:ascii="Times New Roman" w:hAnsi="Times New Roman" w:cs="Times New Roman"/>
          <w:color w:val="000000"/>
          <w:sz w:val="24"/>
        </w:rPr>
        <w:t xml:space="preserve"> </w:t>
      </w:r>
      <w:r w:rsidRPr="00380657">
        <w:rPr>
          <w:rFonts w:ascii="Times New Roman" w:hAnsi="Times New Roman" w:cs="Times New Roman"/>
          <w:color w:val="000000"/>
          <w:sz w:val="24"/>
        </w:rPr>
        <w:t xml:space="preserve">Authorized Traders of a Futures Participant and an Authorized Customer may not be grouped together for purposes of Self-Match Prevention. </w:t>
      </w:r>
      <w:r>
        <w:rPr>
          <w:rFonts w:ascii="Times New Roman" w:hAnsi="Times New Roman" w:cs="Times New Roman"/>
          <w:color w:val="000000"/>
          <w:sz w:val="24"/>
        </w:rPr>
        <w:t xml:space="preserve"> </w:t>
      </w:r>
      <w:r w:rsidRPr="00380657">
        <w:rPr>
          <w:rFonts w:ascii="Times New Roman" w:hAnsi="Times New Roman" w:cs="Times New Roman"/>
          <w:color w:val="000000"/>
          <w:sz w:val="24"/>
          <w:u w:val="single"/>
        </w:rPr>
        <w:t xml:space="preserve">Once elected, </w:t>
      </w:r>
      <w:r w:rsidRPr="00380657">
        <w:rPr>
          <w:rFonts w:ascii="Times New Roman" w:hAnsi="Times New Roman" w:cs="Times New Roman"/>
          <w:color w:val="000000"/>
          <w:sz w:val="24"/>
        </w:rPr>
        <w:t xml:space="preserve">Self-Match Prevention is </w:t>
      </w:r>
      <w:r w:rsidRPr="00380657">
        <w:rPr>
          <w:rFonts w:ascii="Times New Roman" w:hAnsi="Times New Roman" w:cs="Times New Roman"/>
          <w:color w:val="000000"/>
          <w:sz w:val="24"/>
          <w:u w:val="single"/>
        </w:rPr>
        <w:t xml:space="preserve">in effect throughout </w:t>
      </w:r>
      <w:r w:rsidRPr="00380657">
        <w:rPr>
          <w:rFonts w:ascii="Times New Roman" w:hAnsi="Times New Roman" w:cs="Times New Roman"/>
          <w:strike/>
          <w:color w:val="000000"/>
          <w:sz w:val="24"/>
        </w:rPr>
        <w:t>available</w:t>
      </w:r>
      <w:r w:rsidRPr="00380657">
        <w:rPr>
          <w:rFonts w:ascii="Times New Roman" w:hAnsi="Times New Roman" w:cs="Times New Roman"/>
          <w:color w:val="000000"/>
          <w:sz w:val="24"/>
        </w:rPr>
        <w:t xml:space="preserve"> each trading day during the Open Session</w:t>
      </w:r>
      <w:r w:rsidRPr="00380657">
        <w:rPr>
          <w:rFonts w:ascii="Times New Roman" w:hAnsi="Times New Roman" w:cs="Times New Roman"/>
          <w:color w:val="000000"/>
          <w:sz w:val="24"/>
          <w:u w:val="single"/>
        </w:rPr>
        <w:t>, and applies to all Orders and Quotes associated with an MPID Group</w:t>
      </w:r>
      <w:r w:rsidRPr="00380657">
        <w:rPr>
          <w:rFonts w:ascii="Times New Roman" w:hAnsi="Times New Roman" w:cs="Times New Roman"/>
          <w:color w:val="000000"/>
          <w:sz w:val="24"/>
        </w:rPr>
        <w:t>.</w:t>
      </w:r>
    </w:p>
    <w:p w:rsidR="0091268E" w:rsidRDefault="0091268E">
      <w:pPr>
        <w:spacing w:after="0" w:line="240" w:lineRule="auto"/>
        <w:rPr>
          <w:rFonts w:ascii="Times New Roman" w:hAnsi="Times New Roman" w:cs="Times New Roman"/>
          <w:sz w:val="24"/>
          <w:szCs w:val="24"/>
        </w:rPr>
      </w:pPr>
    </w:p>
    <w:p w:rsidR="00545050" w:rsidRDefault="0091268E">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EB7A8B" w:rsidRDefault="00EB7A8B" w:rsidP="00545050">
      <w:pPr>
        <w:jc w:val="center"/>
        <w:rPr>
          <w:rFonts w:ascii="Times New Roman" w:hAnsi="Times New Roman" w:cs="Times New Roman"/>
          <w:sz w:val="24"/>
          <w:szCs w:val="24"/>
        </w:rPr>
        <w:sectPr w:rsidR="00EB7A8B" w:rsidSect="00536986">
          <w:footerReference w:type="even" r:id="rId14"/>
          <w:footerReference w:type="default" r:id="rId15"/>
          <w:headerReference w:type="first" r:id="rId16"/>
          <w:pgSz w:w="11899" w:h="16838" w:code="1"/>
          <w:pgMar w:top="1440" w:right="1440" w:bottom="1354" w:left="1440" w:header="720" w:footer="576" w:gutter="0"/>
          <w:cols w:space="720"/>
          <w:titlePg/>
          <w:docGrid w:linePitch="360"/>
        </w:sectPr>
      </w:pPr>
    </w:p>
    <w:p w:rsidR="00545050" w:rsidRPr="00BD2799" w:rsidRDefault="00CE387F" w:rsidP="00545050">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Exhibit B</w:t>
      </w:r>
      <w:r w:rsidR="00545050" w:rsidRPr="00DA063E">
        <w:rPr>
          <w:rFonts w:ascii="Times New Roman" w:hAnsi="Times New Roman" w:cs="Times New Roman"/>
          <w:b/>
          <w:sz w:val="24"/>
          <w:szCs w:val="24"/>
          <w:u w:val="single"/>
        </w:rPr>
        <w:t xml:space="preserve"> </w:t>
      </w:r>
      <w:r w:rsidR="00545050" w:rsidRPr="00F83BFF">
        <w:rPr>
          <w:rFonts w:ascii="Times New Roman" w:hAnsi="Times New Roman" w:cs="Times New Roman"/>
          <w:b/>
          <w:sz w:val="24"/>
          <w:szCs w:val="24"/>
          <w:u w:val="single"/>
        </w:rPr>
        <w:t>to SR-NFX-2016-</w:t>
      </w:r>
      <w:r w:rsidR="00545050">
        <w:rPr>
          <w:rFonts w:ascii="Times New Roman" w:hAnsi="Times New Roman" w:cs="Times New Roman"/>
          <w:b/>
          <w:sz w:val="24"/>
          <w:szCs w:val="24"/>
          <w:u w:val="single"/>
        </w:rPr>
        <w:t>96</w:t>
      </w:r>
    </w:p>
    <w:p w:rsidR="00F74452" w:rsidRPr="00102C8D" w:rsidRDefault="00F74452" w:rsidP="00F74452"/>
    <w:p w:rsidR="00F74452" w:rsidRPr="00102C8D" w:rsidRDefault="00F74452" w:rsidP="00F74452"/>
    <w:p w:rsidR="00F74452" w:rsidRDefault="00F74452" w:rsidP="00F74452">
      <w:pPr>
        <w:ind w:left="-720"/>
        <w:rPr>
          <w:b/>
          <w:color w:val="7F7F7F" w:themeColor="text1" w:themeTint="80"/>
          <w:sz w:val="52"/>
        </w:rPr>
      </w:pPr>
    </w:p>
    <w:p w:rsidR="00F74452" w:rsidRPr="006321C1" w:rsidRDefault="00F74452" w:rsidP="00F74452">
      <w:pPr>
        <w:ind w:left="-720"/>
        <w:rPr>
          <w:b/>
          <w:color w:val="7F7F7F" w:themeColor="text1" w:themeTint="80"/>
          <w:sz w:val="52"/>
        </w:rPr>
      </w:pPr>
      <w:r w:rsidRPr="006321C1">
        <w:rPr>
          <w:b/>
          <w:color w:val="7F7F7F" w:themeColor="text1" w:themeTint="80"/>
          <w:sz w:val="52"/>
        </w:rPr>
        <w:t xml:space="preserve">NASDAQ Futures, Inc. (NFX) </w:t>
      </w:r>
      <w:r w:rsidRPr="006321C1">
        <w:rPr>
          <w:b/>
          <w:color w:val="7F7F7F" w:themeColor="text1" w:themeTint="80"/>
          <w:sz w:val="52"/>
        </w:rPr>
        <w:br/>
        <w:t>Mass Quote Protection &amp; Self-Match Prevention Reference Guide</w:t>
      </w:r>
    </w:p>
    <w:p w:rsidR="00F74452" w:rsidRPr="006321C1" w:rsidRDefault="00F74452" w:rsidP="00F74452">
      <w:pPr>
        <w:ind w:left="-720"/>
        <w:rPr>
          <w:b/>
        </w:rPr>
      </w:pPr>
      <w:r w:rsidRPr="006321C1">
        <w:rPr>
          <w:noProof/>
        </w:rPr>
        <mc:AlternateContent>
          <mc:Choice Requires="wps">
            <w:drawing>
              <wp:anchor distT="0" distB="0" distL="114300" distR="114300" simplePos="0" relativeHeight="251662336" behindDoc="0" locked="0" layoutInCell="1" allowOverlap="1" wp14:anchorId="03B3858D" wp14:editId="1917161E">
                <wp:simplePos x="0" y="0"/>
                <wp:positionH relativeFrom="column">
                  <wp:posOffset>-468630</wp:posOffset>
                </wp:positionH>
                <wp:positionV relativeFrom="paragraph">
                  <wp:posOffset>135780</wp:posOffset>
                </wp:positionV>
                <wp:extent cx="4914900" cy="0"/>
                <wp:effectExtent l="0" t="0" r="19050" b="1905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254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AFDE01"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0.7pt" to="350.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" strokecolor="#4bacc6 [3208]" strokeweight="2pt">
                <v:shadow opacity="24903f" origin=",.5" offset="0,.55556mm"/>
              </v:line>
            </w:pict>
          </mc:Fallback>
        </mc:AlternateContent>
      </w:r>
    </w:p>
    <w:p w:rsidR="00F74452" w:rsidRPr="006321C1" w:rsidRDefault="00F74452" w:rsidP="00F74452">
      <w:pPr>
        <w:spacing w:line="360" w:lineRule="auto"/>
        <w:ind w:left="-720"/>
        <w:rPr>
          <w:rFonts w:cs="Verdana"/>
          <w:b/>
          <w:bCs/>
          <w:caps/>
          <w:color w:val="000000"/>
          <w:sz w:val="24"/>
        </w:rPr>
      </w:pPr>
      <w:r w:rsidRPr="00520538">
        <w:rPr>
          <w:rFonts w:cs="Verdana"/>
          <w:bCs/>
          <w:color w:val="000000"/>
          <w:sz w:val="24"/>
        </w:rPr>
        <w:t>Version</w:t>
      </w:r>
      <w:r w:rsidRPr="00520538">
        <w:rPr>
          <w:rFonts w:cs="Verdana"/>
          <w:b/>
          <w:bCs/>
          <w:caps/>
          <w:color w:val="000000"/>
          <w:sz w:val="24"/>
        </w:rPr>
        <w:t xml:space="preserve"> </w:t>
      </w:r>
      <w:r w:rsidRPr="00520538">
        <w:rPr>
          <w:rFonts w:cs="Verdana"/>
          <w:bCs/>
          <w:caps/>
          <w:color w:val="000000"/>
          <w:sz w:val="24"/>
        </w:rPr>
        <w:t>1.0</w:t>
      </w:r>
      <w:r w:rsidRPr="00520538">
        <w:rPr>
          <w:rFonts w:cs="Verdana"/>
          <w:bCs/>
          <w:caps/>
          <w:strike/>
          <w:color w:val="000000"/>
          <w:sz w:val="24"/>
        </w:rPr>
        <w:t>3</w:t>
      </w:r>
      <w:r w:rsidRPr="00520538">
        <w:rPr>
          <w:rFonts w:cs="Verdana"/>
          <w:bCs/>
          <w:caps/>
          <w:color w:val="000000"/>
          <w:sz w:val="24"/>
          <w:u w:val="single"/>
        </w:rPr>
        <w:t>4</w:t>
      </w:r>
      <w:r w:rsidRPr="00520538">
        <w:rPr>
          <w:rFonts w:cs="Verdana"/>
          <w:b/>
          <w:bCs/>
          <w:caps/>
          <w:color w:val="000000"/>
          <w:sz w:val="24"/>
        </w:rPr>
        <w:t xml:space="preserve"> | </w:t>
      </w:r>
      <w:r w:rsidRPr="00520538">
        <w:rPr>
          <w:rFonts w:cs="Verdana"/>
          <w:bCs/>
          <w:color w:val="000000"/>
          <w:sz w:val="24"/>
        </w:rPr>
        <w:t>2016-</w:t>
      </w:r>
      <w:r w:rsidRPr="00A56C20">
        <w:rPr>
          <w:rFonts w:cs="Verdana"/>
          <w:bCs/>
          <w:strike/>
          <w:color w:val="000000"/>
          <w:sz w:val="24"/>
        </w:rPr>
        <w:t>4</w:t>
      </w:r>
      <w:r w:rsidRPr="00520538">
        <w:rPr>
          <w:rFonts w:cs="Verdana"/>
          <w:bCs/>
          <w:color w:val="000000"/>
          <w:sz w:val="24"/>
          <w:u w:val="single"/>
        </w:rPr>
        <w:t>1</w:t>
      </w:r>
      <w:r>
        <w:rPr>
          <w:rFonts w:cs="Verdana"/>
          <w:bCs/>
          <w:color w:val="000000"/>
          <w:sz w:val="24"/>
          <w:u w:val="single"/>
        </w:rPr>
        <w:t>1</w:t>
      </w:r>
      <w:r w:rsidRPr="00520538">
        <w:rPr>
          <w:rFonts w:cs="Verdana"/>
          <w:bCs/>
          <w:color w:val="000000"/>
          <w:sz w:val="24"/>
        </w:rPr>
        <w:t>-</w:t>
      </w:r>
      <w:r w:rsidRPr="00A56C20">
        <w:rPr>
          <w:rFonts w:cs="Verdana"/>
          <w:bCs/>
          <w:strike/>
          <w:color w:val="000000"/>
          <w:sz w:val="24"/>
        </w:rPr>
        <w:t>15</w:t>
      </w:r>
      <w:r>
        <w:rPr>
          <w:rFonts w:cs="Verdana"/>
          <w:bCs/>
          <w:color w:val="000000"/>
          <w:sz w:val="24"/>
          <w:u w:val="single"/>
        </w:rPr>
        <w:t>02</w:t>
      </w:r>
    </w:p>
    <w:p w:rsidR="00F74452" w:rsidRPr="00102C8D" w:rsidRDefault="00F74452" w:rsidP="00F74452">
      <w:pPr>
        <w:pStyle w:val="confidentialtext"/>
        <w:rPr>
          <w:rFonts w:asciiTheme="minorHAnsi" w:hAnsiTheme="minorHAnsi"/>
          <w:b/>
          <w:sz w:val="22"/>
          <w:szCs w:val="22"/>
        </w:rPr>
      </w:pPr>
      <w:r w:rsidRPr="00102C8D">
        <w:rPr>
          <w:rFonts w:asciiTheme="minorHAnsi" w:hAnsiTheme="minorHAnsi"/>
          <w:b/>
          <w:sz w:val="22"/>
          <w:szCs w:val="22"/>
        </w:rPr>
        <w:t>CONFIDENTIALITY/DISCLAIMER</w:t>
      </w:r>
    </w:p>
    <w:p w:rsidR="00F74452" w:rsidRPr="00102C8D" w:rsidRDefault="00F74452" w:rsidP="00F74452">
      <w:pPr>
        <w:pStyle w:val="confidentialtext"/>
        <w:rPr>
          <w:rFonts w:asciiTheme="majorHAnsi" w:hAnsiTheme="majorHAnsi"/>
        </w:rPr>
      </w:pPr>
      <w:r w:rsidRPr="00102C8D">
        <w:rPr>
          <w:rFonts w:asciiTheme="majorHAnsi" w:hAnsiTheme="majorHAnsi"/>
        </w:rPr>
        <w:t>This  Reference Guide is being forwarded to you strictly for informational purposes and solely for the purpose of developing or operating systems for your use that interact with systems of NASDAQ Futures, Inc. (NFX</w:t>
      </w:r>
      <w:r w:rsidRPr="00102C8D">
        <w:rPr>
          <w:rFonts w:asciiTheme="majorHAnsi" w:hAnsiTheme="majorHAnsi"/>
          <w:color w:val="7F7F7F" w:themeColor="text1" w:themeTint="80"/>
          <w:szCs w:val="20"/>
          <w:vertAlign w:val="superscript"/>
        </w:rPr>
        <w:t>SM</w:t>
      </w:r>
      <w:r w:rsidRPr="00102C8D">
        <w:rPr>
          <w:rFonts w:asciiTheme="majorHAnsi" w:hAnsiTheme="majorHAnsi"/>
        </w:rPr>
        <w:t xml:space="preserve">) and its affiliates (collectively, NFX).  This specification is proprietary to NFX. </w:t>
      </w:r>
    </w:p>
    <w:p w:rsidR="00F74452" w:rsidRPr="00102C8D" w:rsidRDefault="00F74452" w:rsidP="00F74452">
      <w:pPr>
        <w:pStyle w:val="confidentialtext"/>
        <w:rPr>
          <w:rFonts w:asciiTheme="majorHAnsi" w:hAnsiTheme="majorHAnsi"/>
        </w:rPr>
      </w:pPr>
    </w:p>
    <w:p w:rsidR="00F74452" w:rsidRPr="00102C8D" w:rsidRDefault="00F74452" w:rsidP="00F74452">
      <w:pPr>
        <w:pStyle w:val="confidentialtext"/>
        <w:rPr>
          <w:rFonts w:asciiTheme="majorHAnsi" w:hAnsiTheme="majorHAnsi"/>
        </w:rPr>
      </w:pPr>
      <w:r w:rsidRPr="00102C8D">
        <w:rPr>
          <w:rFonts w:asciiTheme="majorHAnsi" w:hAnsiTheme="majorHAnsi"/>
        </w:rPr>
        <w:t>NFX reserves the right to withdraw, modify, or replace this Reference Guide at any time, without prior notice.  No obligation is made by NFX regarding the level, scope or timing of NFX’s implementation of the functions or features discussed in this specification. The Reference Guide is provided “AS IS,” “WITH ALL FAULTS”. NFX makes no warranties to this Reference Guide or its accuracy, and disclaims all warranties, whether express, implied, or statutory related to the Reference Guide or its accuracy. This document is not intended to represent an offer of any terms by NFX. While reasonable care has been taken to ensure that the details contained herein are true and not misleading at the time of publication, no liability whatsoever is assumed by NFX for any incompleteness or inaccuracies.  By using this Reference Guide you agree that you will not, without prior written permission from NFX, copy or reproduce the information in this Reference Guide except for the purposes noted above. You further agree that you will not, without prior written permission from NFX, store the information contained in this Reference Guide in a retrieval system, or transmit it in any form or by any means, whether electronic, mechanical, or otherwise except for the purposes noted above. In addition you agree that you will not, without prior written permission from NFX, permit access to the information contained herein except to those with a need-to-know for the purposes noted above.</w:t>
      </w:r>
    </w:p>
    <w:p w:rsidR="00F74452" w:rsidRPr="00102C8D" w:rsidRDefault="00F74452" w:rsidP="00F74452">
      <w:pPr>
        <w:pStyle w:val="confidentialtext"/>
        <w:rPr>
          <w:rFonts w:asciiTheme="majorHAnsi" w:hAnsiTheme="majorHAnsi"/>
        </w:rPr>
      </w:pPr>
    </w:p>
    <w:p w:rsidR="00F74452" w:rsidRPr="00102C8D" w:rsidRDefault="00F74452" w:rsidP="00F74452">
      <w:pPr>
        <w:pStyle w:val="confidentialtext"/>
        <w:rPr>
          <w:rFonts w:asciiTheme="majorHAnsi" w:hAnsiTheme="majorHAnsi"/>
          <w:szCs w:val="20"/>
        </w:rPr>
      </w:pPr>
      <w:r w:rsidRPr="00102C8D">
        <w:rPr>
          <w:rFonts w:asciiTheme="majorHAnsi" w:hAnsiTheme="majorHAnsi"/>
          <w:szCs w:val="20"/>
        </w:rPr>
        <w:t>NFX</w:t>
      </w:r>
      <w:r w:rsidRPr="00102C8D">
        <w:rPr>
          <w:rFonts w:ascii="Calibri" w:hAnsi="Calibri" w:cs="Times New Roman"/>
          <w:szCs w:val="20"/>
        </w:rPr>
        <w:t>℠</w:t>
      </w:r>
      <w:r w:rsidRPr="00102C8D">
        <w:rPr>
          <w:rFonts w:asciiTheme="majorHAnsi" w:hAnsiTheme="majorHAnsi"/>
          <w:szCs w:val="20"/>
          <w:vertAlign w:val="superscript"/>
        </w:rPr>
        <w:t xml:space="preserve"> </w:t>
      </w:r>
      <w:r w:rsidRPr="00102C8D">
        <w:rPr>
          <w:rFonts w:asciiTheme="majorHAnsi" w:hAnsiTheme="majorHAnsi"/>
          <w:szCs w:val="20"/>
        </w:rPr>
        <w:t xml:space="preserve">is a servicemark of Nasdaq Futures, Inc. </w:t>
      </w:r>
    </w:p>
    <w:p w:rsidR="005F484B" w:rsidRDefault="00F74452" w:rsidP="00425E04">
      <w:pPr>
        <w:pStyle w:val="confidentialtext"/>
        <w:rPr>
          <w:rFonts w:asciiTheme="minorHAnsi" w:eastAsia="SimSun" w:hAnsiTheme="minorHAnsi"/>
          <w:sz w:val="22"/>
        </w:rPr>
      </w:pPr>
      <w:r w:rsidRPr="00102C8D">
        <w:rPr>
          <w:rFonts w:asciiTheme="majorHAnsi" w:hAnsiTheme="majorHAnsi"/>
          <w:szCs w:val="20"/>
        </w:rPr>
        <w:t>© Copyright 201</w:t>
      </w:r>
      <w:r w:rsidRPr="00BA1FBB">
        <w:rPr>
          <w:rFonts w:asciiTheme="majorHAnsi" w:hAnsiTheme="majorHAnsi"/>
          <w:szCs w:val="20"/>
        </w:rPr>
        <w:t>6</w:t>
      </w:r>
      <w:r w:rsidRPr="00102C8D">
        <w:rPr>
          <w:rFonts w:asciiTheme="majorHAnsi" w:hAnsiTheme="majorHAnsi"/>
          <w:szCs w:val="20"/>
        </w:rPr>
        <w:t>, Nasdaq Futures, Inc.  All rights reserved.</w:t>
      </w:r>
      <w:r w:rsidRPr="00102C8D">
        <w:rPr>
          <w:rFonts w:asciiTheme="minorHAnsi" w:hAnsiTheme="minorHAnsi"/>
          <w:sz w:val="22"/>
          <w:szCs w:val="22"/>
        </w:rPr>
        <w:br/>
      </w:r>
      <w:r w:rsidRPr="00102C8D">
        <w:rPr>
          <w:rFonts w:asciiTheme="minorHAnsi" w:hAnsiTheme="minorHAnsi"/>
          <w:sz w:val="22"/>
          <w:szCs w:val="22"/>
        </w:rPr>
        <w:br/>
      </w:r>
      <w:r w:rsidRPr="00102C8D">
        <w:rPr>
          <w:rFonts w:asciiTheme="minorHAnsi" w:hAnsiTheme="minorHAnsi"/>
          <w:sz w:val="18"/>
          <w:szCs w:val="22"/>
        </w:rPr>
        <w:lastRenderedPageBreak/>
        <w:br/>
      </w:r>
    </w:p>
    <w:p w:rsidR="00F74452" w:rsidRDefault="00F74452" w:rsidP="00F74452">
      <w:pPr>
        <w:pStyle w:val="TOC1"/>
      </w:pPr>
      <w:r w:rsidRPr="00102C8D">
        <w:rPr>
          <w:rFonts w:asciiTheme="minorHAnsi" w:eastAsia="SimSun" w:hAnsiTheme="minorHAnsi"/>
          <w:sz w:val="22"/>
        </w:rPr>
        <w:t xml:space="preserve">TABLE OF CONTENTS </w:t>
      </w:r>
      <w:r w:rsidRPr="00102C8D">
        <w:rPr>
          <w:rFonts w:asciiTheme="minorHAnsi" w:eastAsia="SimSun" w:hAnsiTheme="minorHAnsi"/>
        </w:rPr>
        <w:br/>
      </w:r>
      <w:r w:rsidRPr="00102C8D">
        <w:rPr>
          <w:rFonts w:asciiTheme="minorHAnsi" w:eastAsia="SimSun" w:hAnsiTheme="minorHAnsi"/>
          <w:noProof/>
        </w:rPr>
        <w:fldChar w:fldCharType="begin"/>
      </w:r>
      <w:r w:rsidRPr="00102C8D">
        <w:rPr>
          <w:rFonts w:asciiTheme="minorHAnsi" w:eastAsia="SimSun" w:hAnsiTheme="minorHAnsi"/>
        </w:rPr>
        <w:instrText xml:space="preserve"> TOC \o "1-3" \u </w:instrText>
      </w:r>
      <w:r w:rsidRPr="00102C8D">
        <w:rPr>
          <w:rFonts w:asciiTheme="minorHAnsi" w:eastAsia="SimSun" w:hAnsiTheme="minorHAnsi"/>
          <w:noProof/>
        </w:rPr>
        <w:fldChar w:fldCharType="separate"/>
      </w:r>
    </w:p>
    <w:p w:rsidR="00F74452" w:rsidRDefault="005F484B" w:rsidP="00F74452">
      <w:pPr>
        <w:pStyle w:val="TOC1"/>
        <w:rPr>
          <w:rFonts w:asciiTheme="minorHAnsi" w:hAnsiTheme="minorHAnsi" w:cstheme="minorBidi"/>
          <w:b/>
          <w:bCs/>
          <w:caps/>
          <w:sz w:val="22"/>
        </w:rPr>
      </w:pPr>
      <w:r>
        <w:t>1 I</w:t>
      </w:r>
      <w:r w:rsidR="00CE387F">
        <w:t>NTRODUCTION</w:t>
      </w:r>
      <w:r w:rsidR="00F74452">
        <w:tab/>
      </w:r>
      <w:r w:rsidR="00F74452">
        <w:fldChar w:fldCharType="begin"/>
      </w:r>
      <w:r w:rsidR="00F74452">
        <w:instrText xml:space="preserve"> PAGEREF _Toc464457810 \h </w:instrText>
      </w:r>
      <w:r w:rsidR="00F74452">
        <w:fldChar w:fldCharType="separate"/>
      </w:r>
      <w:r w:rsidR="00F74452">
        <w:t>4</w:t>
      </w:r>
      <w:r w:rsidR="00F74452">
        <w:fldChar w:fldCharType="end"/>
      </w:r>
    </w:p>
    <w:p w:rsidR="00F74452" w:rsidRDefault="00F74452" w:rsidP="00F74452">
      <w:pPr>
        <w:pStyle w:val="TOC1"/>
        <w:rPr>
          <w:rFonts w:asciiTheme="minorHAnsi" w:hAnsiTheme="minorHAnsi" w:cstheme="minorBidi"/>
          <w:b/>
          <w:bCs/>
          <w:caps/>
          <w:sz w:val="22"/>
        </w:rPr>
      </w:pPr>
      <w:r w:rsidRPr="00E66CCB">
        <w:t>2</w:t>
      </w:r>
      <w:r>
        <w:t xml:space="preserve"> MQP P</w:t>
      </w:r>
      <w:r w:rsidR="00CE387F">
        <w:t>ARAMETERS</w:t>
      </w:r>
      <w:r>
        <w:tab/>
      </w:r>
      <w:r>
        <w:fldChar w:fldCharType="begin"/>
      </w:r>
      <w:r>
        <w:instrText xml:space="preserve"> PAGEREF _Toc464457811 \h </w:instrText>
      </w:r>
      <w:r>
        <w:fldChar w:fldCharType="separate"/>
      </w:r>
      <w:r>
        <w:t>4</w:t>
      </w:r>
      <w:r>
        <w:fldChar w:fldCharType="end"/>
      </w:r>
    </w:p>
    <w:p w:rsidR="00F74452" w:rsidRDefault="00F74452" w:rsidP="00F74452">
      <w:pPr>
        <w:pStyle w:val="TOC2"/>
        <w:rPr>
          <w:rFonts w:asciiTheme="minorHAnsi" w:hAnsiTheme="minorHAnsi" w:cstheme="minorBidi"/>
          <w:bCs/>
          <w:caps/>
          <w:sz w:val="22"/>
        </w:rPr>
      </w:pPr>
      <w:r w:rsidRPr="00E66CCB">
        <w:rPr>
          <w:color w:val="4F81BD" w:themeColor="accent1"/>
        </w:rPr>
        <w:t>2.1</w:t>
      </w:r>
      <w:r>
        <w:rPr>
          <w:rFonts w:asciiTheme="minorHAnsi" w:hAnsiTheme="minorHAnsi" w:cstheme="minorBidi"/>
          <w:sz w:val="22"/>
        </w:rPr>
        <w:tab/>
      </w:r>
      <w:r w:rsidRPr="00E66CCB">
        <w:rPr>
          <w:rFonts w:asciiTheme="minorHAnsi" w:hAnsiTheme="minorHAnsi"/>
          <w:color w:val="4F81BD" w:themeColor="accent1"/>
        </w:rPr>
        <w:t xml:space="preserve">DEFINTION </w:t>
      </w:r>
      <w:r w:rsidR="005F484B">
        <w:rPr>
          <w:rFonts w:asciiTheme="minorHAnsi" w:hAnsiTheme="minorHAnsi"/>
          <w:color w:val="4F81BD" w:themeColor="accent1"/>
        </w:rPr>
        <w:t>OF UNDERLYING ASSET CLASS</w:t>
      </w:r>
      <w:r>
        <w:tab/>
      </w:r>
      <w:r>
        <w:fldChar w:fldCharType="begin"/>
      </w:r>
      <w:r>
        <w:instrText xml:space="preserve"> PAGEREF _Toc464457812 \h </w:instrText>
      </w:r>
      <w:r>
        <w:fldChar w:fldCharType="separate"/>
      </w:r>
      <w:r>
        <w:t>5</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2.2</w:t>
      </w:r>
      <w:r>
        <w:rPr>
          <w:rFonts w:asciiTheme="minorHAnsi" w:hAnsiTheme="minorHAnsi" w:cstheme="minorBidi"/>
          <w:sz w:val="22"/>
        </w:rPr>
        <w:tab/>
      </w:r>
      <w:r w:rsidRPr="00E66CCB">
        <w:rPr>
          <w:rFonts w:asciiTheme="minorHAnsi" w:hAnsiTheme="minorHAnsi"/>
          <w:color w:val="4F81BD" w:themeColor="accent1"/>
        </w:rPr>
        <w:t>E</w:t>
      </w:r>
      <w:r w:rsidR="005F484B">
        <w:rPr>
          <w:rFonts w:asciiTheme="minorHAnsi" w:hAnsiTheme="minorHAnsi"/>
          <w:color w:val="4F81BD" w:themeColor="accent1"/>
        </w:rPr>
        <w:t>XPOSURE LIMIT TIME INTERVAL</w:t>
      </w:r>
      <w:r>
        <w:tab/>
      </w:r>
      <w:r>
        <w:fldChar w:fldCharType="begin"/>
      </w:r>
      <w:r>
        <w:instrText xml:space="preserve"> PAGEREF _Toc464457813 \h </w:instrText>
      </w:r>
      <w:r>
        <w:fldChar w:fldCharType="separate"/>
      </w:r>
      <w:r>
        <w:t>5</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2.3</w:t>
      </w:r>
      <w:r>
        <w:rPr>
          <w:rFonts w:asciiTheme="minorHAnsi" w:hAnsiTheme="minorHAnsi" w:cstheme="minorBidi"/>
          <w:sz w:val="22"/>
        </w:rPr>
        <w:tab/>
      </w:r>
      <w:r w:rsidR="005F484B">
        <w:rPr>
          <w:rFonts w:asciiTheme="minorHAnsi" w:hAnsiTheme="minorHAnsi"/>
          <w:color w:val="4F81BD" w:themeColor="accent1"/>
        </w:rPr>
        <w:t>QUANTITY PROTECTION</w:t>
      </w:r>
      <w:r>
        <w:tab/>
      </w:r>
      <w:r>
        <w:fldChar w:fldCharType="begin"/>
      </w:r>
      <w:r>
        <w:instrText xml:space="preserve"> PAGEREF _Toc464457814 \h </w:instrText>
      </w:r>
      <w:r>
        <w:fldChar w:fldCharType="separate"/>
      </w:r>
      <w:r>
        <w:t>6</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2.4</w:t>
      </w:r>
      <w:r>
        <w:rPr>
          <w:rFonts w:asciiTheme="minorHAnsi" w:hAnsiTheme="minorHAnsi" w:cstheme="minorBidi"/>
          <w:sz w:val="22"/>
        </w:rPr>
        <w:tab/>
      </w:r>
      <w:r w:rsidRPr="00E66CCB">
        <w:rPr>
          <w:rFonts w:asciiTheme="minorHAnsi" w:hAnsiTheme="minorHAnsi"/>
          <w:color w:val="4F81BD" w:themeColor="accent1"/>
        </w:rPr>
        <w:t>D</w:t>
      </w:r>
      <w:r w:rsidR="005F484B">
        <w:rPr>
          <w:rFonts w:asciiTheme="minorHAnsi" w:hAnsiTheme="minorHAnsi"/>
          <w:color w:val="4F81BD" w:themeColor="accent1"/>
        </w:rPr>
        <w:t>ELTA PROTECTION</w:t>
      </w:r>
      <w:r>
        <w:tab/>
      </w:r>
      <w:r>
        <w:fldChar w:fldCharType="begin"/>
      </w:r>
      <w:r>
        <w:instrText xml:space="preserve"> PAGEREF _Toc464457815 \h </w:instrText>
      </w:r>
      <w:r>
        <w:fldChar w:fldCharType="separate"/>
      </w:r>
      <w:r>
        <w:t>6</w:t>
      </w:r>
      <w:r>
        <w:fldChar w:fldCharType="end"/>
      </w:r>
    </w:p>
    <w:p w:rsidR="00F74452" w:rsidRDefault="00F74452" w:rsidP="00F74452">
      <w:pPr>
        <w:pStyle w:val="TOC3"/>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Delta Protection Including Futures</w:t>
      </w:r>
      <w:r>
        <w:tab/>
      </w:r>
      <w:r>
        <w:fldChar w:fldCharType="begin"/>
      </w:r>
      <w:r>
        <w:instrText xml:space="preserve"> PAGEREF _Toc464457816 \h </w:instrText>
      </w:r>
      <w:r>
        <w:fldChar w:fldCharType="separate"/>
      </w:r>
      <w:r>
        <w:t>6</w:t>
      </w:r>
      <w:r>
        <w:fldChar w:fldCharType="end"/>
      </w:r>
    </w:p>
    <w:p w:rsidR="00F74452" w:rsidRDefault="00F74452" w:rsidP="00F74452">
      <w:pPr>
        <w:pStyle w:val="TOC3"/>
        <w:rPr>
          <w:rFonts w:asciiTheme="minorHAnsi" w:eastAsiaTheme="minorEastAsia" w:hAnsiTheme="minorHAnsi" w:cstheme="minorBidi"/>
          <w:sz w:val="22"/>
          <w:szCs w:val="22"/>
        </w:rPr>
      </w:pPr>
      <w:r>
        <w:t>2.4.2</w:t>
      </w:r>
      <w:r>
        <w:rPr>
          <w:rFonts w:asciiTheme="minorHAnsi" w:eastAsiaTheme="minorEastAsia" w:hAnsiTheme="minorHAnsi" w:cstheme="minorBidi"/>
          <w:sz w:val="22"/>
          <w:szCs w:val="22"/>
        </w:rPr>
        <w:tab/>
      </w:r>
      <w:r>
        <w:t>Delta Protection Not Including Futures</w:t>
      </w:r>
      <w:r>
        <w:tab/>
      </w:r>
      <w:r>
        <w:fldChar w:fldCharType="begin"/>
      </w:r>
      <w:r>
        <w:instrText xml:space="preserve"> PAGEREF _Toc464457817 \h </w:instrText>
      </w:r>
      <w:r>
        <w:fldChar w:fldCharType="separate"/>
      </w:r>
      <w:r>
        <w:t>6</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2.5</w:t>
      </w:r>
      <w:r>
        <w:rPr>
          <w:rFonts w:asciiTheme="minorHAnsi" w:hAnsiTheme="minorHAnsi" w:cstheme="minorBidi"/>
          <w:sz w:val="22"/>
        </w:rPr>
        <w:tab/>
      </w:r>
      <w:r w:rsidRPr="00E66CCB">
        <w:rPr>
          <w:rFonts w:asciiTheme="minorHAnsi" w:hAnsiTheme="minorHAnsi"/>
          <w:color w:val="4F81BD" w:themeColor="accent1"/>
        </w:rPr>
        <w:t>Q</w:t>
      </w:r>
      <w:r w:rsidR="005F484B">
        <w:rPr>
          <w:rFonts w:asciiTheme="minorHAnsi" w:hAnsiTheme="minorHAnsi"/>
          <w:color w:val="4F81BD" w:themeColor="accent1"/>
        </w:rPr>
        <w:t>UOTATION FROZEN TIME INTERVAL</w:t>
      </w:r>
      <w:r>
        <w:tab/>
      </w:r>
      <w:r>
        <w:fldChar w:fldCharType="begin"/>
      </w:r>
      <w:r>
        <w:instrText xml:space="preserve"> PAGEREF _Toc464457818 \h </w:instrText>
      </w:r>
      <w:r>
        <w:fldChar w:fldCharType="separate"/>
      </w:r>
      <w:r>
        <w:t>7</w:t>
      </w:r>
      <w:r>
        <w:fldChar w:fldCharType="end"/>
      </w:r>
    </w:p>
    <w:p w:rsidR="00F74452" w:rsidRDefault="00F74452" w:rsidP="00F74452">
      <w:pPr>
        <w:pStyle w:val="TOC1"/>
        <w:rPr>
          <w:rFonts w:asciiTheme="minorHAnsi" w:hAnsiTheme="minorHAnsi" w:cstheme="minorBidi"/>
          <w:b/>
          <w:bCs/>
          <w:caps/>
          <w:sz w:val="22"/>
        </w:rPr>
      </w:pPr>
      <w:r w:rsidRPr="00E66CCB">
        <w:t>3</w:t>
      </w:r>
      <w:r>
        <w:t xml:space="preserve"> T</w:t>
      </w:r>
      <w:r w:rsidR="00CE387F">
        <w:t>RIGGERING CALCULATIONS AND CONSQUENCES</w:t>
      </w:r>
      <w:r>
        <w:tab/>
      </w:r>
      <w:r>
        <w:fldChar w:fldCharType="begin"/>
      </w:r>
      <w:r>
        <w:instrText xml:space="preserve"> PAGEREF _Toc464457819 \h </w:instrText>
      </w:r>
      <w:r>
        <w:fldChar w:fldCharType="separate"/>
      </w:r>
      <w:r>
        <w:t>7</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3.1</w:t>
      </w:r>
      <w:r>
        <w:rPr>
          <w:rFonts w:asciiTheme="minorHAnsi" w:hAnsiTheme="minorHAnsi" w:cstheme="minorBidi"/>
          <w:sz w:val="22"/>
        </w:rPr>
        <w:tab/>
      </w:r>
      <w:r w:rsidRPr="00E66CCB">
        <w:rPr>
          <w:rFonts w:asciiTheme="minorHAnsi" w:hAnsiTheme="minorHAnsi"/>
          <w:color w:val="4F81BD" w:themeColor="accent1"/>
        </w:rPr>
        <w:t>T</w:t>
      </w:r>
      <w:r w:rsidR="005F5C5E">
        <w:rPr>
          <w:rFonts w:asciiTheme="minorHAnsi" w:hAnsiTheme="minorHAnsi"/>
          <w:color w:val="4F81BD" w:themeColor="accent1"/>
        </w:rPr>
        <w:t>RADES INCLUDED IN THE CALCULATION</w:t>
      </w:r>
      <w:r>
        <w:tab/>
      </w:r>
      <w:r>
        <w:fldChar w:fldCharType="begin"/>
      </w:r>
      <w:r>
        <w:instrText xml:space="preserve"> PAGEREF _Toc464457820 \h </w:instrText>
      </w:r>
      <w:r>
        <w:fldChar w:fldCharType="separate"/>
      </w:r>
      <w:r>
        <w:t>7</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3.2</w:t>
      </w:r>
      <w:r>
        <w:rPr>
          <w:rFonts w:asciiTheme="minorHAnsi" w:hAnsiTheme="minorHAnsi" w:cstheme="minorBidi"/>
          <w:sz w:val="22"/>
        </w:rPr>
        <w:tab/>
      </w:r>
      <w:r w:rsidRPr="00E66CCB">
        <w:rPr>
          <w:rFonts w:asciiTheme="minorHAnsi" w:hAnsiTheme="minorHAnsi"/>
          <w:color w:val="4F81BD" w:themeColor="accent1"/>
        </w:rPr>
        <w:t>T</w:t>
      </w:r>
      <w:r w:rsidR="005F5C5E">
        <w:rPr>
          <w:rFonts w:asciiTheme="minorHAnsi" w:hAnsiTheme="minorHAnsi"/>
          <w:color w:val="4F81BD" w:themeColor="accent1"/>
        </w:rPr>
        <w:t>HRESHOLD BREACH ACTION</w:t>
      </w:r>
      <w:r>
        <w:tab/>
      </w:r>
      <w:r>
        <w:fldChar w:fldCharType="begin"/>
      </w:r>
      <w:r>
        <w:instrText xml:space="preserve"> PAGEREF _Toc464457821 \h </w:instrText>
      </w:r>
      <w:r>
        <w:fldChar w:fldCharType="separate"/>
      </w:r>
      <w:r>
        <w:t>7</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3.3</w:t>
      </w:r>
      <w:r>
        <w:rPr>
          <w:rFonts w:asciiTheme="minorHAnsi" w:hAnsiTheme="minorHAnsi" w:cstheme="minorBidi"/>
          <w:sz w:val="22"/>
        </w:rPr>
        <w:tab/>
      </w:r>
      <w:r w:rsidRPr="00E66CCB">
        <w:rPr>
          <w:rFonts w:asciiTheme="minorHAnsi" w:hAnsiTheme="minorHAnsi"/>
          <w:color w:val="4F81BD" w:themeColor="accent1"/>
        </w:rPr>
        <w:t>R</w:t>
      </w:r>
      <w:r w:rsidR="005F5C5E">
        <w:rPr>
          <w:rFonts w:asciiTheme="minorHAnsi" w:hAnsiTheme="minorHAnsi"/>
          <w:color w:val="4F81BD" w:themeColor="accent1"/>
        </w:rPr>
        <w:t>ESET OF THE PARTICIPNT PROTECTION PARAMETERS</w:t>
      </w:r>
      <w:r>
        <w:tab/>
      </w:r>
      <w:r>
        <w:fldChar w:fldCharType="begin"/>
      </w:r>
      <w:r>
        <w:instrText xml:space="preserve"> PAGEREF _Toc464457822 \h </w:instrText>
      </w:r>
      <w:r>
        <w:fldChar w:fldCharType="separate"/>
      </w:r>
      <w:r>
        <w:t>8</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3.4</w:t>
      </w:r>
      <w:r>
        <w:rPr>
          <w:rFonts w:asciiTheme="minorHAnsi" w:hAnsiTheme="minorHAnsi" w:cstheme="minorBidi"/>
          <w:sz w:val="22"/>
        </w:rPr>
        <w:tab/>
      </w:r>
      <w:r w:rsidRPr="00E66CCB">
        <w:rPr>
          <w:rFonts w:asciiTheme="minorHAnsi" w:hAnsiTheme="minorHAnsi"/>
          <w:color w:val="4F81BD" w:themeColor="accent1"/>
        </w:rPr>
        <w:t>Q</w:t>
      </w:r>
      <w:r w:rsidR="005F5C5E">
        <w:rPr>
          <w:rFonts w:asciiTheme="minorHAnsi" w:hAnsiTheme="minorHAnsi"/>
          <w:color w:val="4F81BD" w:themeColor="accent1"/>
        </w:rPr>
        <w:t>UOTING AFTER A PARTICIPANT PROTECTION EVENT</w:t>
      </w:r>
      <w:r>
        <w:tab/>
      </w:r>
      <w:r>
        <w:fldChar w:fldCharType="begin"/>
      </w:r>
      <w:r>
        <w:instrText xml:space="preserve"> PAGEREF _Toc464457823 \h </w:instrText>
      </w:r>
      <w:r>
        <w:fldChar w:fldCharType="separate"/>
      </w:r>
      <w:r>
        <w:t>8</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3.5</w:t>
      </w:r>
      <w:r>
        <w:rPr>
          <w:rFonts w:asciiTheme="minorHAnsi" w:hAnsiTheme="minorHAnsi" w:cstheme="minorBidi"/>
          <w:sz w:val="22"/>
        </w:rPr>
        <w:tab/>
      </w:r>
      <w:r w:rsidR="005F484B">
        <w:rPr>
          <w:rFonts w:asciiTheme="minorHAnsi" w:hAnsiTheme="minorHAnsi"/>
          <w:color w:val="4F81BD" w:themeColor="accent1"/>
        </w:rPr>
        <w:t>MQ</w:t>
      </w:r>
      <w:r w:rsidRPr="00E66CCB">
        <w:rPr>
          <w:rFonts w:asciiTheme="minorHAnsi" w:hAnsiTheme="minorHAnsi"/>
          <w:color w:val="4F81BD" w:themeColor="accent1"/>
        </w:rPr>
        <w:t xml:space="preserve">P </w:t>
      </w:r>
      <w:r w:rsidR="005F5C5E">
        <w:rPr>
          <w:rFonts w:asciiTheme="minorHAnsi" w:hAnsiTheme="minorHAnsi"/>
          <w:color w:val="4F81BD" w:themeColor="accent1"/>
        </w:rPr>
        <w:t>WITH MASS QUOTATIONS</w:t>
      </w:r>
      <w:r>
        <w:tab/>
      </w:r>
      <w:r>
        <w:fldChar w:fldCharType="begin"/>
      </w:r>
      <w:r>
        <w:instrText xml:space="preserve"> PAGEREF _Toc464457824 \h </w:instrText>
      </w:r>
      <w:r>
        <w:fldChar w:fldCharType="separate"/>
      </w:r>
      <w:r>
        <w:t>8</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3.6</w:t>
      </w:r>
      <w:r>
        <w:rPr>
          <w:rFonts w:asciiTheme="minorHAnsi" w:hAnsiTheme="minorHAnsi" w:cstheme="minorBidi"/>
          <w:sz w:val="22"/>
        </w:rPr>
        <w:tab/>
      </w:r>
      <w:r w:rsidRPr="00E66CCB">
        <w:rPr>
          <w:rFonts w:asciiTheme="minorHAnsi" w:hAnsiTheme="minorHAnsi"/>
          <w:color w:val="4F81BD" w:themeColor="accent1"/>
        </w:rPr>
        <w:t>P</w:t>
      </w:r>
      <w:r w:rsidR="005F5C5E">
        <w:rPr>
          <w:rFonts w:asciiTheme="minorHAnsi" w:hAnsiTheme="minorHAnsi"/>
          <w:color w:val="4F81BD" w:themeColor="accent1"/>
        </w:rPr>
        <w:t>ASSIVE AND AGGRESSIVE QUOTES</w:t>
      </w:r>
      <w:r>
        <w:tab/>
      </w:r>
      <w:r>
        <w:fldChar w:fldCharType="begin"/>
      </w:r>
      <w:r>
        <w:instrText xml:space="preserve"> PAGEREF _Toc464457825 \h </w:instrText>
      </w:r>
      <w:r>
        <w:fldChar w:fldCharType="separate"/>
      </w:r>
      <w:r>
        <w:t>8</w:t>
      </w:r>
      <w:r>
        <w:fldChar w:fldCharType="end"/>
      </w:r>
    </w:p>
    <w:p w:rsidR="00F74452" w:rsidRDefault="00F74452" w:rsidP="00E15E1F">
      <w:pPr>
        <w:pStyle w:val="TOC3"/>
        <w:tabs>
          <w:tab w:val="left" w:pos="1310"/>
          <w:tab w:val="left" w:pos="2620"/>
          <w:tab w:val="left" w:pos="3930"/>
          <w:tab w:val="left" w:pos="5658"/>
        </w:tabs>
        <w:rPr>
          <w:rFonts w:asciiTheme="minorHAnsi" w:eastAsiaTheme="minorEastAsia" w:hAnsiTheme="minorHAnsi" w:cstheme="minorBidi"/>
          <w:sz w:val="22"/>
          <w:szCs w:val="22"/>
        </w:rPr>
      </w:pPr>
      <w:r>
        <w:t xml:space="preserve">3.6.1 </w:t>
      </w:r>
      <w:r>
        <w:rPr>
          <w:rFonts w:asciiTheme="minorHAnsi" w:eastAsiaTheme="minorEastAsia" w:hAnsiTheme="minorHAnsi" w:cstheme="minorBidi"/>
          <w:sz w:val="22"/>
          <w:szCs w:val="22"/>
        </w:rPr>
        <w:tab/>
      </w:r>
      <w:r>
        <w:t>Aggressive Quotes</w:t>
      </w:r>
      <w:r>
        <w:tab/>
      </w:r>
      <w:r>
        <w:fldChar w:fldCharType="begin"/>
      </w:r>
      <w:r>
        <w:instrText xml:space="preserve"> PAGEREF _Toc464457826 \h </w:instrText>
      </w:r>
      <w:r>
        <w:fldChar w:fldCharType="separate"/>
      </w:r>
      <w:r>
        <w:t>8</w:t>
      </w:r>
      <w:r>
        <w:fldChar w:fldCharType="end"/>
      </w:r>
      <w:r w:rsidR="00E15E1F">
        <w:tab/>
      </w:r>
    </w:p>
    <w:p w:rsidR="00F74452" w:rsidRDefault="00F74452" w:rsidP="00F74452">
      <w:pPr>
        <w:pStyle w:val="TOC3"/>
        <w:rPr>
          <w:rFonts w:asciiTheme="minorHAnsi" w:eastAsiaTheme="minorEastAsia" w:hAnsiTheme="minorHAnsi" w:cstheme="minorBidi"/>
          <w:sz w:val="22"/>
          <w:szCs w:val="22"/>
        </w:rPr>
      </w:pPr>
      <w:r>
        <w:t>3.6.2</w:t>
      </w:r>
      <w:r>
        <w:rPr>
          <w:rFonts w:asciiTheme="minorHAnsi" w:eastAsiaTheme="minorEastAsia" w:hAnsiTheme="minorHAnsi" w:cstheme="minorBidi"/>
          <w:sz w:val="22"/>
          <w:szCs w:val="22"/>
        </w:rPr>
        <w:tab/>
      </w:r>
      <w:r>
        <w:t>Passive Quotes</w:t>
      </w:r>
      <w:r>
        <w:tab/>
      </w:r>
      <w:r>
        <w:fldChar w:fldCharType="begin"/>
      </w:r>
      <w:r>
        <w:instrText xml:space="preserve"> PAGEREF _Toc464457827 \h </w:instrText>
      </w:r>
      <w:r>
        <w:fldChar w:fldCharType="separate"/>
      </w:r>
      <w:r>
        <w:t>8</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3.7</w:t>
      </w:r>
      <w:r>
        <w:rPr>
          <w:rFonts w:asciiTheme="minorHAnsi" w:hAnsiTheme="minorHAnsi" w:cstheme="minorBidi"/>
          <w:sz w:val="22"/>
        </w:rPr>
        <w:tab/>
      </w:r>
      <w:r w:rsidRPr="00E66CCB">
        <w:rPr>
          <w:rFonts w:asciiTheme="minorHAnsi" w:hAnsiTheme="minorHAnsi"/>
          <w:color w:val="4F81BD" w:themeColor="accent1"/>
        </w:rPr>
        <w:t>I</w:t>
      </w:r>
      <w:r w:rsidR="005F5C5E">
        <w:rPr>
          <w:rFonts w:asciiTheme="minorHAnsi" w:hAnsiTheme="minorHAnsi"/>
          <w:color w:val="4F81BD" w:themeColor="accent1"/>
        </w:rPr>
        <w:t>N-HOUSE TRADING</w:t>
      </w:r>
      <w:r>
        <w:tab/>
      </w:r>
      <w:r>
        <w:fldChar w:fldCharType="begin"/>
      </w:r>
      <w:r>
        <w:instrText xml:space="preserve"> PAGEREF _Toc464457828 \h </w:instrText>
      </w:r>
      <w:r>
        <w:fldChar w:fldCharType="separate"/>
      </w:r>
      <w:r>
        <w:t>8</w:t>
      </w:r>
      <w:r>
        <w:fldChar w:fldCharType="end"/>
      </w:r>
    </w:p>
    <w:p w:rsidR="00F74452" w:rsidRDefault="00F74452" w:rsidP="00F74452">
      <w:pPr>
        <w:pStyle w:val="TOC3"/>
        <w:rPr>
          <w:rFonts w:asciiTheme="minorHAnsi" w:eastAsiaTheme="minorEastAsia" w:hAnsiTheme="minorHAnsi" w:cstheme="minorBidi"/>
          <w:sz w:val="22"/>
          <w:szCs w:val="22"/>
        </w:rPr>
      </w:pPr>
      <w:r>
        <w:t>3.7.1</w:t>
      </w:r>
      <w:r>
        <w:rPr>
          <w:rFonts w:asciiTheme="minorHAnsi" w:eastAsiaTheme="minorEastAsia" w:hAnsiTheme="minorHAnsi" w:cstheme="minorBidi"/>
          <w:sz w:val="22"/>
          <w:szCs w:val="22"/>
        </w:rPr>
        <w:tab/>
      </w:r>
      <w:r>
        <w:t>Aggressive Quote matched with a Combination Order</w:t>
      </w:r>
      <w:r>
        <w:tab/>
      </w:r>
      <w:r>
        <w:fldChar w:fldCharType="begin"/>
      </w:r>
      <w:r>
        <w:instrText xml:space="preserve"> PAGEREF _Toc464457830 \h </w:instrText>
      </w:r>
      <w:r>
        <w:fldChar w:fldCharType="separate"/>
      </w:r>
      <w:r>
        <w:t>8</w:t>
      </w:r>
      <w:r>
        <w:fldChar w:fldCharType="end"/>
      </w:r>
    </w:p>
    <w:p w:rsidR="00F74452" w:rsidRDefault="00F74452" w:rsidP="00F74452">
      <w:pPr>
        <w:pStyle w:val="TOC3"/>
        <w:rPr>
          <w:rFonts w:asciiTheme="minorHAnsi" w:eastAsiaTheme="minorEastAsia" w:hAnsiTheme="minorHAnsi" w:cstheme="minorBidi"/>
          <w:sz w:val="22"/>
          <w:szCs w:val="22"/>
        </w:rPr>
      </w:pPr>
      <w:r>
        <w:t>3.7.2</w:t>
      </w:r>
      <w:r>
        <w:rPr>
          <w:rFonts w:asciiTheme="minorHAnsi" w:eastAsiaTheme="minorEastAsia" w:hAnsiTheme="minorHAnsi" w:cstheme="minorBidi"/>
          <w:sz w:val="22"/>
          <w:szCs w:val="22"/>
        </w:rPr>
        <w:tab/>
      </w:r>
      <w:r>
        <w:t>Passive Quote matched with a Combination Order</w:t>
      </w:r>
      <w:r>
        <w:tab/>
      </w:r>
      <w:r>
        <w:fldChar w:fldCharType="begin"/>
      </w:r>
      <w:r>
        <w:instrText xml:space="preserve"> PAGEREF _Toc464457831 \h </w:instrText>
      </w:r>
      <w:r>
        <w:fldChar w:fldCharType="separate"/>
      </w:r>
      <w:r>
        <w:t>9</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3.8</w:t>
      </w:r>
      <w:r>
        <w:rPr>
          <w:rFonts w:asciiTheme="minorHAnsi" w:hAnsiTheme="minorHAnsi" w:cstheme="minorBidi"/>
          <w:sz w:val="22"/>
        </w:rPr>
        <w:tab/>
      </w:r>
      <w:r w:rsidRPr="00E66CCB">
        <w:rPr>
          <w:rFonts w:asciiTheme="minorHAnsi" w:hAnsiTheme="minorHAnsi"/>
          <w:color w:val="4F81BD" w:themeColor="accent1"/>
        </w:rPr>
        <w:t>S</w:t>
      </w:r>
      <w:r w:rsidR="005F5C5E">
        <w:rPr>
          <w:rFonts w:asciiTheme="minorHAnsi" w:hAnsiTheme="minorHAnsi"/>
          <w:color w:val="4F81BD" w:themeColor="accent1"/>
        </w:rPr>
        <w:t>TOP ORDERS</w:t>
      </w:r>
      <w:r>
        <w:tab/>
      </w:r>
      <w:r>
        <w:fldChar w:fldCharType="begin"/>
      </w:r>
      <w:r>
        <w:instrText xml:space="preserve"> PAGEREF _Toc464457832 \h </w:instrText>
      </w:r>
      <w:r>
        <w:fldChar w:fldCharType="separate"/>
      </w:r>
      <w:r>
        <w:t>9</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3.9</w:t>
      </w:r>
      <w:r>
        <w:rPr>
          <w:rFonts w:asciiTheme="minorHAnsi" w:hAnsiTheme="minorHAnsi" w:cstheme="minorBidi"/>
          <w:sz w:val="22"/>
        </w:rPr>
        <w:tab/>
      </w:r>
      <w:r w:rsidRPr="00E66CCB">
        <w:rPr>
          <w:rFonts w:asciiTheme="minorHAnsi" w:hAnsiTheme="minorHAnsi"/>
          <w:color w:val="4F81BD" w:themeColor="accent1"/>
        </w:rPr>
        <w:t>S</w:t>
      </w:r>
      <w:r w:rsidR="005F5C5E">
        <w:rPr>
          <w:rFonts w:asciiTheme="minorHAnsi" w:hAnsiTheme="minorHAnsi"/>
          <w:color w:val="4F81BD" w:themeColor="accent1"/>
        </w:rPr>
        <w:t>ESSIONS STATES</w:t>
      </w:r>
      <w:r>
        <w:tab/>
      </w:r>
      <w:r>
        <w:fldChar w:fldCharType="begin"/>
      </w:r>
      <w:r>
        <w:instrText xml:space="preserve"> PAGEREF _Toc464457833 \h </w:instrText>
      </w:r>
      <w:r>
        <w:fldChar w:fldCharType="separate"/>
      </w:r>
      <w:r>
        <w:t>9</w:t>
      </w:r>
      <w:r>
        <w:fldChar w:fldCharType="end"/>
      </w:r>
    </w:p>
    <w:p w:rsidR="00F74452" w:rsidRDefault="00F74452" w:rsidP="00F74452">
      <w:pPr>
        <w:pStyle w:val="TOC1"/>
        <w:rPr>
          <w:rFonts w:asciiTheme="minorHAnsi" w:hAnsiTheme="minorHAnsi" w:cstheme="minorBidi"/>
          <w:b/>
          <w:bCs/>
          <w:caps/>
          <w:sz w:val="22"/>
        </w:rPr>
      </w:pPr>
      <w:r w:rsidRPr="00E66CCB">
        <w:t>4</w:t>
      </w:r>
      <w:r>
        <w:t xml:space="preserve"> MQP E</w:t>
      </w:r>
      <w:r w:rsidR="00CE387F">
        <w:t>XAMPLES</w:t>
      </w:r>
      <w:r>
        <w:tab/>
      </w:r>
      <w:r>
        <w:fldChar w:fldCharType="begin"/>
      </w:r>
      <w:r>
        <w:instrText xml:space="preserve"> PAGEREF _Toc464457834 \h </w:instrText>
      </w:r>
      <w:r>
        <w:fldChar w:fldCharType="separate"/>
      </w:r>
      <w:r>
        <w:t>9</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4.1</w:t>
      </w:r>
      <w:r>
        <w:rPr>
          <w:rFonts w:asciiTheme="minorHAnsi" w:hAnsiTheme="minorHAnsi" w:cstheme="minorBidi"/>
          <w:sz w:val="22"/>
        </w:rPr>
        <w:tab/>
      </w:r>
      <w:r w:rsidRPr="00E66CCB">
        <w:rPr>
          <w:rFonts w:asciiTheme="minorHAnsi" w:hAnsiTheme="minorHAnsi"/>
          <w:color w:val="4F81BD" w:themeColor="accent1"/>
        </w:rPr>
        <w:t>E</w:t>
      </w:r>
      <w:r w:rsidR="005F5C5E">
        <w:rPr>
          <w:rFonts w:asciiTheme="minorHAnsi" w:hAnsiTheme="minorHAnsi"/>
          <w:color w:val="4F81BD" w:themeColor="accent1"/>
        </w:rPr>
        <w:t>XAMPLE 1</w:t>
      </w:r>
      <w:r w:rsidRPr="00E66CCB">
        <w:rPr>
          <w:rFonts w:asciiTheme="minorHAnsi" w:hAnsiTheme="minorHAnsi"/>
          <w:color w:val="4F81BD" w:themeColor="accent1"/>
        </w:rPr>
        <w:t>: A</w:t>
      </w:r>
      <w:r w:rsidR="005F5C5E">
        <w:rPr>
          <w:rFonts w:asciiTheme="minorHAnsi" w:hAnsiTheme="minorHAnsi"/>
          <w:color w:val="4F81BD" w:themeColor="accent1"/>
        </w:rPr>
        <w:t>GGRESSIVE QUOTES (SECTION</w:t>
      </w:r>
      <w:r w:rsidRPr="00E66CCB">
        <w:rPr>
          <w:rFonts w:asciiTheme="minorHAnsi" w:hAnsiTheme="minorHAnsi"/>
          <w:color w:val="4F81BD" w:themeColor="accent1"/>
        </w:rPr>
        <w:t xml:space="preserve"> 3.6.1)</w:t>
      </w:r>
      <w:r>
        <w:tab/>
      </w:r>
      <w:r>
        <w:fldChar w:fldCharType="begin"/>
      </w:r>
      <w:r>
        <w:instrText xml:space="preserve"> PAGEREF _Toc464457835 \h </w:instrText>
      </w:r>
      <w:r>
        <w:fldChar w:fldCharType="separate"/>
      </w:r>
      <w:r>
        <w:t>9</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4.2</w:t>
      </w:r>
      <w:r>
        <w:rPr>
          <w:rFonts w:asciiTheme="minorHAnsi" w:hAnsiTheme="minorHAnsi" w:cstheme="minorBidi"/>
          <w:sz w:val="22"/>
        </w:rPr>
        <w:tab/>
      </w:r>
      <w:r w:rsidRPr="00E66CCB">
        <w:rPr>
          <w:rFonts w:asciiTheme="minorHAnsi" w:hAnsiTheme="minorHAnsi"/>
          <w:color w:val="4F81BD" w:themeColor="accent1"/>
        </w:rPr>
        <w:t>E</w:t>
      </w:r>
      <w:r w:rsidR="005F5C5E">
        <w:rPr>
          <w:rFonts w:asciiTheme="minorHAnsi" w:hAnsiTheme="minorHAnsi"/>
          <w:color w:val="4F81BD" w:themeColor="accent1"/>
        </w:rPr>
        <w:t>XAMPLE</w:t>
      </w:r>
      <w:r w:rsidRPr="00E66CCB">
        <w:rPr>
          <w:rFonts w:asciiTheme="minorHAnsi" w:hAnsiTheme="minorHAnsi"/>
          <w:color w:val="4F81BD" w:themeColor="accent1"/>
        </w:rPr>
        <w:t xml:space="preserve"> 2: P</w:t>
      </w:r>
      <w:r w:rsidR="005F5C5E">
        <w:rPr>
          <w:rFonts w:asciiTheme="minorHAnsi" w:hAnsiTheme="minorHAnsi"/>
          <w:color w:val="4F81BD" w:themeColor="accent1"/>
        </w:rPr>
        <w:t>ASSIVE QUOTES</w:t>
      </w:r>
      <w:r w:rsidRPr="00E66CCB">
        <w:rPr>
          <w:rFonts w:asciiTheme="minorHAnsi" w:hAnsiTheme="minorHAnsi"/>
          <w:color w:val="4F81BD" w:themeColor="accent1"/>
        </w:rPr>
        <w:t xml:space="preserve"> (S</w:t>
      </w:r>
      <w:r w:rsidR="005F5C5E">
        <w:rPr>
          <w:rFonts w:asciiTheme="minorHAnsi" w:hAnsiTheme="minorHAnsi"/>
          <w:color w:val="4F81BD" w:themeColor="accent1"/>
        </w:rPr>
        <w:t>ECTION</w:t>
      </w:r>
      <w:r w:rsidRPr="00E66CCB">
        <w:rPr>
          <w:rFonts w:asciiTheme="minorHAnsi" w:hAnsiTheme="minorHAnsi"/>
          <w:color w:val="4F81BD" w:themeColor="accent1"/>
        </w:rPr>
        <w:t xml:space="preserve"> 3.6.2)</w:t>
      </w:r>
      <w:r>
        <w:tab/>
      </w:r>
      <w:r>
        <w:fldChar w:fldCharType="begin"/>
      </w:r>
      <w:r>
        <w:instrText xml:space="preserve"> PAGEREF _Toc464457836 \h </w:instrText>
      </w:r>
      <w:r>
        <w:fldChar w:fldCharType="separate"/>
      </w:r>
      <w:r>
        <w:t>10</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4.3</w:t>
      </w:r>
      <w:r>
        <w:rPr>
          <w:rFonts w:asciiTheme="minorHAnsi" w:hAnsiTheme="minorHAnsi" w:cstheme="minorBidi"/>
          <w:sz w:val="22"/>
        </w:rPr>
        <w:tab/>
      </w:r>
      <w:r w:rsidRPr="00E66CCB">
        <w:rPr>
          <w:rFonts w:asciiTheme="minorHAnsi" w:hAnsiTheme="minorHAnsi"/>
          <w:color w:val="4F81BD" w:themeColor="accent1"/>
        </w:rPr>
        <w:t>E</w:t>
      </w:r>
      <w:r w:rsidR="005F5C5E">
        <w:rPr>
          <w:rFonts w:asciiTheme="minorHAnsi" w:hAnsiTheme="minorHAnsi"/>
          <w:color w:val="4F81BD" w:themeColor="accent1"/>
        </w:rPr>
        <w:t>XAMPLES 3 AND 4</w:t>
      </w:r>
      <w:r w:rsidRPr="00E66CCB">
        <w:rPr>
          <w:rFonts w:asciiTheme="minorHAnsi" w:hAnsiTheme="minorHAnsi"/>
          <w:color w:val="4F81BD" w:themeColor="accent1"/>
        </w:rPr>
        <w:t>: C</w:t>
      </w:r>
      <w:r w:rsidR="005F5C5E">
        <w:rPr>
          <w:rFonts w:asciiTheme="minorHAnsi" w:hAnsiTheme="minorHAnsi"/>
          <w:color w:val="4F81BD" w:themeColor="accent1"/>
        </w:rPr>
        <w:t>OMBINATION ORDERS (SECTION</w:t>
      </w:r>
      <w:r w:rsidRPr="00E66CCB">
        <w:rPr>
          <w:rFonts w:asciiTheme="minorHAnsi" w:hAnsiTheme="minorHAnsi"/>
          <w:color w:val="4F81BD" w:themeColor="accent1"/>
        </w:rPr>
        <w:t xml:space="preserve"> 3.8)</w:t>
      </w:r>
      <w:r>
        <w:tab/>
      </w:r>
      <w:r>
        <w:fldChar w:fldCharType="begin"/>
      </w:r>
      <w:r>
        <w:instrText xml:space="preserve"> PAGEREF _Toc464457837 \h </w:instrText>
      </w:r>
      <w:r>
        <w:fldChar w:fldCharType="separate"/>
      </w:r>
      <w:r>
        <w:t>10</w:t>
      </w:r>
      <w:r>
        <w:fldChar w:fldCharType="end"/>
      </w:r>
    </w:p>
    <w:p w:rsidR="00F74452" w:rsidRDefault="00F74452" w:rsidP="00F74452">
      <w:pPr>
        <w:pStyle w:val="TOC1"/>
        <w:rPr>
          <w:rFonts w:asciiTheme="minorHAnsi" w:hAnsiTheme="minorHAnsi" w:cstheme="minorBidi"/>
          <w:b/>
          <w:bCs/>
          <w:caps/>
          <w:sz w:val="22"/>
        </w:rPr>
      </w:pPr>
      <w:r w:rsidRPr="00E66CCB">
        <w:t>5</w:t>
      </w:r>
      <w:r w:rsidRPr="00E66CCB">
        <w:rPr>
          <w:u w:val="single"/>
        </w:rPr>
        <w:t xml:space="preserve"> SELF-MATCH PREVENTION (SMP</w:t>
      </w:r>
      <w:r>
        <w:t>)</w:t>
      </w:r>
      <w:r>
        <w:tab/>
      </w:r>
      <w:r>
        <w:fldChar w:fldCharType="begin"/>
      </w:r>
      <w:r>
        <w:instrText xml:space="preserve"> PAGEREF _Toc464457838 \h </w:instrText>
      </w:r>
      <w:r>
        <w:fldChar w:fldCharType="separate"/>
      </w:r>
      <w:r>
        <w:t>12</w:t>
      </w:r>
      <w:r>
        <w:fldChar w:fldCharType="end"/>
      </w:r>
    </w:p>
    <w:p w:rsidR="00F74452" w:rsidRDefault="00F74452" w:rsidP="00F74452">
      <w:pPr>
        <w:pStyle w:val="TOC1"/>
        <w:rPr>
          <w:rFonts w:asciiTheme="minorHAnsi" w:hAnsiTheme="minorHAnsi" w:cstheme="minorBidi"/>
          <w:b/>
          <w:bCs/>
          <w:caps/>
          <w:sz w:val="22"/>
        </w:rPr>
      </w:pPr>
      <w:r w:rsidRPr="00E66CCB">
        <w:t>6</w:t>
      </w:r>
      <w:r w:rsidR="005F484B">
        <w:rPr>
          <w:u w:val="single"/>
        </w:rPr>
        <w:t xml:space="preserve"> D</w:t>
      </w:r>
      <w:r w:rsidR="005F5C5E">
        <w:rPr>
          <w:u w:val="single"/>
        </w:rPr>
        <w:t>ESCRIPTION OF SMP METHODS AND EXAMPLES</w:t>
      </w:r>
      <w:r>
        <w:tab/>
      </w:r>
      <w:r>
        <w:fldChar w:fldCharType="begin"/>
      </w:r>
      <w:r>
        <w:instrText xml:space="preserve"> PAGEREF _Toc464457839 \h </w:instrText>
      </w:r>
      <w:r>
        <w:fldChar w:fldCharType="separate"/>
      </w:r>
      <w:r>
        <w:t>14</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6.1</w:t>
      </w:r>
      <w:r>
        <w:rPr>
          <w:rFonts w:asciiTheme="minorHAnsi" w:hAnsiTheme="minorHAnsi" w:cstheme="minorBidi"/>
          <w:sz w:val="22"/>
        </w:rPr>
        <w:tab/>
      </w:r>
      <w:r w:rsidRPr="00E66CCB">
        <w:rPr>
          <w:rFonts w:asciiTheme="minorHAnsi" w:hAnsiTheme="minorHAnsi"/>
          <w:color w:val="4F81BD" w:themeColor="accent1"/>
          <w:u w:val="single"/>
        </w:rPr>
        <w:t>CANCEL NEWEST</w:t>
      </w:r>
      <w:r>
        <w:tab/>
      </w:r>
      <w:r>
        <w:fldChar w:fldCharType="begin"/>
      </w:r>
      <w:r>
        <w:instrText xml:space="preserve"> PAGEREF _Toc464457840 \h </w:instrText>
      </w:r>
      <w:r>
        <w:fldChar w:fldCharType="separate"/>
      </w:r>
      <w:r>
        <w:t>14</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6.2</w:t>
      </w:r>
      <w:r>
        <w:rPr>
          <w:rFonts w:asciiTheme="minorHAnsi" w:hAnsiTheme="minorHAnsi" w:cstheme="minorBidi"/>
          <w:sz w:val="22"/>
        </w:rPr>
        <w:tab/>
      </w:r>
      <w:r w:rsidR="005F484B">
        <w:rPr>
          <w:rFonts w:asciiTheme="minorHAnsi" w:hAnsiTheme="minorHAnsi"/>
          <w:color w:val="4F81BD" w:themeColor="accent1"/>
          <w:u w:val="single"/>
        </w:rPr>
        <w:t xml:space="preserve">CANCEL </w:t>
      </w:r>
      <w:r w:rsidRPr="00E66CCB">
        <w:rPr>
          <w:rFonts w:asciiTheme="minorHAnsi" w:hAnsiTheme="minorHAnsi"/>
          <w:color w:val="4F81BD" w:themeColor="accent1"/>
          <w:u w:val="single"/>
        </w:rPr>
        <w:t>OLDEST</w:t>
      </w:r>
      <w:r>
        <w:tab/>
      </w:r>
      <w:r>
        <w:fldChar w:fldCharType="begin"/>
      </w:r>
      <w:r>
        <w:instrText xml:space="preserve"> PAGEREF _Toc464457841 \h </w:instrText>
      </w:r>
      <w:r>
        <w:fldChar w:fldCharType="separate"/>
      </w:r>
      <w:r>
        <w:t>15</w:t>
      </w:r>
      <w:r>
        <w:fldChar w:fldCharType="end"/>
      </w:r>
    </w:p>
    <w:p w:rsidR="00F74452" w:rsidRDefault="00F74452" w:rsidP="00F74452">
      <w:pPr>
        <w:pStyle w:val="TOC2"/>
        <w:rPr>
          <w:rFonts w:asciiTheme="minorHAnsi" w:hAnsiTheme="minorHAnsi" w:cstheme="minorBidi"/>
          <w:bCs/>
          <w:caps/>
          <w:sz w:val="22"/>
        </w:rPr>
      </w:pPr>
      <w:r w:rsidRPr="00E66CCB">
        <w:rPr>
          <w:rFonts w:asciiTheme="minorHAnsi" w:hAnsiTheme="minorHAnsi"/>
          <w:color w:val="4F81BD" w:themeColor="accent1"/>
        </w:rPr>
        <w:t>6.3</w:t>
      </w:r>
      <w:r>
        <w:rPr>
          <w:rFonts w:asciiTheme="minorHAnsi" w:hAnsiTheme="minorHAnsi" w:cstheme="minorBidi"/>
          <w:sz w:val="22"/>
        </w:rPr>
        <w:tab/>
      </w:r>
      <w:r w:rsidR="005F484B">
        <w:rPr>
          <w:rFonts w:asciiTheme="minorHAnsi" w:hAnsiTheme="minorHAnsi"/>
          <w:color w:val="4F81BD" w:themeColor="accent1"/>
          <w:u w:val="single"/>
        </w:rPr>
        <w:t>SKIP INTERNAL</w:t>
      </w:r>
      <w:r>
        <w:tab/>
      </w:r>
      <w:r>
        <w:fldChar w:fldCharType="begin"/>
      </w:r>
      <w:r>
        <w:instrText xml:space="preserve"> PAGEREF _Toc464457842 \h </w:instrText>
      </w:r>
      <w:r>
        <w:fldChar w:fldCharType="separate"/>
      </w:r>
      <w:r>
        <w:t>17</w:t>
      </w:r>
      <w:r>
        <w:fldChar w:fldCharType="end"/>
      </w:r>
    </w:p>
    <w:p w:rsidR="00F74452" w:rsidRPr="00102C8D" w:rsidRDefault="00F74452" w:rsidP="00F74452">
      <w:pPr>
        <w:pStyle w:val="Heading1"/>
        <w:spacing w:before="0"/>
        <w:ind w:left="-720"/>
        <w:rPr>
          <w:rFonts w:asciiTheme="minorHAnsi" w:eastAsia="SimSun" w:hAnsiTheme="minorHAnsi"/>
          <w:szCs w:val="22"/>
        </w:rPr>
      </w:pPr>
      <w:r w:rsidRPr="00102C8D">
        <w:rPr>
          <w:rFonts w:asciiTheme="minorHAnsi" w:eastAsia="SimSun" w:hAnsiTheme="minorHAnsi"/>
          <w:szCs w:val="22"/>
        </w:rPr>
        <w:fldChar w:fldCharType="end"/>
      </w:r>
    </w:p>
    <w:p w:rsidR="00F74452" w:rsidRPr="00102C8D" w:rsidRDefault="00F74452" w:rsidP="00F74452">
      <w:pPr>
        <w:rPr>
          <w:rFonts w:eastAsia="Arial"/>
        </w:rPr>
      </w:pPr>
    </w:p>
    <w:p w:rsidR="00F74452" w:rsidRPr="00102C8D" w:rsidRDefault="00F74452" w:rsidP="00F74452">
      <w:pPr>
        <w:rPr>
          <w:rFonts w:eastAsia="Arial"/>
        </w:rPr>
      </w:pPr>
    </w:p>
    <w:p w:rsidR="00F74452" w:rsidRPr="00102C8D" w:rsidRDefault="00F74452" w:rsidP="00F74452">
      <w:pPr>
        <w:rPr>
          <w:rFonts w:eastAsia="Arial"/>
        </w:rPr>
      </w:pPr>
    </w:p>
    <w:p w:rsidR="00F74452" w:rsidRPr="00102C8D" w:rsidRDefault="00F74452" w:rsidP="00F74452">
      <w:pPr>
        <w:rPr>
          <w:rFonts w:eastAsia="Arial"/>
        </w:rPr>
      </w:pPr>
    </w:p>
    <w:p w:rsidR="00F74452" w:rsidRPr="00102C8D" w:rsidRDefault="00F74452" w:rsidP="00F74452">
      <w:pPr>
        <w:spacing w:line="240" w:lineRule="auto"/>
        <w:rPr>
          <w:rFonts w:eastAsia="Arial"/>
        </w:rPr>
      </w:pPr>
      <w:r w:rsidRPr="00102C8D">
        <w:rPr>
          <w:rFonts w:eastAsia="Arial"/>
        </w:rPr>
        <w:br w:type="page"/>
      </w:r>
    </w:p>
    <w:p w:rsidR="00F74452" w:rsidRPr="00102C8D" w:rsidRDefault="00F74452" w:rsidP="00834A38">
      <w:pPr>
        <w:pStyle w:val="Heading1"/>
        <w:keepLines w:val="0"/>
        <w:numPr>
          <w:ilvl w:val="0"/>
          <w:numId w:val="11"/>
        </w:numPr>
        <w:spacing w:after="120" w:line="320" w:lineRule="atLeast"/>
      </w:pPr>
      <w:r w:rsidRPr="00102C8D">
        <w:lastRenderedPageBreak/>
        <w:t xml:space="preserve"> </w:t>
      </w:r>
      <w:bookmarkStart w:id="1" w:name="_Toc464457810"/>
      <w:r w:rsidR="00956781">
        <w:t>INTRODUCTION</w:t>
      </w:r>
      <w:bookmarkEnd w:id="1"/>
    </w:p>
    <w:p w:rsidR="00F74452" w:rsidRPr="00A91171" w:rsidRDefault="00F74452" w:rsidP="00F74452">
      <w:pPr>
        <w:tabs>
          <w:tab w:val="left" w:pos="0"/>
        </w:tabs>
        <w:rPr>
          <w:rFonts w:eastAsia="Arial"/>
        </w:rPr>
      </w:pPr>
      <w:r w:rsidRPr="006321C1">
        <w:rPr>
          <w:rFonts w:eastAsia="Arial"/>
        </w:rPr>
        <w:t>This objective of this document is to provide an overview of NFX’s Trading System Mass Quote Protection (MQP</w:t>
      </w:r>
      <w:r w:rsidRPr="00A91171">
        <w:rPr>
          <w:rFonts w:eastAsia="Arial"/>
        </w:rPr>
        <w:t xml:space="preserve">) and Self-Match Prevention </w:t>
      </w:r>
      <w:r w:rsidRPr="00A91171">
        <w:rPr>
          <w:rFonts w:eastAsia="Arial"/>
          <w:u w:val="single"/>
        </w:rPr>
        <w:t>(SMP)</w:t>
      </w:r>
      <w:r w:rsidRPr="00A91171">
        <w:rPr>
          <w:rFonts w:eastAsia="Arial"/>
        </w:rPr>
        <w:t xml:space="preserve"> functionality, as well as act as an explanatory reference guide for these key concepts and services provided by NFX.  For purposes of this Reference </w:t>
      </w:r>
      <w:r w:rsidRPr="00A1389E">
        <w:rPr>
          <w:rFonts w:eastAsia="Arial"/>
        </w:rPr>
        <w:t>Guide, a</w:t>
      </w:r>
      <w:r w:rsidRPr="00A1389E">
        <w:t xml:space="preserve"> Participant is defined as a Clearing Futures Participant, Futures Participant, or Authorized Customer.  A User is defined</w:t>
      </w:r>
      <w:r w:rsidRPr="00A91171">
        <w:t xml:space="preserve"> as an Authorized Trader.  (See NFX Reference Guide, Section 2.3, Relational Model).  </w:t>
      </w:r>
      <w:r w:rsidRPr="00A91171">
        <w:rPr>
          <w:u w:val="single"/>
        </w:rPr>
        <w:t>To implement either MQP or SMP, Participants must designate a unique Market Participant Identifier (“MPID”) for identification in the NFX Trading System, or request NFX Market Operations to assign a unique MPID.</w:t>
      </w:r>
      <w:r w:rsidRPr="00A91171">
        <w:rPr>
          <w:rFonts w:eastAsia="Arial"/>
        </w:rPr>
        <w:t xml:space="preserve"> </w:t>
      </w:r>
    </w:p>
    <w:p w:rsidR="00F74452" w:rsidRPr="00A91171" w:rsidRDefault="00F74452" w:rsidP="00F74452">
      <w:pPr>
        <w:tabs>
          <w:tab w:val="left" w:pos="0"/>
        </w:tabs>
        <w:rPr>
          <w:rFonts w:eastAsia="Arial"/>
        </w:rPr>
      </w:pPr>
      <w:r w:rsidRPr="00A91171">
        <w:rPr>
          <w:rFonts w:eastAsia="Arial"/>
        </w:rPr>
        <w:t>The Mass Quote Protection functionality is designed to prevent rapid fire trade executions resulting from Participant</w:t>
      </w:r>
      <w:r w:rsidRPr="006321C1">
        <w:rPr>
          <w:rFonts w:eastAsia="Arial"/>
        </w:rPr>
        <w:t xml:space="preserve"> Mass Quotes.  The Participant may elect MQP functionality whereby the Trading System will automatically purge all Quotes in a certain underlying Futures or Options Contract if a configurable number of contracts have been met or executed during a configurable amount of time.  Participants will have the ability to use the MQP functionality for all underlying Contracts. </w:t>
      </w:r>
      <w:r w:rsidRPr="006321C1">
        <w:t xml:space="preserve"> </w:t>
      </w:r>
      <w:r w:rsidRPr="006321C1">
        <w:rPr>
          <w:rFonts w:eastAsia="Arial"/>
        </w:rPr>
        <w:t>Mass Quote</w:t>
      </w:r>
      <w:r w:rsidRPr="006321C1">
        <w:t xml:space="preserve"> Protection is </w:t>
      </w:r>
      <w:r w:rsidRPr="00A91171">
        <w:t xml:space="preserve">optional for Futures Participants and Authorized Customers.  All Participants may enter Quotes into NFX’s Trading System.  See NFX Rulebook at Chapter IV, Section 9.  </w:t>
      </w:r>
      <w:r w:rsidRPr="00A91171">
        <w:rPr>
          <w:u w:val="single"/>
        </w:rPr>
        <w:t>See NFX Rulebook at Chapter I for definition of a Quote (including mass Quote).</w:t>
      </w:r>
      <w:r w:rsidRPr="00A91171">
        <w:t xml:space="preserve">      </w:t>
      </w:r>
    </w:p>
    <w:p w:rsidR="00F74452" w:rsidRDefault="00F74452" w:rsidP="00F74452">
      <w:pPr>
        <w:tabs>
          <w:tab w:val="left" w:pos="0"/>
        </w:tabs>
      </w:pPr>
      <w:r w:rsidRPr="00A91171">
        <w:rPr>
          <w:rFonts w:eastAsia="Arial"/>
        </w:rPr>
        <w:t>Self-Match Prevention functionality prevents</w:t>
      </w:r>
      <w:r w:rsidRPr="00A91171">
        <w:t xml:space="preserve"> matching between counterparties affiliated with the same Participant or User.  As a reminder, a Participant is defined as a Clearing Futures Participant, Futures Participant, or Authorized Customer.  A User is defined as an Authorized Trader.  (See NFX Reference Guide, Section 2.3, Relational Model).  Futures Participants may elect that Orders </w:t>
      </w:r>
      <w:r w:rsidRPr="00A91171">
        <w:rPr>
          <w:u w:val="single"/>
        </w:rPr>
        <w:t>and/or Quotes</w:t>
      </w:r>
      <w:r w:rsidRPr="00A91171">
        <w:t xml:space="preserve"> not execute against Orders </w:t>
      </w:r>
      <w:r w:rsidRPr="00A91171">
        <w:rPr>
          <w:u w:val="single"/>
        </w:rPr>
        <w:t>and/or Quotes</w:t>
      </w:r>
      <w:r w:rsidRPr="00A91171">
        <w:t xml:space="preserve"> on the opposite side of the market by its Authorized Traders.  A Futures Participant’s Authorized Customer may elect that Orders </w:t>
      </w:r>
      <w:r w:rsidRPr="00A91171">
        <w:rPr>
          <w:u w:val="single"/>
        </w:rPr>
        <w:t>and/or Quotes</w:t>
      </w:r>
      <w:r w:rsidRPr="00A91171">
        <w:t xml:space="preserve"> not be executed against Orders </w:t>
      </w:r>
      <w:r w:rsidRPr="00A91171">
        <w:rPr>
          <w:u w:val="single"/>
        </w:rPr>
        <w:t>and/or Quotes</w:t>
      </w:r>
      <w:r w:rsidRPr="00A91171">
        <w:t xml:space="preserve"> entered on the opposite side of the market by its Authorized Traders.  Self-Match Prevention is optional</w:t>
      </w:r>
      <w:r w:rsidRPr="006321C1">
        <w:t xml:space="preserve"> for Futures Participants and Authorized Customers.  See NFX Rulebook, Chapter V, Section 10 for the rule related to Self-Match Prevention.</w:t>
      </w:r>
    </w:p>
    <w:p w:rsidR="00E15E1F" w:rsidRPr="006321C1" w:rsidRDefault="00E15E1F" w:rsidP="00F74452">
      <w:pPr>
        <w:tabs>
          <w:tab w:val="left" w:pos="0"/>
        </w:tabs>
      </w:pPr>
    </w:p>
    <w:p w:rsidR="00F74452" w:rsidRPr="006321C1" w:rsidRDefault="00F74452" w:rsidP="00834A38">
      <w:pPr>
        <w:pStyle w:val="Heading1"/>
        <w:keepLines w:val="0"/>
        <w:numPr>
          <w:ilvl w:val="0"/>
          <w:numId w:val="10"/>
        </w:numPr>
        <w:spacing w:after="120" w:line="320" w:lineRule="atLeast"/>
      </w:pPr>
      <w:r>
        <w:t xml:space="preserve"> </w:t>
      </w:r>
      <w:bookmarkStart w:id="2" w:name="_Toc464457811"/>
      <w:r w:rsidRPr="006321C1">
        <w:t>MQP Parameters</w:t>
      </w:r>
      <w:bookmarkEnd w:id="2"/>
    </w:p>
    <w:p w:rsidR="00F74452" w:rsidRPr="006321C1" w:rsidRDefault="00F74452" w:rsidP="00F74452">
      <w:r w:rsidRPr="006321C1">
        <w:t xml:space="preserve">The MQP parameters are configurable by the Participant and are set at the Participant level or Group level.  The Participant can update (change or disable) the MQP parameters intra-day.  Affiliated Participants of either a Futures Participant or an Authorized Customer constitute a (“Group”), if elected.  </w:t>
      </w:r>
    </w:p>
    <w:p w:rsidR="00F74452" w:rsidRPr="006321C1" w:rsidRDefault="00F74452" w:rsidP="00F74452">
      <w:r w:rsidRPr="006321C1">
        <w:t>Parameters available for a Participant to set by underlying are:</w:t>
      </w:r>
    </w:p>
    <w:p w:rsidR="00F74452" w:rsidRPr="00102C8D" w:rsidRDefault="00F74452" w:rsidP="00834A38">
      <w:pPr>
        <w:pStyle w:val="ListParagraph"/>
        <w:numPr>
          <w:ilvl w:val="0"/>
          <w:numId w:val="12"/>
        </w:numPr>
        <w:spacing w:after="0" w:line="260" w:lineRule="atLeast"/>
      </w:pPr>
      <w:r w:rsidRPr="00102C8D">
        <w:t>Exposure Limit Time Interval;</w:t>
      </w:r>
    </w:p>
    <w:p w:rsidR="00F74452" w:rsidRPr="00102C8D" w:rsidRDefault="00F74452" w:rsidP="00834A38">
      <w:pPr>
        <w:pStyle w:val="ListParagraph"/>
        <w:numPr>
          <w:ilvl w:val="0"/>
          <w:numId w:val="12"/>
        </w:numPr>
        <w:spacing w:after="0" w:line="260" w:lineRule="atLeast"/>
      </w:pPr>
      <w:r w:rsidRPr="00102C8D">
        <w:t>Quotation Frozen Time;</w:t>
      </w:r>
    </w:p>
    <w:p w:rsidR="00F74452" w:rsidRPr="00102C8D" w:rsidRDefault="00F74452" w:rsidP="00834A38">
      <w:pPr>
        <w:pStyle w:val="ListParagraph"/>
        <w:numPr>
          <w:ilvl w:val="0"/>
          <w:numId w:val="12"/>
        </w:numPr>
        <w:spacing w:after="0" w:line="260" w:lineRule="atLeast"/>
      </w:pPr>
      <w:r w:rsidRPr="00102C8D">
        <w:t>Delta Protection; and</w:t>
      </w:r>
    </w:p>
    <w:p w:rsidR="00F74452" w:rsidRPr="00102C8D" w:rsidRDefault="00F74452" w:rsidP="00834A38">
      <w:pPr>
        <w:pStyle w:val="ListParagraph"/>
        <w:numPr>
          <w:ilvl w:val="0"/>
          <w:numId w:val="12"/>
        </w:numPr>
        <w:spacing w:after="0" w:line="260" w:lineRule="atLeast"/>
        <w:rPr>
          <w:strike/>
        </w:rPr>
      </w:pPr>
      <w:r w:rsidRPr="00102C8D">
        <w:t>Quantity Protection.</w:t>
      </w:r>
    </w:p>
    <w:p w:rsidR="00F74452" w:rsidRPr="00102C8D" w:rsidRDefault="00F74452" w:rsidP="00F74452"/>
    <w:p w:rsidR="00F74452" w:rsidRPr="00F95234" w:rsidRDefault="00F74452" w:rsidP="00F74452">
      <w:r w:rsidRPr="00A91171">
        <w:lastRenderedPageBreak/>
        <w:t xml:space="preserve">Note that all MQP parameter calculations will be measured on Participant Quote executions, and once triggered, only Participant Quotes will be purged from the Trading System Single Order Book.  Orders </w:t>
      </w:r>
      <w:r w:rsidRPr="00A91171">
        <w:rPr>
          <w:u w:val="single"/>
        </w:rPr>
        <w:t>and Combination Orders</w:t>
      </w:r>
      <w:r w:rsidRPr="00A91171">
        <w:t xml:space="preserve"> entered into the Trading System are not included in any MQP parameter calculations.</w:t>
      </w:r>
    </w:p>
    <w:p w:rsidR="00F74452" w:rsidRPr="00102C8D" w:rsidRDefault="00F74452" w:rsidP="00834A38">
      <w:pPr>
        <w:pStyle w:val="Heading2"/>
        <w:keepLines w:val="0"/>
        <w:numPr>
          <w:ilvl w:val="1"/>
          <w:numId w:val="9"/>
        </w:numPr>
        <w:spacing w:line="320" w:lineRule="atLeast"/>
      </w:pPr>
      <w:bookmarkStart w:id="3" w:name="_Toc464457812"/>
      <w:r>
        <w:rPr>
          <w:rFonts w:asciiTheme="minorHAnsi" w:hAnsiTheme="minorHAnsi"/>
          <w:color w:val="4F81BD" w:themeColor="accent1"/>
        </w:rPr>
        <w:t xml:space="preserve">DEFINTION </w:t>
      </w:r>
      <w:r w:rsidR="00956781">
        <w:rPr>
          <w:rFonts w:asciiTheme="minorHAnsi" w:hAnsiTheme="minorHAnsi"/>
          <w:color w:val="4F81BD" w:themeColor="accent1"/>
        </w:rPr>
        <w:t>OF UNDERLYING ASSET CLASS</w:t>
      </w:r>
      <w:bookmarkEnd w:id="3"/>
    </w:p>
    <w:p w:rsidR="00F74452" w:rsidRPr="00F95234" w:rsidRDefault="00F74452" w:rsidP="00F74452">
      <w:r w:rsidRPr="00F95234">
        <w:t>The term “Underlying Asset Class” is an important concept in the configuration and implementation of NFX MQP.  All parameters are monitored and calculated based on an Underlying Asset Class.</w:t>
      </w:r>
    </w:p>
    <w:p w:rsidR="00F74452" w:rsidRPr="00F95234" w:rsidRDefault="00F74452" w:rsidP="00F74452">
      <w:r w:rsidRPr="00F95234">
        <w:t>Underlying Asset Class is defined as the asset class upon which all of the related Futures and Options Contracts and Options on Futures Contracts are based.  Per the diagram below, the NFX WTI Crude Underlying Asset Class includes WTI Crude Futures Contracts and Options on WTI Crude Futures Contracts.</w:t>
      </w:r>
    </w:p>
    <w:p w:rsidR="00F74452" w:rsidRPr="00F95234" w:rsidRDefault="00F74452" w:rsidP="00F74452">
      <w:r w:rsidRPr="00F95234">
        <w:t>If a MQP parameter threshold is triggered for an Underlying Asset Class, the Trading System would purge all Quotes for the WTI Crude Underlying Asset Class, which includes Quotes in WTI Crude Futures and Options.</w:t>
      </w:r>
    </w:p>
    <w:p w:rsidR="00F74452" w:rsidRPr="00102C8D" w:rsidRDefault="00F74452" w:rsidP="00F74452">
      <w:r w:rsidRPr="00102C8D">
        <w:t xml:space="preserve">  </w:t>
      </w:r>
      <w:r w:rsidRPr="00102C8D">
        <w:rPr>
          <w:noProof/>
        </w:rPr>
        <w:drawing>
          <wp:inline distT="0" distB="0" distL="0" distR="0" wp14:anchorId="319CA5EC" wp14:editId="61961E15">
            <wp:extent cx="1905000" cy="3343275"/>
            <wp:effectExtent l="0" t="0" r="190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Pr="00102C8D">
        <w:rPr>
          <w:noProof/>
        </w:rPr>
        <w:drawing>
          <wp:inline distT="0" distB="0" distL="0" distR="0" wp14:anchorId="570CF32E" wp14:editId="26DA069A">
            <wp:extent cx="1905000" cy="3343275"/>
            <wp:effectExtent l="3810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Pr="00102C8D">
        <w:rPr>
          <w:noProof/>
        </w:rPr>
        <w:drawing>
          <wp:inline distT="0" distB="0" distL="0" distR="0" wp14:anchorId="153C0216" wp14:editId="3A28CC0D">
            <wp:extent cx="1905000" cy="3343275"/>
            <wp:effectExtent l="38100" t="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74452" w:rsidRPr="00102C8D" w:rsidRDefault="00F74452" w:rsidP="00F74452">
      <w:r w:rsidRPr="00102C8D">
        <w:t xml:space="preserve">The NFX Heating Oil Underlying Asset Class includes only Heating Oil Futures Contracts since no Options are listed.    </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4" w:name="_Toc464457813"/>
      <w:r w:rsidRPr="00102C8D">
        <w:rPr>
          <w:rFonts w:asciiTheme="minorHAnsi" w:hAnsiTheme="minorHAnsi"/>
          <w:color w:val="4F81BD" w:themeColor="accent1"/>
        </w:rPr>
        <w:t>E</w:t>
      </w:r>
      <w:r w:rsidR="00956781">
        <w:rPr>
          <w:rFonts w:asciiTheme="minorHAnsi" w:hAnsiTheme="minorHAnsi"/>
          <w:color w:val="4F81BD" w:themeColor="accent1"/>
        </w:rPr>
        <w:t>XPOSURE LIMIT TIME INTERVAL</w:t>
      </w:r>
      <w:bookmarkEnd w:id="4"/>
    </w:p>
    <w:p w:rsidR="00F74452" w:rsidRPr="00F95234" w:rsidRDefault="00F74452" w:rsidP="00F74452">
      <w:r w:rsidRPr="00F95234">
        <w:t xml:space="preserve">The Exposure Limit Timer Interval is </w:t>
      </w:r>
      <w:r w:rsidRPr="00F95234">
        <w:rPr>
          <w:bCs/>
        </w:rPr>
        <w:t>the number of contracts executed during a period of time specified in seconds per Contract by the Participant.</w:t>
      </w:r>
    </w:p>
    <w:p w:rsidR="00F74452" w:rsidRPr="00F95234" w:rsidRDefault="00F74452" w:rsidP="00F74452"/>
    <w:p w:rsidR="00F74452" w:rsidRPr="00F95234" w:rsidRDefault="00F74452" w:rsidP="00F74452">
      <w:r w:rsidRPr="00F95234">
        <w:rPr>
          <w:bCs/>
        </w:rPr>
        <w:lastRenderedPageBreak/>
        <w:t>Once the Participant commences submitting Quotes in a specified Contract, the Trading System will count the Exposure Limit Time Interval.  After the expiration of an Exposure Time Limit, a new Exposure Limit Time Interval commences with an execution in a Contract.</w:t>
      </w:r>
    </w:p>
    <w:p w:rsidR="00F74452" w:rsidRPr="00F95234" w:rsidRDefault="00F74452" w:rsidP="00F74452">
      <w:r w:rsidRPr="00F95234">
        <w:t>The rolling time interval is used to determine if the Quantity or Delta Protection thresholds have been breached.  Note that the Exposure Limit Time Interval can occasionally extend to 110% of the parameter due to Trading System constraints following excessive message activity.</w:t>
      </w:r>
    </w:p>
    <w:p w:rsidR="00F74452" w:rsidRPr="00F95234" w:rsidRDefault="00F74452" w:rsidP="00F74452">
      <w:pPr>
        <w:rPr>
          <w:b/>
        </w:rPr>
      </w:pPr>
      <w:r w:rsidRPr="00F95234">
        <w:t>It is especially important to note that if the rolling time interval is set to 0 (zero), the MQP functionality is turned off, disabling the MQP.</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5" w:name="_Toc464457814"/>
      <w:r w:rsidRPr="00102C8D">
        <w:rPr>
          <w:rFonts w:asciiTheme="minorHAnsi" w:hAnsiTheme="minorHAnsi"/>
          <w:color w:val="4F81BD" w:themeColor="accent1"/>
        </w:rPr>
        <w:t>Q</w:t>
      </w:r>
      <w:r w:rsidR="00956781">
        <w:rPr>
          <w:rFonts w:asciiTheme="minorHAnsi" w:hAnsiTheme="minorHAnsi"/>
          <w:color w:val="4F81BD" w:themeColor="accent1"/>
        </w:rPr>
        <w:t>UANTITY PROTECTION</w:t>
      </w:r>
      <w:bookmarkEnd w:id="5"/>
    </w:p>
    <w:p w:rsidR="00F74452" w:rsidRPr="00F95234" w:rsidRDefault="00F74452" w:rsidP="00F74452">
      <w:r w:rsidRPr="00F95234">
        <w:t>The Quantity Protection threshold value is a value that if equaled or exceeded for a specific Underlying Asset Class will trigger the Trading System to purge all Quotes or Group Quotes in the respective Futures and Options Contracts.  The Quantity Protection threshold value is as defined as the maximum volume threshold of executed contracts that the Participant wants to trade within the given time interval (Exposure Limit Time Interval).</w:t>
      </w:r>
    </w:p>
    <w:p w:rsidR="00F74452" w:rsidRPr="00F95234" w:rsidRDefault="00F74452" w:rsidP="00F74452">
      <w:r w:rsidRPr="00F95234">
        <w:t>If the Quantity Protection threshold is set to 0 (zero), the Quantity Protection functionality would be effectively disabled.</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6" w:name="_Toc464457815"/>
      <w:r w:rsidRPr="00102C8D">
        <w:rPr>
          <w:rFonts w:asciiTheme="minorHAnsi" w:hAnsiTheme="minorHAnsi"/>
          <w:color w:val="4F81BD" w:themeColor="accent1"/>
        </w:rPr>
        <w:t>D</w:t>
      </w:r>
      <w:r w:rsidR="00956781">
        <w:rPr>
          <w:rFonts w:asciiTheme="minorHAnsi" w:hAnsiTheme="minorHAnsi"/>
          <w:color w:val="4F81BD" w:themeColor="accent1"/>
        </w:rPr>
        <w:t>ELTA PROTECTION</w:t>
      </w:r>
      <w:bookmarkEnd w:id="6"/>
    </w:p>
    <w:p w:rsidR="00F74452" w:rsidRPr="00102C8D" w:rsidRDefault="00F74452" w:rsidP="00F74452">
      <w:r w:rsidRPr="00102C8D">
        <w:t>The Delta Protection threshold value is a net delta value which if equaled or exceeded for an Options Contract related to the same Underlying Asset Class, will trigger the Trading System to purge all Quotes or Group Quotes in the Underlying Asset Class (including Futures).</w:t>
      </w:r>
      <w:r>
        <w:t xml:space="preserve">  </w:t>
      </w:r>
      <w:r w:rsidRPr="00102C8D">
        <w:t xml:space="preserve">The Trading System calculates the absolute value of (long call executions + short put executions) – (short call executions – long put executions), which if equals or exceeds the net delta value during the Exposure Limit Time Interval, the Trading System will remove all Group Quotes in a Contract.  </w:t>
      </w:r>
    </w:p>
    <w:p w:rsidR="00F74452" w:rsidRPr="00F95234" w:rsidRDefault="00F74452" w:rsidP="00F74452">
      <w:pPr>
        <w:spacing w:before="150" w:after="15" w:line="240" w:lineRule="atLeast"/>
        <w:outlineLvl w:val="3"/>
      </w:pPr>
      <w:r w:rsidRPr="00F95234">
        <w:rPr>
          <w:bCs/>
        </w:rPr>
        <w:t xml:space="preserve">Participants may elect to also include Futures in that calculation per Contract.  In this case, the Trading System calculates the absolute value of (long futures executions + long call executions + short put executions) – (short call executions – long put executions – short futures executions), which if equals or exceeds the net delta value during the Exposure Limit Time Interval, the Trading System will remove all Group Quotes in a Contract.  </w:t>
      </w:r>
    </w:p>
    <w:p w:rsidR="00E15E1F" w:rsidRDefault="00E15E1F" w:rsidP="00F74452"/>
    <w:p w:rsidR="00F74452" w:rsidRPr="00102C8D" w:rsidRDefault="00F74452" w:rsidP="00F74452">
      <w:r w:rsidRPr="00102C8D">
        <w:t xml:space="preserve">The Delta Protection threshold value will be monitored for each Underlying Asset Class individually.  There are two different methods to calculate the Delta Protection threshold value depending if Futures Contracts are included in the calculation.  The methods are defined in Sections 2.4.1 and 2.4.2 herein. </w:t>
      </w:r>
    </w:p>
    <w:p w:rsidR="00F74452" w:rsidRPr="00102C8D" w:rsidRDefault="00F74452" w:rsidP="00F74452">
      <w:r w:rsidRPr="00102C8D">
        <w:t>If the Delta Protection is set to 0 (zero), the Delta Protection functionality would effectively disable M</w:t>
      </w:r>
      <w:r w:rsidRPr="00F95234">
        <w:t>Q</w:t>
      </w:r>
      <w:r w:rsidRPr="00102C8D">
        <w:t>P.</w:t>
      </w:r>
    </w:p>
    <w:p w:rsidR="00F74452" w:rsidRPr="00102C8D" w:rsidRDefault="00F74452" w:rsidP="00F74452">
      <w:pPr>
        <w:pStyle w:val="Heading3"/>
      </w:pPr>
      <w:bookmarkStart w:id="7" w:name="_Toc464457816"/>
      <w:r w:rsidRPr="00102C8D">
        <w:t>2.4.1</w:t>
      </w:r>
      <w:r w:rsidRPr="00102C8D">
        <w:tab/>
        <w:t>Delta Protection Including Futures</w:t>
      </w:r>
      <w:bookmarkEnd w:id="7"/>
    </w:p>
    <w:p w:rsidR="00F74452" w:rsidRPr="00102C8D" w:rsidRDefault="00F74452" w:rsidP="00F74452">
      <w:r w:rsidRPr="00102C8D">
        <w:t>The Delta Protection threshold value calculation method including Futures Contracts is:</w:t>
      </w:r>
    </w:p>
    <w:p w:rsidR="00F74452" w:rsidRPr="00102C8D" w:rsidRDefault="00F74452" w:rsidP="00F74452">
      <w:r w:rsidRPr="00102C8D">
        <w:t xml:space="preserve"> </w:t>
      </w:r>
    </w:p>
    <w:p w:rsidR="00F74452" w:rsidRPr="00102C8D" w:rsidRDefault="00F74452" w:rsidP="00F74452">
      <w:pPr>
        <w:ind w:left="720" w:right="720"/>
      </w:pPr>
      <w:r w:rsidRPr="00102C8D">
        <w:lastRenderedPageBreak/>
        <w:t>the Absolute value of the sum of [(bought Future Contracts + bought Call Options on Futures Contracts + sold Put Options on Futures  Contracts) – (sold Future Contracts + sold Call Options on Futures contracts + bought Put Options on Futures Contracts)].</w:t>
      </w:r>
    </w:p>
    <w:p w:rsidR="00F74452" w:rsidRPr="00102C8D" w:rsidRDefault="00F74452" w:rsidP="00F74452">
      <w:pPr>
        <w:pStyle w:val="Heading3"/>
      </w:pPr>
      <w:bookmarkStart w:id="8" w:name="_Toc464457817"/>
      <w:r w:rsidRPr="00102C8D">
        <w:t>2.4.2</w:t>
      </w:r>
      <w:r w:rsidRPr="00102C8D">
        <w:tab/>
        <w:t xml:space="preserve"> Delta Protection Not Including Futures</w:t>
      </w:r>
      <w:bookmarkEnd w:id="8"/>
    </w:p>
    <w:p w:rsidR="00F74452" w:rsidRPr="00102C8D" w:rsidRDefault="00F74452" w:rsidP="00F74452">
      <w:r w:rsidRPr="00102C8D">
        <w:t>The Delta Protection threshold value calculation method, not including Futures Contracts, is:</w:t>
      </w:r>
    </w:p>
    <w:p w:rsidR="00F74452" w:rsidRPr="00102C8D" w:rsidRDefault="00F74452" w:rsidP="00F74452">
      <w:pPr>
        <w:ind w:left="720" w:right="720"/>
      </w:pPr>
      <w:r w:rsidRPr="00102C8D">
        <w:t>the Absolute value of the sum of [(bought Call Options on Futures Contracts + sold Put Options on Futures Contracts) – (sold Call Options on Futures Contracts + bought Put Options on Futures Contracts)].</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9" w:name="_Toc464457818"/>
      <w:r w:rsidRPr="00102C8D">
        <w:rPr>
          <w:rFonts w:asciiTheme="minorHAnsi" w:hAnsiTheme="minorHAnsi"/>
          <w:color w:val="4F81BD" w:themeColor="accent1"/>
        </w:rPr>
        <w:t>Q</w:t>
      </w:r>
      <w:r w:rsidR="00956781">
        <w:rPr>
          <w:rFonts w:asciiTheme="minorHAnsi" w:hAnsiTheme="minorHAnsi"/>
          <w:color w:val="4F81BD" w:themeColor="accent1"/>
        </w:rPr>
        <w:t>UOTATION FROZEN TIME INTERVAL</w:t>
      </w:r>
      <w:bookmarkEnd w:id="9"/>
    </w:p>
    <w:p w:rsidR="00F74452" w:rsidRPr="00F95234" w:rsidRDefault="00F74452" w:rsidP="00F74452">
      <w:r w:rsidRPr="00F95234">
        <w:t>When MQP is triggered due to a Delta and/or Quantity Protection threshold breach, the Participant will be prevented from entering new Quotes for a period of time defined by this parameter.  The Quotation Frozen Time interval parameter shall be specified in number of seconds.  The “frozen” time period exists to prevent Participant from entering additional Quotes before the threshold counters can be reset, which would lead to additional rejections.</w:t>
      </w:r>
    </w:p>
    <w:p w:rsidR="00F74452" w:rsidRPr="00F95234" w:rsidRDefault="00F74452" w:rsidP="00F74452">
      <w:r w:rsidRPr="00F95234">
        <w:t>Once the Quotation Frozen Time interval has expired, the thresholds counter(s) for the specified Contract underlying(s) will be reset and the Participant can enter additional Quotes into the Trading System.</w:t>
      </w:r>
    </w:p>
    <w:p w:rsidR="00F74452" w:rsidRPr="00F95234" w:rsidRDefault="00F74452" w:rsidP="00F74452">
      <w:r w:rsidRPr="00F95234">
        <w:t>If the Quotation Frozen Time interval is set to 0 (zero), the quotes are considered frozen and the quotation ability can only be activated by updating the parameter for the remainder of the Open Session unless the setting is modified; notwithstanding a reopening due to a Trading Halt.</w:t>
      </w:r>
    </w:p>
    <w:p w:rsidR="00F74452" w:rsidRPr="00102C8D" w:rsidRDefault="00F74452" w:rsidP="00834A38">
      <w:pPr>
        <w:pStyle w:val="Heading1"/>
        <w:keepLines w:val="0"/>
        <w:numPr>
          <w:ilvl w:val="0"/>
          <w:numId w:val="9"/>
        </w:numPr>
        <w:spacing w:after="120" w:line="320" w:lineRule="atLeast"/>
      </w:pPr>
      <w:r w:rsidRPr="00102C8D">
        <w:t xml:space="preserve"> </w:t>
      </w:r>
      <w:bookmarkStart w:id="10" w:name="_Toc464457819"/>
      <w:r w:rsidRPr="00102C8D">
        <w:t>T</w:t>
      </w:r>
      <w:r w:rsidR="00956781">
        <w:t>RIGGERING CALCULATIONS AND CONSEQUENCES</w:t>
      </w:r>
      <w:bookmarkEnd w:id="10"/>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11" w:name="_Toc464457820"/>
      <w:r w:rsidRPr="00102C8D">
        <w:rPr>
          <w:rFonts w:asciiTheme="minorHAnsi" w:hAnsiTheme="minorHAnsi"/>
          <w:color w:val="4F81BD" w:themeColor="accent1"/>
        </w:rPr>
        <w:t>T</w:t>
      </w:r>
      <w:r w:rsidR="00743B78">
        <w:rPr>
          <w:rFonts w:asciiTheme="minorHAnsi" w:hAnsiTheme="minorHAnsi"/>
          <w:color w:val="4F81BD" w:themeColor="accent1"/>
        </w:rPr>
        <w:t>RADES INCLUDED IN THE CALCULATION</w:t>
      </w:r>
      <w:bookmarkEnd w:id="11"/>
    </w:p>
    <w:p w:rsidR="00F74452" w:rsidRPr="00F95234" w:rsidRDefault="00F74452" w:rsidP="00F74452">
      <w:r w:rsidRPr="00F95234">
        <w:t>Only single-leg trades that are matched in the Order Book via Quotes entered by the Participant are counted for purposes of MQP.</w:t>
      </w:r>
    </w:p>
    <w:p w:rsidR="00F74452" w:rsidRPr="00F95234" w:rsidRDefault="00F74452" w:rsidP="00F74452">
      <w:r w:rsidRPr="00F95234">
        <w:t>Additionally, Off-Order Book trade reports (Block Trades and Exchange of Futures for Related (“EFRPs”) Products) entered by the Participant are counted for purposes of MQP.</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12" w:name="_Toc464457821"/>
      <w:r w:rsidRPr="00102C8D">
        <w:rPr>
          <w:rFonts w:asciiTheme="minorHAnsi" w:hAnsiTheme="minorHAnsi"/>
          <w:color w:val="4F81BD" w:themeColor="accent1"/>
        </w:rPr>
        <w:t>T</w:t>
      </w:r>
      <w:r w:rsidR="00743B78">
        <w:rPr>
          <w:rFonts w:asciiTheme="minorHAnsi" w:hAnsiTheme="minorHAnsi"/>
          <w:color w:val="4F81BD" w:themeColor="accent1"/>
        </w:rPr>
        <w:t>HRESHOLD BREACH ACTION</w:t>
      </w:r>
      <w:bookmarkEnd w:id="12"/>
    </w:p>
    <w:p w:rsidR="00F74452" w:rsidRPr="00F95234" w:rsidRDefault="00F74452" w:rsidP="00F74452">
      <w:r w:rsidRPr="00F95234">
        <w:t xml:space="preserve">When a Quantity or Delta Protection threshold is reached and/or breached, all Quotes for the Underlying Asset Class in which the threshold violation took place will automatically be purged by the Trading System.  Note that Quotes in Futures Contracts will be purged regardless of whether the Delta Protection threshold calculation is set to include or exclude Futures Contracts.  As an example, if a Participant’s Delta Protection threshold calculation method excludes Futures Contracts and the Participant executes an amount of WTI Crude Options on Futures Contract trades via Quotes in one direction to reach or breach the Participant’s threshold, MQP will purge all of the Participant’s existing </w:t>
      </w:r>
      <w:r w:rsidRPr="00F95234">
        <w:lastRenderedPageBreak/>
        <w:t>Quotes in WTI Crude Futures Contracts and WTI Crude Options on Futures Contracts (the WTI Crude Underlying Asset Class) regardless of direction (either long or short) of the Quotes.</w:t>
      </w:r>
    </w:p>
    <w:p w:rsidR="00F74452" w:rsidRPr="00F95234" w:rsidRDefault="00F74452" w:rsidP="00F74452">
      <w:r w:rsidRPr="00F95234">
        <w:t>Single Orders and Combination Orders submitted by the Participant will not be purged.  The Participant will be informed via a Trading System broadcast message of the purge.  There will be one Trading System broadcast message sent for each purged Quote.  The Participant will also be informed when limits have been reached or breached via a broadcast message.</w:t>
      </w:r>
    </w:p>
    <w:p w:rsidR="00F74452" w:rsidRPr="00F95234" w:rsidRDefault="00F74452" w:rsidP="00F74452">
      <w:r w:rsidRPr="00F95234">
        <w:t>In the case where the Participant has many Quotes in the Order Book in the same Instrument series, all Quotes will be purged.</w:t>
      </w:r>
    </w:p>
    <w:p w:rsidR="00F74452" w:rsidRPr="00F95234" w:rsidRDefault="00F74452" w:rsidP="00834A38">
      <w:pPr>
        <w:pStyle w:val="Heading2"/>
        <w:keepLines w:val="0"/>
        <w:numPr>
          <w:ilvl w:val="1"/>
          <w:numId w:val="9"/>
        </w:numPr>
        <w:spacing w:line="320" w:lineRule="atLeast"/>
        <w:rPr>
          <w:rFonts w:asciiTheme="minorHAnsi" w:hAnsiTheme="minorHAnsi"/>
          <w:color w:val="4F81BD" w:themeColor="accent1"/>
        </w:rPr>
      </w:pPr>
      <w:bookmarkStart w:id="13" w:name="_Toc464457822"/>
      <w:r w:rsidRPr="00F95234">
        <w:rPr>
          <w:rFonts w:asciiTheme="minorHAnsi" w:hAnsiTheme="minorHAnsi"/>
          <w:color w:val="4F81BD" w:themeColor="accent1"/>
        </w:rPr>
        <w:t>R</w:t>
      </w:r>
      <w:r w:rsidR="00743B78">
        <w:rPr>
          <w:rFonts w:asciiTheme="minorHAnsi" w:hAnsiTheme="minorHAnsi"/>
          <w:color w:val="4F81BD" w:themeColor="accent1"/>
        </w:rPr>
        <w:t>ESET OF THE PARTICIPANT PROTECTION PARAMETERS</w:t>
      </w:r>
      <w:bookmarkEnd w:id="13"/>
    </w:p>
    <w:p w:rsidR="00F74452" w:rsidRPr="00F95234" w:rsidRDefault="00F74452" w:rsidP="00F74452">
      <w:r w:rsidRPr="00F95234">
        <w:t>After MQP has taken place, due to a threshold violation, and the respective Quotes are purged, the counted quantities will automatically reset to zero.  This prevents the threshold breach from being triggered immediately after the initial trigger.  The Participant will be able to submit additional Quotes in the underlying after the frozen time interval has expired.</w:t>
      </w:r>
    </w:p>
    <w:p w:rsidR="00F74452" w:rsidRPr="00F95234" w:rsidRDefault="00F74452" w:rsidP="00834A38">
      <w:pPr>
        <w:pStyle w:val="Heading2"/>
        <w:keepLines w:val="0"/>
        <w:numPr>
          <w:ilvl w:val="1"/>
          <w:numId w:val="9"/>
        </w:numPr>
        <w:spacing w:line="320" w:lineRule="atLeast"/>
        <w:rPr>
          <w:rFonts w:asciiTheme="minorHAnsi" w:hAnsiTheme="minorHAnsi"/>
          <w:color w:val="4F81BD" w:themeColor="accent1"/>
        </w:rPr>
      </w:pPr>
      <w:bookmarkStart w:id="14" w:name="_Toc464457823"/>
      <w:r w:rsidRPr="00F95234">
        <w:rPr>
          <w:rFonts w:asciiTheme="minorHAnsi" w:hAnsiTheme="minorHAnsi"/>
          <w:color w:val="4F81BD" w:themeColor="accent1"/>
        </w:rPr>
        <w:t>Q</w:t>
      </w:r>
      <w:r w:rsidR="00743B78">
        <w:rPr>
          <w:rFonts w:asciiTheme="minorHAnsi" w:hAnsiTheme="minorHAnsi"/>
          <w:color w:val="4F81BD" w:themeColor="accent1"/>
        </w:rPr>
        <w:t>UOTATION AFTER A PARTICIPANT PROTECTION EVENT</w:t>
      </w:r>
      <w:bookmarkEnd w:id="14"/>
    </w:p>
    <w:p w:rsidR="00F74452" w:rsidRPr="00F95234" w:rsidRDefault="00F74452" w:rsidP="00F74452">
      <w:r w:rsidRPr="00F95234">
        <w:t xml:space="preserve">If additional Quotes have been submitted by a Participant immediately after a MQP threshold breach has occurred, causing a purge of all Quotes in the underlying, but before the notification broadcast message is received by the Participant, additional Quotes will be rejected, and the Participant will receive an additional notification message with the reason code “Participant Protection.” </w:t>
      </w:r>
      <w:r w:rsidRPr="00F95234" w:rsidDel="00E400F6">
        <w:t xml:space="preserve"> </w:t>
      </w:r>
      <w:r w:rsidRPr="00F95234">
        <w:t>After the specified quotation frozen time, the Participant can start submitting Quotes into the Trading System.  If the Participant wants to submit new Quotes earlier than this timeframe, the Participant has the ability to override the Quotation Frozen Time by updating the parameters.  When the parameters are updated, the calculated Quantity Protection and Delta Protection values will reset for that particular Underlying Asset Class; regardless of whether parameters have been changed.</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15" w:name="_Toc464457824"/>
      <w:r w:rsidRPr="00102C8D">
        <w:rPr>
          <w:rFonts w:asciiTheme="minorHAnsi" w:hAnsiTheme="minorHAnsi"/>
          <w:color w:val="4F81BD" w:themeColor="accent1"/>
        </w:rPr>
        <w:t>M</w:t>
      </w:r>
      <w:r w:rsidR="00E7438C">
        <w:rPr>
          <w:rFonts w:asciiTheme="minorHAnsi" w:hAnsiTheme="minorHAnsi"/>
          <w:color w:val="4F81BD" w:themeColor="accent1"/>
        </w:rPr>
        <w:t>Q</w:t>
      </w:r>
      <w:r w:rsidRPr="00102C8D">
        <w:rPr>
          <w:rFonts w:asciiTheme="minorHAnsi" w:hAnsiTheme="minorHAnsi"/>
          <w:color w:val="4F81BD" w:themeColor="accent1"/>
        </w:rPr>
        <w:t>P</w:t>
      </w:r>
      <w:r w:rsidR="00743B78">
        <w:rPr>
          <w:rFonts w:asciiTheme="minorHAnsi" w:hAnsiTheme="minorHAnsi"/>
          <w:color w:val="4F81BD" w:themeColor="accent1"/>
        </w:rPr>
        <w:t xml:space="preserve"> WITH MASS QUOTTIONS</w:t>
      </w:r>
      <w:bookmarkEnd w:id="15"/>
    </w:p>
    <w:p w:rsidR="00F74452" w:rsidRPr="00F95234" w:rsidRDefault="00F74452" w:rsidP="00F74452">
      <w:r w:rsidRPr="00F95234">
        <w:t>If a mass Quote is sent to the Trading System which results in trade executions, the mass Quote transaction shall be processed as multiple, individual transactions, instead of one composite transaction.  If these multiple individual transactions were to cause a threshold breach, thus triggering MQP, the remaining unexecuted Quotes in the transaction in the same Underlying Asset Class will be purged with reason code “Participant Protection.”</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16" w:name="_Toc464457825"/>
      <w:r w:rsidRPr="00102C8D">
        <w:rPr>
          <w:rFonts w:asciiTheme="minorHAnsi" w:hAnsiTheme="minorHAnsi"/>
          <w:color w:val="4F81BD" w:themeColor="accent1"/>
        </w:rPr>
        <w:t>P</w:t>
      </w:r>
      <w:r w:rsidR="00743B78">
        <w:rPr>
          <w:rFonts w:asciiTheme="minorHAnsi" w:hAnsiTheme="minorHAnsi"/>
          <w:color w:val="4F81BD" w:themeColor="accent1"/>
        </w:rPr>
        <w:t>ASSIVE AND AGGRESSIVE QUOTES</w:t>
      </w:r>
      <w:bookmarkEnd w:id="16"/>
    </w:p>
    <w:p w:rsidR="00F74452" w:rsidRPr="00102C8D" w:rsidRDefault="00F74452" w:rsidP="00F74452">
      <w:pPr>
        <w:pStyle w:val="Heading3"/>
      </w:pPr>
      <w:bookmarkStart w:id="17" w:name="_Toc464457826"/>
      <w:r w:rsidRPr="00102C8D">
        <w:t xml:space="preserve">3.6.1 </w:t>
      </w:r>
      <w:r w:rsidRPr="00102C8D">
        <w:tab/>
        <w:t>Aggressive Quotes</w:t>
      </w:r>
      <w:bookmarkEnd w:id="17"/>
    </w:p>
    <w:p w:rsidR="00F74452" w:rsidRPr="00F95234" w:rsidRDefault="00F74452" w:rsidP="00F74452">
      <w:r w:rsidRPr="00F95234">
        <w:t>If an aggressive Quote is entered by the Participant that matches with Orders in the Order Book, the MQP is checked for each individual Quote.  See example 1 in Section 5.1 herein.</w:t>
      </w:r>
    </w:p>
    <w:p w:rsidR="00F74452" w:rsidRPr="00102C8D" w:rsidRDefault="00F74452" w:rsidP="00F74452">
      <w:pPr>
        <w:pStyle w:val="Heading3"/>
      </w:pPr>
      <w:bookmarkStart w:id="18" w:name="_Toc464457827"/>
      <w:r w:rsidRPr="00102C8D">
        <w:lastRenderedPageBreak/>
        <w:t>3.6.2</w:t>
      </w:r>
      <w:r w:rsidRPr="00102C8D">
        <w:tab/>
        <w:t>Passive Quotes</w:t>
      </w:r>
      <w:bookmarkEnd w:id="18"/>
    </w:p>
    <w:p w:rsidR="00F74452" w:rsidRPr="00F95234" w:rsidRDefault="00F74452" w:rsidP="00F74452">
      <w:r w:rsidRPr="00F95234">
        <w:t>If an aggressive single Order is entered into the Trading System that matches with passive Quotes from the Participant in the Order Book, MQP shall be checked when the aggressive Order has been fully matched.  See example 2 in Section 5.2 herein.</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19" w:name="_Toc464457828"/>
      <w:r w:rsidRPr="00102C8D">
        <w:rPr>
          <w:rFonts w:asciiTheme="minorHAnsi" w:hAnsiTheme="minorHAnsi"/>
          <w:color w:val="4F81BD" w:themeColor="accent1"/>
        </w:rPr>
        <w:t>I</w:t>
      </w:r>
      <w:r w:rsidR="00743B78">
        <w:rPr>
          <w:rFonts w:asciiTheme="minorHAnsi" w:hAnsiTheme="minorHAnsi"/>
          <w:color w:val="4F81BD" w:themeColor="accent1"/>
        </w:rPr>
        <w:t>N-HOUSE TRADING</w:t>
      </w:r>
      <w:bookmarkEnd w:id="19"/>
    </w:p>
    <w:p w:rsidR="00F74452" w:rsidRPr="00102C8D" w:rsidRDefault="00F74452" w:rsidP="00F74452">
      <w:pPr>
        <w:pStyle w:val="Heading3"/>
      </w:pPr>
      <w:bookmarkStart w:id="20" w:name="_Toc414438837"/>
      <w:bookmarkStart w:id="21" w:name="_Toc446935841"/>
      <w:bookmarkStart w:id="22" w:name="_Toc447456716"/>
      <w:bookmarkStart w:id="23" w:name="_Toc459205905"/>
      <w:bookmarkStart w:id="24" w:name="_Toc459295887"/>
      <w:bookmarkStart w:id="25" w:name="_Toc462332254"/>
      <w:bookmarkStart w:id="26" w:name="_Toc464209793"/>
      <w:bookmarkStart w:id="27" w:name="_Toc464457829"/>
      <w:r w:rsidRPr="00102C8D">
        <w:t>A Participant or User will not be able to match its Orders against its own Orders or Orders submitted by another Participant or User affiliated with a common Futures Participant or Authorized Trader.</w:t>
      </w:r>
      <w:bookmarkEnd w:id="20"/>
      <w:bookmarkEnd w:id="21"/>
      <w:bookmarkEnd w:id="22"/>
      <w:bookmarkEnd w:id="23"/>
      <w:bookmarkEnd w:id="24"/>
      <w:bookmarkEnd w:id="25"/>
      <w:bookmarkEnd w:id="26"/>
      <w:bookmarkEnd w:id="27"/>
      <w:r w:rsidRPr="00102C8D">
        <w:t xml:space="preserve">  </w:t>
      </w:r>
    </w:p>
    <w:p w:rsidR="00F74452" w:rsidRPr="00102C8D" w:rsidRDefault="00F74452" w:rsidP="00F74452">
      <w:pPr>
        <w:pStyle w:val="Heading3"/>
      </w:pPr>
      <w:bookmarkStart w:id="28" w:name="_Toc464457830"/>
      <w:r w:rsidRPr="00102C8D">
        <w:t>3.7.1</w:t>
      </w:r>
      <w:r w:rsidRPr="00102C8D">
        <w:tab/>
        <w:t>Aggressive Quote matched with a Combination Order</w:t>
      </w:r>
      <w:bookmarkEnd w:id="28"/>
    </w:p>
    <w:p w:rsidR="00F74452" w:rsidRPr="00F91EEB" w:rsidRDefault="00F74452" w:rsidP="00F74452">
      <w:r w:rsidRPr="00F91EEB">
        <w:t>If an aggressive Quote by a Participant is matched with an Implied Order generated from a Combination Order, the MQP will first check each individual Quote item, and then consider other legs of the Combination Order Strategy, which shall be traded before the MQP is triggered, even if a threshold is reached after the first leg is traded.  See example 3 in Section 5.3 herein.</w:t>
      </w:r>
    </w:p>
    <w:p w:rsidR="00F74452" w:rsidRPr="00102C8D" w:rsidRDefault="00F74452" w:rsidP="00F74452">
      <w:pPr>
        <w:pStyle w:val="Heading3"/>
      </w:pPr>
      <w:bookmarkStart w:id="29" w:name="_Toc464457831"/>
      <w:r w:rsidRPr="00102C8D">
        <w:t>3.7.2</w:t>
      </w:r>
      <w:r w:rsidRPr="00102C8D">
        <w:tab/>
        <w:t>Passive Quote matched with a Combination Order</w:t>
      </w:r>
      <w:bookmarkEnd w:id="29"/>
    </w:p>
    <w:p w:rsidR="00F74452" w:rsidRPr="00F91EEB" w:rsidRDefault="00F74452" w:rsidP="00F74452">
      <w:r w:rsidRPr="00F91EEB">
        <w:t>If a passive Quote by the Participant is matched with an Implied Order generated from a Combination Order the MQP will first check each individual Quote item, and then consider the other legs of the Combination Order Strategy, which shall be traded before the MQP is triggered, even if a threshold is reached after the first leg is traded.</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30" w:name="_Toc464457832"/>
      <w:r w:rsidRPr="00102C8D">
        <w:rPr>
          <w:rFonts w:asciiTheme="minorHAnsi" w:hAnsiTheme="minorHAnsi"/>
          <w:color w:val="4F81BD" w:themeColor="accent1"/>
        </w:rPr>
        <w:t>S</w:t>
      </w:r>
      <w:r w:rsidR="00743B78">
        <w:rPr>
          <w:rFonts w:asciiTheme="minorHAnsi" w:hAnsiTheme="minorHAnsi"/>
          <w:color w:val="4F81BD" w:themeColor="accent1"/>
        </w:rPr>
        <w:t>TOP ORDERS</w:t>
      </w:r>
      <w:bookmarkEnd w:id="30"/>
    </w:p>
    <w:p w:rsidR="00F74452" w:rsidRPr="00F91EEB" w:rsidRDefault="00F74452" w:rsidP="00F74452">
      <w:r w:rsidRPr="00F91EEB">
        <w:t>MQP has priority against resting Stop Orders.  If a trade triggers MQP and the new last price also triggers a Stop Order, which is eligible to trade against another Participant Quote, the Stop Order will not be triggered before the Quotes have been purged.</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31" w:name="_Toc464457833"/>
      <w:r w:rsidRPr="00102C8D">
        <w:rPr>
          <w:rFonts w:asciiTheme="minorHAnsi" w:hAnsiTheme="minorHAnsi"/>
          <w:color w:val="4F81BD" w:themeColor="accent1"/>
        </w:rPr>
        <w:t>S</w:t>
      </w:r>
      <w:bookmarkEnd w:id="31"/>
      <w:r w:rsidR="00743B78">
        <w:rPr>
          <w:rFonts w:asciiTheme="minorHAnsi" w:hAnsiTheme="minorHAnsi"/>
          <w:color w:val="4F81BD" w:themeColor="accent1"/>
        </w:rPr>
        <w:t>ESSION STATES</w:t>
      </w:r>
    </w:p>
    <w:p w:rsidR="00F74452" w:rsidRPr="00A32C8E" w:rsidRDefault="00F74452" w:rsidP="00F74452">
      <w:r w:rsidRPr="00A32C8E">
        <w:t>The MQP will only be enabled during Trading Sessions with continuous matching (the Open Session).</w:t>
      </w:r>
    </w:p>
    <w:p w:rsidR="00F74452" w:rsidRPr="00102C8D" w:rsidRDefault="00F74452" w:rsidP="00834A38">
      <w:pPr>
        <w:pStyle w:val="Heading1"/>
        <w:keepLines w:val="0"/>
        <w:numPr>
          <w:ilvl w:val="0"/>
          <w:numId w:val="9"/>
        </w:numPr>
        <w:spacing w:after="120" w:line="320" w:lineRule="atLeast"/>
      </w:pPr>
      <w:r w:rsidRPr="00102C8D">
        <w:t xml:space="preserve"> </w:t>
      </w:r>
      <w:bookmarkStart w:id="32" w:name="_Toc464457834"/>
      <w:r w:rsidRPr="008C6B4F">
        <w:t>MQP Examples</w:t>
      </w:r>
      <w:bookmarkEnd w:id="32"/>
      <w:r>
        <w:t xml:space="preserve"> </w:t>
      </w:r>
    </w:p>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33" w:name="_Toc464457835"/>
      <w:r w:rsidRPr="00102C8D">
        <w:rPr>
          <w:rFonts w:asciiTheme="minorHAnsi" w:hAnsiTheme="minorHAnsi"/>
          <w:color w:val="4F81BD" w:themeColor="accent1"/>
        </w:rPr>
        <w:t>E</w:t>
      </w:r>
      <w:r w:rsidR="00743B78">
        <w:rPr>
          <w:rFonts w:asciiTheme="minorHAnsi" w:hAnsiTheme="minorHAnsi"/>
          <w:color w:val="4F81BD" w:themeColor="accent1"/>
        </w:rPr>
        <w:t>XAMPLE</w:t>
      </w:r>
      <w:r w:rsidRPr="00102C8D">
        <w:rPr>
          <w:rFonts w:asciiTheme="minorHAnsi" w:hAnsiTheme="minorHAnsi"/>
          <w:color w:val="4F81BD" w:themeColor="accent1"/>
        </w:rPr>
        <w:t xml:space="preserve"> 1: A</w:t>
      </w:r>
      <w:r w:rsidR="00743B78">
        <w:rPr>
          <w:rFonts w:asciiTheme="minorHAnsi" w:hAnsiTheme="minorHAnsi"/>
          <w:color w:val="4F81BD" w:themeColor="accent1"/>
        </w:rPr>
        <w:t>GGRESSICE QUOTES</w:t>
      </w:r>
      <w:r w:rsidRPr="00102C8D">
        <w:rPr>
          <w:rFonts w:asciiTheme="minorHAnsi" w:hAnsiTheme="minorHAnsi"/>
          <w:color w:val="4F81BD" w:themeColor="accent1"/>
        </w:rPr>
        <w:t xml:space="preserve"> (S</w:t>
      </w:r>
      <w:r w:rsidR="00743B78">
        <w:rPr>
          <w:rFonts w:asciiTheme="minorHAnsi" w:hAnsiTheme="minorHAnsi"/>
          <w:color w:val="4F81BD" w:themeColor="accent1"/>
        </w:rPr>
        <w:t>ECTION</w:t>
      </w:r>
      <w:r w:rsidRPr="00102C8D">
        <w:rPr>
          <w:rFonts w:asciiTheme="minorHAnsi" w:hAnsiTheme="minorHAnsi"/>
          <w:color w:val="4F81BD" w:themeColor="accent1"/>
        </w:rPr>
        <w:t xml:space="preserve"> 3.6.1)</w:t>
      </w:r>
      <w:bookmarkEnd w:id="33"/>
    </w:p>
    <w:p w:rsidR="00F74452" w:rsidRPr="00A32C8E" w:rsidRDefault="00F74452" w:rsidP="00F74452">
      <w:r w:rsidRPr="00A32C8E">
        <w:t>If an aggressive Quote is entered by the Participant that matches with Orders in the Order Book, MQP shall be checked for each individual Quote.</w:t>
      </w:r>
    </w:p>
    <w:p w:rsidR="00F74452" w:rsidRPr="00102C8D" w:rsidRDefault="00F74452" w:rsidP="00F74452">
      <w:r w:rsidRPr="00102C8D">
        <w:t>Example 1:</w:t>
      </w:r>
    </w:p>
    <w:p w:rsidR="00F74452" w:rsidRPr="00A32C8E" w:rsidRDefault="00F74452" w:rsidP="00F74452">
      <w:r w:rsidRPr="00A32C8E">
        <w:t>Assume that the Participant has defined the Quantity Protection to 9.</w:t>
      </w:r>
    </w:p>
    <w:p w:rsidR="00F74452" w:rsidRPr="00102C8D" w:rsidRDefault="00F74452" w:rsidP="00F74452">
      <w:r w:rsidRPr="00102C8D">
        <w:t>Assume that four individual Orders and one Quote are stored in the Order Book:</w:t>
      </w:r>
    </w:p>
    <w:p w:rsidR="00F74452" w:rsidRPr="00102C8D" w:rsidRDefault="00F74452" w:rsidP="00F74452"/>
    <w:tbl>
      <w:tblPr>
        <w:tblW w:w="6598" w:type="dxa"/>
        <w:jc w:val="center"/>
        <w:tblLook w:val="04A0" w:firstRow="1" w:lastRow="0" w:firstColumn="1" w:lastColumn="0" w:noHBand="0" w:noVBand="1"/>
      </w:tblPr>
      <w:tblGrid>
        <w:gridCol w:w="1732"/>
        <w:gridCol w:w="1088"/>
        <w:gridCol w:w="718"/>
        <w:gridCol w:w="675"/>
        <w:gridCol w:w="1158"/>
        <w:gridCol w:w="1227"/>
      </w:tblGrid>
      <w:tr w:rsidR="00F74452" w:rsidRPr="00102C8D" w:rsidTr="00024ECA">
        <w:trPr>
          <w:trHeight w:val="300"/>
          <w:jc w:val="center"/>
        </w:trPr>
        <w:tc>
          <w:tcPr>
            <w:tcW w:w="3538"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lastRenderedPageBreak/>
              <w:t>Bid</w:t>
            </w:r>
          </w:p>
        </w:tc>
        <w:tc>
          <w:tcPr>
            <w:tcW w:w="3060"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Offer</w:t>
            </w:r>
          </w:p>
        </w:tc>
      </w:tr>
      <w:tr w:rsidR="00F74452" w:rsidRPr="00102C8D"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Quantity</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Price</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Quantity</w:t>
            </w: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No</w:t>
            </w:r>
          </w:p>
        </w:tc>
      </w:tr>
      <w:tr w:rsidR="00F74452" w:rsidRPr="00102C8D"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100.0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r w:rsidR="00F74452" w:rsidRPr="00102C8D"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100.0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r w:rsidR="00F74452" w:rsidRPr="00102C8D"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3.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100.0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r w:rsidR="00F74452" w:rsidRPr="00102C8D"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4.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7</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100.0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r w:rsidR="00F74452" w:rsidRPr="00102C8D"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 xml:space="preserve">5. </w:t>
            </w:r>
            <w:r w:rsidRPr="00DC58D4">
              <w:rPr>
                <w:rFonts w:ascii="Calibri" w:hAnsi="Calibri"/>
                <w:color w:val="000000"/>
              </w:rPr>
              <w:t xml:space="preserve">Quote </w:t>
            </w:r>
            <w:r w:rsidRPr="00DC58D4">
              <w:t>P</w:t>
            </w:r>
          </w:p>
        </w:tc>
        <w:tc>
          <w:tcPr>
            <w:tcW w:w="1088" w:type="dxa"/>
            <w:tcBorders>
              <w:top w:val="nil"/>
              <w:left w:val="nil"/>
              <w:bottom w:val="single" w:sz="4" w:space="0" w:color="auto"/>
              <w:right w:val="single" w:sz="4" w:space="0" w:color="auto"/>
            </w:tcBorders>
            <w:shd w:val="clear" w:color="auto" w:fill="auto"/>
            <w:noWrap/>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5</w:t>
            </w:r>
          </w:p>
        </w:tc>
        <w:tc>
          <w:tcPr>
            <w:tcW w:w="718" w:type="dxa"/>
            <w:tcBorders>
              <w:top w:val="nil"/>
              <w:left w:val="nil"/>
              <w:bottom w:val="single" w:sz="4" w:space="0" w:color="auto"/>
              <w:right w:val="single" w:sz="4" w:space="0" w:color="auto"/>
            </w:tcBorders>
            <w:shd w:val="clear" w:color="auto" w:fill="auto"/>
            <w:noWrap/>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99.0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bl>
    <w:p w:rsidR="00F74452" w:rsidRPr="00102C8D" w:rsidRDefault="00F74452" w:rsidP="00F74452"/>
    <w:p w:rsidR="00F74452" w:rsidRPr="00102C8D" w:rsidRDefault="00F74452" w:rsidP="00F74452">
      <w:r w:rsidRPr="00102C8D">
        <w:t xml:space="preserve">Assume that the </w:t>
      </w:r>
      <w:r w:rsidRPr="00DC58D4">
        <w:t>Participant</w:t>
      </w:r>
      <w:r w:rsidRPr="00102C8D">
        <w:t xml:space="preserve"> enters one Quote: sell 30@99.0.</w:t>
      </w:r>
    </w:p>
    <w:p w:rsidR="00F74452" w:rsidRPr="00102C8D" w:rsidRDefault="00F74452" w:rsidP="00F74452">
      <w:r w:rsidRPr="00102C8D">
        <w:t>This Quote is fully matched against all Orders and Quotes in the Order Book before the Quantity Protection is checked.  The calculated Quantity Protection value is then 30, which exceeds the Quantity Protection of 9.</w:t>
      </w:r>
    </w:p>
    <w:p w:rsidR="00F74452" w:rsidRPr="00102C8D" w:rsidRDefault="00F74452" w:rsidP="00F74452">
      <w:r w:rsidRPr="00102C8D">
        <w:t xml:space="preserve">The </w:t>
      </w:r>
      <w:r w:rsidRPr="00DC58D4">
        <w:t>Mass Quote</w:t>
      </w:r>
      <w:r w:rsidRPr="00102C8D">
        <w:t xml:space="preserve"> Protection is triggered.</w:t>
      </w:r>
    </w:p>
    <w:p w:rsidR="00F74452" w:rsidRPr="00102C8D" w:rsidRDefault="00F74452" w:rsidP="00F74452">
      <w:r w:rsidRPr="00102C8D">
        <w:t xml:space="preserve">Any Quotes belonging to the </w:t>
      </w:r>
      <w:r w:rsidRPr="00DC58D4">
        <w:t>Participant</w:t>
      </w:r>
      <w:r w:rsidRPr="00102C8D">
        <w:t xml:space="preserve"> in the affected Order Books are removed (thus removing the remaining of Quote number 5 in the Order Book).</w:t>
      </w:r>
    </w:p>
    <w:p w:rsidR="00F74452" w:rsidRPr="00102C8D" w:rsidRDefault="00F74452" w:rsidP="00F74452">
      <w:r w:rsidRPr="00102C8D">
        <w:t>The Order Book, after the Order has been matched, looks like:</w:t>
      </w:r>
    </w:p>
    <w:p w:rsidR="00F74452" w:rsidRPr="00102C8D" w:rsidRDefault="00F74452" w:rsidP="00F74452"/>
    <w:tbl>
      <w:tblPr>
        <w:tblW w:w="6120" w:type="dxa"/>
        <w:jc w:val="center"/>
        <w:tblLook w:val="04A0" w:firstRow="1" w:lastRow="0" w:firstColumn="1" w:lastColumn="0" w:noHBand="0" w:noVBand="1"/>
      </w:tblPr>
      <w:tblGrid>
        <w:gridCol w:w="1195"/>
        <w:gridCol w:w="1127"/>
        <w:gridCol w:w="738"/>
        <w:gridCol w:w="675"/>
        <w:gridCol w:w="1158"/>
        <w:gridCol w:w="1227"/>
      </w:tblGrid>
      <w:tr w:rsidR="00F74452" w:rsidRPr="00102C8D" w:rsidTr="00024ECA">
        <w:trPr>
          <w:trHeight w:val="300"/>
          <w:jc w:val="center"/>
        </w:trPr>
        <w:tc>
          <w:tcPr>
            <w:tcW w:w="306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Bid</w:t>
            </w:r>
          </w:p>
        </w:tc>
        <w:tc>
          <w:tcPr>
            <w:tcW w:w="3060"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Offer</w:t>
            </w:r>
          </w:p>
        </w:tc>
      </w:tr>
      <w:tr w:rsidR="00F74452" w:rsidRPr="00102C8D" w:rsidTr="00024ECA">
        <w:trPr>
          <w:trHeight w:val="300"/>
          <w:jc w:val="center"/>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No</w:t>
            </w:r>
          </w:p>
        </w:tc>
        <w:tc>
          <w:tcPr>
            <w:tcW w:w="11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Quantity</w:t>
            </w:r>
          </w:p>
        </w:tc>
        <w:tc>
          <w:tcPr>
            <w:tcW w:w="73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Price</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Quantity</w:t>
            </w: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No</w:t>
            </w:r>
          </w:p>
        </w:tc>
      </w:tr>
      <w:tr w:rsidR="00F74452" w:rsidRPr="00102C8D" w:rsidTr="00024ECA">
        <w:trPr>
          <w:trHeight w:val="300"/>
          <w:jc w:val="center"/>
        </w:trPr>
        <w:tc>
          <w:tcPr>
            <w:tcW w:w="1195"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w:t>
            </w:r>
          </w:p>
        </w:tc>
        <w:tc>
          <w:tcPr>
            <w:tcW w:w="11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7</w:t>
            </w:r>
          </w:p>
        </w:tc>
        <w:tc>
          <w:tcPr>
            <w:tcW w:w="73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100.0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bl>
    <w:p w:rsidR="00F74452" w:rsidRDefault="00F74452" w:rsidP="00F74452"/>
    <w:p w:rsidR="00E7438C" w:rsidRDefault="00E7438C" w:rsidP="00F74452"/>
    <w:p w:rsidR="00E7438C" w:rsidRDefault="00E7438C" w:rsidP="00F74452"/>
    <w:p w:rsidR="00E7438C" w:rsidRDefault="00E7438C" w:rsidP="00F74452"/>
    <w:p w:rsidR="00E7438C" w:rsidRDefault="00E7438C" w:rsidP="00F74452"/>
    <w:p w:rsidR="00E7438C" w:rsidRDefault="00E7438C" w:rsidP="00F74452"/>
    <w:p w:rsidR="00E7438C" w:rsidRPr="00102C8D" w:rsidRDefault="00E7438C" w:rsidP="00F74452"/>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34" w:name="_Toc464457836"/>
      <w:r w:rsidRPr="00102C8D">
        <w:rPr>
          <w:rFonts w:asciiTheme="minorHAnsi" w:hAnsiTheme="minorHAnsi"/>
          <w:color w:val="4F81BD" w:themeColor="accent1"/>
        </w:rPr>
        <w:lastRenderedPageBreak/>
        <w:t>E</w:t>
      </w:r>
      <w:r w:rsidR="00743B78">
        <w:rPr>
          <w:rFonts w:asciiTheme="minorHAnsi" w:hAnsiTheme="minorHAnsi"/>
          <w:color w:val="4F81BD" w:themeColor="accent1"/>
        </w:rPr>
        <w:t>XAMPLE</w:t>
      </w:r>
      <w:r w:rsidRPr="00102C8D">
        <w:rPr>
          <w:rFonts w:asciiTheme="minorHAnsi" w:hAnsiTheme="minorHAnsi"/>
          <w:color w:val="4F81BD" w:themeColor="accent1"/>
        </w:rPr>
        <w:t xml:space="preserve"> 2: P</w:t>
      </w:r>
      <w:r w:rsidR="00743B78">
        <w:rPr>
          <w:rFonts w:asciiTheme="minorHAnsi" w:hAnsiTheme="minorHAnsi"/>
          <w:color w:val="4F81BD" w:themeColor="accent1"/>
        </w:rPr>
        <w:t>ASSIVE QUOTES</w:t>
      </w:r>
      <w:r w:rsidRPr="00102C8D">
        <w:rPr>
          <w:rFonts w:asciiTheme="minorHAnsi" w:hAnsiTheme="minorHAnsi"/>
          <w:color w:val="4F81BD" w:themeColor="accent1"/>
        </w:rPr>
        <w:t xml:space="preserve"> (S</w:t>
      </w:r>
      <w:r w:rsidR="00743B78">
        <w:rPr>
          <w:rFonts w:asciiTheme="minorHAnsi" w:hAnsiTheme="minorHAnsi"/>
          <w:color w:val="4F81BD" w:themeColor="accent1"/>
        </w:rPr>
        <w:t>ECTION</w:t>
      </w:r>
      <w:r w:rsidRPr="00102C8D">
        <w:rPr>
          <w:rFonts w:asciiTheme="minorHAnsi" w:hAnsiTheme="minorHAnsi"/>
          <w:color w:val="4F81BD" w:themeColor="accent1"/>
        </w:rPr>
        <w:t xml:space="preserve"> 3.6.2)</w:t>
      </w:r>
      <w:bookmarkEnd w:id="34"/>
    </w:p>
    <w:p w:rsidR="00F74452" w:rsidRPr="00102C8D" w:rsidRDefault="00F74452" w:rsidP="00F74452">
      <w:r w:rsidRPr="00102C8D">
        <w:t xml:space="preserve">Assume that the </w:t>
      </w:r>
      <w:r w:rsidRPr="00DC58D4">
        <w:t xml:space="preserve">Participant </w:t>
      </w:r>
      <w:r w:rsidRPr="00102C8D">
        <w:t>has defined the Quantity Protection to 9.</w:t>
      </w:r>
    </w:p>
    <w:p w:rsidR="00F74452" w:rsidRPr="00102C8D" w:rsidRDefault="00F74452" w:rsidP="00F74452">
      <w:r w:rsidRPr="00102C8D">
        <w:t>Assume that two individual Quotes and two Orders are stored in the Order Book:</w:t>
      </w:r>
    </w:p>
    <w:tbl>
      <w:tblPr>
        <w:tblW w:w="6425" w:type="dxa"/>
        <w:jc w:val="center"/>
        <w:tblLook w:val="04A0" w:firstRow="1" w:lastRow="0" w:firstColumn="1" w:lastColumn="0" w:noHBand="0" w:noVBand="1"/>
      </w:tblPr>
      <w:tblGrid>
        <w:gridCol w:w="1559"/>
        <w:gridCol w:w="1088"/>
        <w:gridCol w:w="718"/>
        <w:gridCol w:w="675"/>
        <w:gridCol w:w="1158"/>
        <w:gridCol w:w="1227"/>
      </w:tblGrid>
      <w:tr w:rsidR="00F74452" w:rsidRPr="00102C8D" w:rsidTr="00024ECA">
        <w:trPr>
          <w:trHeight w:val="300"/>
          <w:jc w:val="center"/>
        </w:trPr>
        <w:tc>
          <w:tcPr>
            <w:tcW w:w="3365"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Bid</w:t>
            </w:r>
          </w:p>
        </w:tc>
        <w:tc>
          <w:tcPr>
            <w:tcW w:w="3060"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Offer</w:t>
            </w:r>
          </w:p>
        </w:tc>
      </w:tr>
      <w:tr w:rsidR="00F74452" w:rsidRPr="00102C8D" w:rsidTr="00024ECA">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Quantity</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Price</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Quantity</w:t>
            </w: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No</w:t>
            </w:r>
          </w:p>
        </w:tc>
      </w:tr>
      <w:tr w:rsidR="00F74452" w:rsidRPr="00102C8D" w:rsidTr="00024ECA">
        <w:trPr>
          <w:trHeight w:val="356"/>
          <w:jc w:val="center"/>
        </w:trPr>
        <w:tc>
          <w:tcPr>
            <w:tcW w:w="1559" w:type="dxa"/>
            <w:tcBorders>
              <w:top w:val="nil"/>
              <w:left w:val="single" w:sz="4" w:space="0" w:color="auto"/>
              <w:bottom w:val="single" w:sz="4" w:space="0" w:color="auto"/>
              <w:right w:val="single" w:sz="4" w:space="0" w:color="auto"/>
            </w:tcBorders>
            <w:shd w:val="clear" w:color="auto" w:fill="auto"/>
            <w:vAlign w:val="bottom"/>
            <w:hideMark/>
          </w:tcPr>
          <w:p w:rsidR="00F74452" w:rsidRPr="00707DE9" w:rsidRDefault="00F74452" w:rsidP="00024ECA">
            <w:pPr>
              <w:spacing w:line="240" w:lineRule="auto"/>
              <w:jc w:val="center"/>
              <w:rPr>
                <w:rFonts w:ascii="Calibri" w:hAnsi="Calibri"/>
                <w:color w:val="000000"/>
              </w:rPr>
            </w:pPr>
            <w:r w:rsidRPr="00707DE9">
              <w:rPr>
                <w:rFonts w:ascii="Calibri" w:hAnsi="Calibri"/>
                <w:color w:val="000000"/>
              </w:rPr>
              <w:t>1. Quote P</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100.0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r>
      <w:tr w:rsidR="00F74452" w:rsidRPr="00102C8D" w:rsidTr="00024ECA">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74452" w:rsidRPr="00707DE9" w:rsidRDefault="00F74452" w:rsidP="00024ECA">
            <w:pPr>
              <w:spacing w:line="240" w:lineRule="auto"/>
              <w:jc w:val="center"/>
              <w:rPr>
                <w:rFonts w:ascii="Calibri" w:hAnsi="Calibri"/>
                <w:color w:val="000000"/>
              </w:rPr>
            </w:pPr>
            <w:r w:rsidRPr="00707DE9">
              <w:rPr>
                <w:rFonts w:ascii="Calibri" w:hAnsi="Calibri"/>
                <w:color w:val="000000"/>
              </w:rPr>
              <w:t>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100.0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r>
      <w:tr w:rsidR="00F74452" w:rsidRPr="00102C8D" w:rsidTr="00024ECA">
        <w:trPr>
          <w:trHeight w:val="300"/>
          <w:jc w:val="center"/>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74452" w:rsidRPr="00707DE9" w:rsidRDefault="00F74452" w:rsidP="00024ECA">
            <w:pPr>
              <w:spacing w:line="240" w:lineRule="auto"/>
              <w:jc w:val="center"/>
              <w:rPr>
                <w:rFonts w:ascii="Calibri" w:hAnsi="Calibri"/>
                <w:color w:val="000000"/>
              </w:rPr>
            </w:pPr>
            <w:r w:rsidRPr="00707DE9">
              <w:rPr>
                <w:rFonts w:ascii="Calibri" w:hAnsi="Calibri"/>
                <w:color w:val="000000"/>
              </w:rPr>
              <w:t>3.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5</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99.0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r>
      <w:tr w:rsidR="00F74452" w:rsidRPr="00102C8D" w:rsidTr="00024ECA">
        <w:trPr>
          <w:trHeight w:val="356"/>
          <w:jc w:val="center"/>
        </w:trPr>
        <w:tc>
          <w:tcPr>
            <w:tcW w:w="1559" w:type="dxa"/>
            <w:tcBorders>
              <w:top w:val="nil"/>
              <w:left w:val="single" w:sz="4" w:space="0" w:color="auto"/>
              <w:bottom w:val="single" w:sz="4" w:space="0" w:color="auto"/>
              <w:right w:val="single" w:sz="4" w:space="0" w:color="auto"/>
            </w:tcBorders>
            <w:shd w:val="clear" w:color="auto" w:fill="auto"/>
            <w:vAlign w:val="bottom"/>
            <w:hideMark/>
          </w:tcPr>
          <w:p w:rsidR="00F74452" w:rsidRPr="00707DE9" w:rsidRDefault="00F74452" w:rsidP="00024ECA">
            <w:pPr>
              <w:spacing w:line="240" w:lineRule="auto"/>
              <w:jc w:val="center"/>
              <w:rPr>
                <w:rFonts w:ascii="Calibri" w:hAnsi="Calibri"/>
                <w:color w:val="000000"/>
              </w:rPr>
            </w:pPr>
            <w:r w:rsidRPr="00707DE9">
              <w:rPr>
                <w:rFonts w:ascii="Calibri" w:hAnsi="Calibri"/>
                <w:color w:val="000000"/>
              </w:rPr>
              <w:t>4.Quote P</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w:t>
            </w:r>
          </w:p>
        </w:tc>
        <w:tc>
          <w:tcPr>
            <w:tcW w:w="71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99.0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r>
      <w:tr w:rsidR="00F74452" w:rsidRPr="00102C8D" w:rsidTr="00024ECA">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5. Order</w:t>
            </w:r>
          </w:p>
        </w:tc>
        <w:tc>
          <w:tcPr>
            <w:tcW w:w="1088" w:type="dxa"/>
            <w:tcBorders>
              <w:top w:val="nil"/>
              <w:left w:val="nil"/>
              <w:bottom w:val="single" w:sz="4" w:space="0" w:color="auto"/>
              <w:right w:val="single" w:sz="4" w:space="0" w:color="auto"/>
            </w:tcBorders>
            <w:shd w:val="clear" w:color="auto" w:fill="auto"/>
            <w:noWrap/>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w:t>
            </w:r>
          </w:p>
        </w:tc>
        <w:tc>
          <w:tcPr>
            <w:tcW w:w="718" w:type="dxa"/>
            <w:tcBorders>
              <w:top w:val="nil"/>
              <w:left w:val="nil"/>
              <w:bottom w:val="single" w:sz="4" w:space="0" w:color="auto"/>
              <w:right w:val="single" w:sz="4" w:space="0" w:color="auto"/>
            </w:tcBorders>
            <w:shd w:val="clear" w:color="auto" w:fill="auto"/>
            <w:noWrap/>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99.0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r>
    </w:tbl>
    <w:p w:rsidR="00F74452" w:rsidRPr="00102C8D" w:rsidRDefault="00F74452" w:rsidP="00F74452"/>
    <w:p w:rsidR="00F74452" w:rsidRPr="00102C8D" w:rsidRDefault="00F74452" w:rsidP="00F74452">
      <w:r w:rsidRPr="00102C8D">
        <w:t>Assume that a market participant enters one Order sell 30@99.0.</w:t>
      </w:r>
    </w:p>
    <w:p w:rsidR="00F74452" w:rsidRPr="00102C8D" w:rsidRDefault="00F74452" w:rsidP="00F74452">
      <w:r w:rsidRPr="00102C8D">
        <w:t>This Order is matched against all Orders and Quotes in the Order Book, leaving 5 in the Quote number 4.  Next, the Trading System checks the Quantity Protection.  The calculated Quantity Protection value is then 15 (10 from Quote number 1. + 5 from Quote number 4.), which exceeds the Quantity Protection of 9.  Note that the calculated Quantity Protection value does not contain any quantity contribution from Order number 2 or Order number 3.</w:t>
      </w:r>
    </w:p>
    <w:p w:rsidR="00F74452" w:rsidRPr="00102C8D" w:rsidRDefault="00F74452" w:rsidP="00F74452">
      <w:r w:rsidRPr="00102C8D">
        <w:t xml:space="preserve">The </w:t>
      </w:r>
      <w:r w:rsidRPr="00707DE9">
        <w:t>Mass Quote</w:t>
      </w:r>
      <w:r w:rsidRPr="00102C8D">
        <w:t xml:space="preserve"> Protection is triggered.</w:t>
      </w:r>
    </w:p>
    <w:p w:rsidR="00F74452" w:rsidRPr="00102C8D" w:rsidRDefault="00F74452" w:rsidP="00F74452">
      <w:r w:rsidRPr="00102C8D">
        <w:t xml:space="preserve">Any Quotes belonging to the </w:t>
      </w:r>
      <w:r w:rsidRPr="00707DE9">
        <w:t>Participant</w:t>
      </w:r>
      <w:r w:rsidRPr="00102C8D">
        <w:t xml:space="preserve"> in the affected Order Book are removed (thus removing the remaining of Quote number 4 in the Order Book).</w:t>
      </w:r>
    </w:p>
    <w:p w:rsidR="00F74452" w:rsidRPr="00102C8D" w:rsidRDefault="00F74452" w:rsidP="00F74452">
      <w:r w:rsidRPr="00102C8D">
        <w:t>The Order Book, after the Order has been matched, looks like:</w:t>
      </w:r>
    </w:p>
    <w:p w:rsidR="00F74452" w:rsidRPr="00102C8D" w:rsidRDefault="00F74452" w:rsidP="00F74452"/>
    <w:tbl>
      <w:tblPr>
        <w:tblW w:w="6120" w:type="dxa"/>
        <w:jc w:val="center"/>
        <w:tblLook w:val="04A0" w:firstRow="1" w:lastRow="0" w:firstColumn="1" w:lastColumn="0" w:noHBand="0" w:noVBand="1"/>
      </w:tblPr>
      <w:tblGrid>
        <w:gridCol w:w="1227"/>
        <w:gridCol w:w="1158"/>
        <w:gridCol w:w="675"/>
        <w:gridCol w:w="675"/>
        <w:gridCol w:w="1158"/>
        <w:gridCol w:w="1227"/>
      </w:tblGrid>
      <w:tr w:rsidR="00F74452" w:rsidRPr="00102C8D" w:rsidTr="00024ECA">
        <w:trPr>
          <w:trHeight w:val="300"/>
          <w:jc w:val="center"/>
        </w:trPr>
        <w:tc>
          <w:tcPr>
            <w:tcW w:w="306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Bid</w:t>
            </w:r>
          </w:p>
        </w:tc>
        <w:tc>
          <w:tcPr>
            <w:tcW w:w="3060"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Offer</w:t>
            </w:r>
          </w:p>
        </w:tc>
      </w:tr>
      <w:tr w:rsidR="00F74452" w:rsidRPr="00102C8D" w:rsidTr="00024ECA">
        <w:trPr>
          <w:trHeight w:val="300"/>
          <w:jc w:val="center"/>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No</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Quantity</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Price</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Quantity</w:t>
            </w: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No</w:t>
            </w:r>
          </w:p>
        </w:tc>
      </w:tr>
      <w:tr w:rsidR="00F74452" w:rsidRPr="00102C8D" w:rsidTr="00024ECA">
        <w:trPr>
          <w:trHeight w:val="300"/>
          <w:jc w:val="center"/>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5. order</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99.0</w:t>
            </w:r>
          </w:p>
        </w:tc>
        <w:tc>
          <w:tcPr>
            <w:tcW w:w="675"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22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bl>
    <w:p w:rsidR="00F74452" w:rsidRPr="00102C8D" w:rsidRDefault="00F74452" w:rsidP="00F74452"/>
    <w:p w:rsidR="00F74452" w:rsidRPr="00102C8D" w:rsidRDefault="00F74452" w:rsidP="00834A38">
      <w:pPr>
        <w:pStyle w:val="Heading2"/>
        <w:keepLines w:val="0"/>
        <w:numPr>
          <w:ilvl w:val="1"/>
          <w:numId w:val="9"/>
        </w:numPr>
        <w:spacing w:line="320" w:lineRule="atLeast"/>
        <w:rPr>
          <w:rFonts w:asciiTheme="minorHAnsi" w:hAnsiTheme="minorHAnsi"/>
          <w:color w:val="4F81BD" w:themeColor="accent1"/>
        </w:rPr>
      </w:pPr>
      <w:bookmarkStart w:id="35" w:name="_Toc414438846"/>
      <w:bookmarkStart w:id="36" w:name="_Toc464457837"/>
      <w:r w:rsidRPr="00102C8D">
        <w:rPr>
          <w:rFonts w:asciiTheme="minorHAnsi" w:hAnsiTheme="minorHAnsi"/>
          <w:color w:val="4F81BD" w:themeColor="accent1"/>
        </w:rPr>
        <w:t>E</w:t>
      </w:r>
      <w:r w:rsidR="00743B78">
        <w:rPr>
          <w:rFonts w:asciiTheme="minorHAnsi" w:hAnsiTheme="minorHAnsi"/>
          <w:color w:val="4F81BD" w:themeColor="accent1"/>
        </w:rPr>
        <w:t xml:space="preserve">XAMPLES </w:t>
      </w:r>
      <w:r w:rsidRPr="00102C8D">
        <w:rPr>
          <w:rFonts w:asciiTheme="minorHAnsi" w:hAnsiTheme="minorHAnsi"/>
          <w:color w:val="4F81BD" w:themeColor="accent1"/>
        </w:rPr>
        <w:t xml:space="preserve">3 </w:t>
      </w:r>
      <w:r w:rsidR="00743B78">
        <w:rPr>
          <w:rFonts w:asciiTheme="minorHAnsi" w:hAnsiTheme="minorHAnsi"/>
          <w:color w:val="4F81BD" w:themeColor="accent1"/>
        </w:rPr>
        <w:t>AND</w:t>
      </w:r>
      <w:r w:rsidRPr="00102C8D">
        <w:rPr>
          <w:rFonts w:asciiTheme="minorHAnsi" w:hAnsiTheme="minorHAnsi"/>
          <w:color w:val="4F81BD" w:themeColor="accent1"/>
        </w:rPr>
        <w:t xml:space="preserve"> 4: C</w:t>
      </w:r>
      <w:r w:rsidR="00743B78">
        <w:rPr>
          <w:rFonts w:asciiTheme="minorHAnsi" w:hAnsiTheme="minorHAnsi"/>
          <w:color w:val="4F81BD" w:themeColor="accent1"/>
        </w:rPr>
        <w:t>OMBINATION ORDERS</w:t>
      </w:r>
      <w:r w:rsidRPr="00102C8D">
        <w:rPr>
          <w:rFonts w:asciiTheme="minorHAnsi" w:hAnsiTheme="minorHAnsi"/>
          <w:color w:val="4F81BD" w:themeColor="accent1"/>
        </w:rPr>
        <w:t xml:space="preserve"> (S</w:t>
      </w:r>
      <w:r w:rsidR="00743B78">
        <w:rPr>
          <w:rFonts w:asciiTheme="minorHAnsi" w:hAnsiTheme="minorHAnsi"/>
          <w:color w:val="4F81BD" w:themeColor="accent1"/>
        </w:rPr>
        <w:t>ECTION</w:t>
      </w:r>
      <w:r w:rsidRPr="00102C8D">
        <w:rPr>
          <w:rFonts w:asciiTheme="minorHAnsi" w:hAnsiTheme="minorHAnsi"/>
          <w:color w:val="4F81BD" w:themeColor="accent1"/>
        </w:rPr>
        <w:t xml:space="preserve"> 3.8)</w:t>
      </w:r>
      <w:bookmarkEnd w:id="35"/>
      <w:bookmarkEnd w:id="36"/>
    </w:p>
    <w:p w:rsidR="00F74452" w:rsidRPr="00102C8D" w:rsidRDefault="00F74452" w:rsidP="00F74452">
      <w:r w:rsidRPr="00102C8D">
        <w:t xml:space="preserve">If an aggressive Quote by the protected </w:t>
      </w:r>
      <w:r w:rsidRPr="00707DE9">
        <w:t>Participant</w:t>
      </w:r>
      <w:r w:rsidRPr="00102C8D">
        <w:t xml:space="preserve"> is matched with an Implied Order generated from a Combination Order Strategy, </w:t>
      </w:r>
      <w:r w:rsidRPr="00707DE9">
        <w:t>Mass Quote</w:t>
      </w:r>
      <w:r w:rsidRPr="00102C8D">
        <w:t xml:space="preserve"> Protection shall first check each individual Quote and then </w:t>
      </w:r>
      <w:r w:rsidRPr="00102C8D">
        <w:lastRenderedPageBreak/>
        <w:t xml:space="preserve">consider the other legs of the Combination Order Strategy which shall be traded before the </w:t>
      </w:r>
      <w:r w:rsidRPr="00707DE9">
        <w:t>Mass Quote</w:t>
      </w:r>
      <w:r w:rsidRPr="00102C8D">
        <w:t xml:space="preserve"> Protection is triggered, even if a threshold is reached after the first leg is executed.</w:t>
      </w:r>
    </w:p>
    <w:p w:rsidR="00F74452" w:rsidRPr="00102C8D" w:rsidRDefault="00F74452" w:rsidP="00F74452">
      <w:pPr>
        <w:rPr>
          <w:b/>
          <w:sz w:val="24"/>
        </w:rPr>
      </w:pPr>
      <w:r w:rsidRPr="00102C8D">
        <w:rPr>
          <w:b/>
          <w:sz w:val="24"/>
        </w:rPr>
        <w:t>Example 3: Aggressive Quote matched with Combination Order Strategy</w:t>
      </w:r>
    </w:p>
    <w:p w:rsidR="00F74452" w:rsidRPr="00102C8D" w:rsidRDefault="00F74452" w:rsidP="00F74452">
      <w:r w:rsidRPr="00102C8D">
        <w:t>Combination Order AB: buy A and sell B (A and B is part of the same underlying)</w:t>
      </w:r>
    </w:p>
    <w:p w:rsidR="00F74452" w:rsidRPr="00102C8D" w:rsidRDefault="00F74452" w:rsidP="00F74452">
      <w:r w:rsidRPr="00102C8D">
        <w:t>Step 1:</w:t>
      </w:r>
    </w:p>
    <w:p w:rsidR="00F74452" w:rsidRPr="00102C8D" w:rsidRDefault="00F74452" w:rsidP="00F74452">
      <w:r w:rsidRPr="00707DE9">
        <w:t>Mass Quoter A (MQA)</w:t>
      </w:r>
      <w:r w:rsidRPr="00102C8D">
        <w:t xml:space="preserve"> has a one-sided Quote in series A. (10@10)</w:t>
      </w:r>
    </w:p>
    <w:p w:rsidR="00F74452" w:rsidRPr="00102C8D" w:rsidRDefault="00F74452" w:rsidP="00F74452">
      <w:r w:rsidRPr="00102C8D">
        <w:t>The Quantity Protection parameter is set to 9 for M</w:t>
      </w:r>
      <w:r w:rsidRPr="00707DE9">
        <w:t>Q</w:t>
      </w:r>
      <w:r w:rsidRPr="00102C8D">
        <w:t>A.</w:t>
      </w:r>
    </w:p>
    <w:p w:rsidR="00F74452" w:rsidRPr="00102C8D" w:rsidRDefault="00F74452" w:rsidP="00F74452">
      <w:r w:rsidRPr="00102C8D">
        <w:t>Participant B (PB) enters an Order in series A. (5@10)</w:t>
      </w:r>
    </w:p>
    <w:p w:rsidR="00F74452" w:rsidRPr="00102C8D" w:rsidRDefault="00F74452" w:rsidP="00F74452">
      <w:r w:rsidRPr="00102C8D">
        <w:t>Participant A (PA) wants to buy the Combination Order Strategy AB 10 times at 2.</w:t>
      </w:r>
    </w:p>
    <w:p w:rsidR="00F74452" w:rsidRDefault="00F74452" w:rsidP="00F74452">
      <w:r w:rsidRPr="00102C8D">
        <w:t>When PA enters the Combination Order, an Implied Order is generated in the series B Order Book.</w:t>
      </w:r>
    </w:p>
    <w:p w:rsidR="00E7438C" w:rsidRPr="00102C8D" w:rsidRDefault="00E7438C" w:rsidP="00F74452"/>
    <w:tbl>
      <w:tblPr>
        <w:tblW w:w="7785" w:type="dxa"/>
        <w:jc w:val="center"/>
        <w:tblLook w:val="04A0" w:firstRow="1" w:lastRow="0" w:firstColumn="1" w:lastColumn="0" w:noHBand="0" w:noVBand="1"/>
      </w:tblPr>
      <w:tblGrid>
        <w:gridCol w:w="1639"/>
        <w:gridCol w:w="1639"/>
        <w:gridCol w:w="1093"/>
        <w:gridCol w:w="1707"/>
        <w:gridCol w:w="1707"/>
      </w:tblGrid>
      <w:tr w:rsidR="00F74452" w:rsidRPr="00102C8D" w:rsidTr="00024ECA">
        <w:trPr>
          <w:trHeight w:val="312"/>
          <w:jc w:val="center"/>
        </w:trPr>
        <w:tc>
          <w:tcPr>
            <w:tcW w:w="1639"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Order Combo AB</w:t>
            </w:r>
          </w:p>
        </w:tc>
        <w:tc>
          <w:tcPr>
            <w:tcW w:w="1639"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p>
        </w:tc>
        <w:tc>
          <w:tcPr>
            <w:tcW w:w="1093"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r w:rsidR="00F74452" w:rsidRPr="00102C8D" w:rsidTr="00024ECA">
        <w:trPr>
          <w:trHeight w:val="312"/>
          <w:jc w:val="center"/>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(PA) 10 @2</w:t>
            </w:r>
          </w:p>
        </w:tc>
        <w:tc>
          <w:tcPr>
            <w:tcW w:w="1639"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093"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r w:rsidR="00F74452" w:rsidRPr="00102C8D" w:rsidTr="00024ECA">
        <w:trPr>
          <w:trHeight w:val="312"/>
          <w:jc w:val="center"/>
        </w:trPr>
        <w:tc>
          <w:tcPr>
            <w:tcW w:w="1639"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639"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093"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r w:rsidR="00F74452" w:rsidRPr="00102C8D" w:rsidTr="00024ECA">
        <w:trPr>
          <w:trHeight w:val="312"/>
          <w:jc w:val="center"/>
        </w:trPr>
        <w:tc>
          <w:tcPr>
            <w:tcW w:w="1639"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Series A</w:t>
            </w:r>
          </w:p>
        </w:tc>
        <w:tc>
          <w:tcPr>
            <w:tcW w:w="1639"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p>
        </w:tc>
        <w:tc>
          <w:tcPr>
            <w:tcW w:w="1093"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Series B</w:t>
            </w:r>
          </w:p>
        </w:tc>
        <w:tc>
          <w:tcPr>
            <w:tcW w:w="1707"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p>
        </w:tc>
      </w:tr>
      <w:tr w:rsidR="00F74452" w:rsidRPr="00102C8D" w:rsidTr="00024ECA">
        <w:trPr>
          <w:trHeight w:val="312"/>
          <w:jc w:val="center"/>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639"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10@10 (M</w:t>
            </w:r>
            <w:r w:rsidRPr="00707DE9">
              <w:rPr>
                <w:rFonts w:ascii="Calibri" w:hAnsi="Calibri"/>
                <w:color w:val="000000"/>
              </w:rPr>
              <w:t>Q</w:t>
            </w:r>
            <w:r w:rsidRPr="00102C8D">
              <w:rPr>
                <w:rFonts w:ascii="Calibri" w:hAnsi="Calibri"/>
                <w:color w:val="000000"/>
              </w:rPr>
              <w:t>A)</w:t>
            </w:r>
          </w:p>
        </w:tc>
        <w:tc>
          <w:tcPr>
            <w:tcW w:w="1093"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10@8 (implied)</w:t>
            </w:r>
          </w:p>
        </w:tc>
      </w:tr>
      <w:tr w:rsidR="00F74452" w:rsidRPr="00102C8D" w:rsidTr="00024ECA">
        <w:trPr>
          <w:trHeight w:val="312"/>
          <w:jc w:val="center"/>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639"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5@10 (PB)</w:t>
            </w:r>
          </w:p>
        </w:tc>
        <w:tc>
          <w:tcPr>
            <w:tcW w:w="1093"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707" w:type="dxa"/>
            <w:tcBorders>
              <w:top w:val="nil"/>
              <w:left w:val="nil"/>
              <w:bottom w:val="nil"/>
              <w:right w:val="nil"/>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r>
    </w:tbl>
    <w:p w:rsidR="00F74452" w:rsidRPr="00102C8D" w:rsidRDefault="00F74452" w:rsidP="00F74452">
      <w:pPr>
        <w:jc w:val="center"/>
      </w:pPr>
    </w:p>
    <w:p w:rsidR="00F74452" w:rsidRPr="00102C8D" w:rsidRDefault="00F74452" w:rsidP="00F74452">
      <w:r w:rsidRPr="00102C8D">
        <w:t>Step 2:</w:t>
      </w:r>
    </w:p>
    <w:p w:rsidR="00F74452" w:rsidRPr="00102C8D" w:rsidRDefault="00F74452" w:rsidP="00F74452">
      <w:r w:rsidRPr="00102C8D">
        <w:t>M</w:t>
      </w:r>
      <w:r w:rsidRPr="00707DE9">
        <w:t>Q</w:t>
      </w:r>
      <w:r w:rsidRPr="00102C8D">
        <w:t>A enters a Quote in series B: buy 10@8.</w:t>
      </w:r>
    </w:p>
    <w:p w:rsidR="00F74452" w:rsidRPr="00102C8D" w:rsidRDefault="00F74452" w:rsidP="00F74452">
      <w:r w:rsidRPr="00102C8D">
        <w:t>Result:</w:t>
      </w:r>
    </w:p>
    <w:p w:rsidR="00F74452" w:rsidRDefault="00F74452" w:rsidP="00F74452">
      <w:r w:rsidRPr="00102C8D">
        <w:t xml:space="preserve">The whole Order will execute before the </w:t>
      </w:r>
      <w:r w:rsidRPr="00707DE9">
        <w:t>Mass Quote</w:t>
      </w:r>
      <w:r w:rsidRPr="00102C8D">
        <w:t xml:space="preserve"> Protection is triggered, and the remaining Quotes (in the underlying Contract) would be removed because of the trigger.  Orders are not removed as a result of the trigger.</w:t>
      </w:r>
    </w:p>
    <w:p w:rsidR="00E7438C" w:rsidRDefault="00E7438C" w:rsidP="00F74452"/>
    <w:p w:rsidR="00E7438C" w:rsidRDefault="00E7438C" w:rsidP="00F74452"/>
    <w:p w:rsidR="00E7438C" w:rsidRPr="00102C8D" w:rsidRDefault="00E7438C" w:rsidP="00F74452"/>
    <w:p w:rsidR="00F74452" w:rsidRPr="00102C8D" w:rsidRDefault="00F74452" w:rsidP="00F74452">
      <w:r w:rsidRPr="00102C8D">
        <w:lastRenderedPageBreak/>
        <w:t>The calculated Quantity Protection will be 20.</w:t>
      </w:r>
    </w:p>
    <w:p w:rsidR="00F74452" w:rsidRPr="00102C8D" w:rsidRDefault="00F74452" w:rsidP="00F74452"/>
    <w:tbl>
      <w:tblPr>
        <w:tblW w:w="7752" w:type="dxa"/>
        <w:jc w:val="center"/>
        <w:tblLook w:val="04A0" w:firstRow="1" w:lastRow="0" w:firstColumn="1" w:lastColumn="0" w:noHBand="0" w:noVBand="1"/>
      </w:tblPr>
      <w:tblGrid>
        <w:gridCol w:w="1632"/>
        <w:gridCol w:w="1632"/>
        <w:gridCol w:w="1088"/>
        <w:gridCol w:w="1700"/>
        <w:gridCol w:w="1700"/>
      </w:tblGrid>
      <w:tr w:rsidR="00F74452" w:rsidRPr="00102C8D" w:rsidTr="00024ECA">
        <w:trPr>
          <w:trHeight w:val="300"/>
          <w:jc w:val="center"/>
        </w:trPr>
        <w:tc>
          <w:tcPr>
            <w:tcW w:w="1632"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Combo AB</w:t>
            </w:r>
          </w:p>
        </w:tc>
        <w:tc>
          <w:tcPr>
            <w:tcW w:w="1632"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 </w:t>
            </w:r>
          </w:p>
        </w:tc>
        <w:tc>
          <w:tcPr>
            <w:tcW w:w="1088"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0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0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r>
      <w:tr w:rsidR="00F74452" w:rsidRPr="00102C8D" w:rsidTr="00024ECA">
        <w:trPr>
          <w:trHeight w:val="300"/>
          <w:jc w:val="center"/>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c>
          <w:tcPr>
            <w:tcW w:w="1632"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c>
          <w:tcPr>
            <w:tcW w:w="1088"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0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0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r>
      <w:tr w:rsidR="00F74452" w:rsidRPr="00102C8D" w:rsidTr="00024ECA">
        <w:trPr>
          <w:trHeight w:val="300"/>
          <w:jc w:val="center"/>
        </w:trPr>
        <w:tc>
          <w:tcPr>
            <w:tcW w:w="1632"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632"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088"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0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0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r>
      <w:tr w:rsidR="00F74452" w:rsidRPr="00102C8D" w:rsidTr="00024ECA">
        <w:trPr>
          <w:trHeight w:val="300"/>
          <w:jc w:val="center"/>
        </w:trPr>
        <w:tc>
          <w:tcPr>
            <w:tcW w:w="1632"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Series A</w:t>
            </w:r>
          </w:p>
        </w:tc>
        <w:tc>
          <w:tcPr>
            <w:tcW w:w="1632"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 </w:t>
            </w:r>
          </w:p>
        </w:tc>
        <w:tc>
          <w:tcPr>
            <w:tcW w:w="1088"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00"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Series B</w:t>
            </w:r>
          </w:p>
        </w:tc>
        <w:tc>
          <w:tcPr>
            <w:tcW w:w="1700"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 </w:t>
            </w:r>
          </w:p>
        </w:tc>
      </w:tr>
      <w:tr w:rsidR="00F74452" w:rsidRPr="00102C8D" w:rsidTr="00024ECA">
        <w:trPr>
          <w:trHeight w:val="300"/>
          <w:jc w:val="center"/>
        </w:trPr>
        <w:tc>
          <w:tcPr>
            <w:tcW w:w="16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c>
          <w:tcPr>
            <w:tcW w:w="1632"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5@10 (PB)</w:t>
            </w:r>
          </w:p>
        </w:tc>
        <w:tc>
          <w:tcPr>
            <w:tcW w:w="1088"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r>
    </w:tbl>
    <w:p w:rsidR="00F74452" w:rsidRPr="00102C8D" w:rsidRDefault="00F74452" w:rsidP="00F74452"/>
    <w:p w:rsidR="00F74452" w:rsidRPr="00102C8D" w:rsidRDefault="00F74452" w:rsidP="00F74452">
      <w:pPr>
        <w:rPr>
          <w:b/>
          <w:sz w:val="24"/>
        </w:rPr>
      </w:pPr>
      <w:r w:rsidRPr="00102C8D">
        <w:rPr>
          <w:b/>
          <w:sz w:val="24"/>
        </w:rPr>
        <w:t>Example 4: Passive Quote matched with Combination Order Strategy</w:t>
      </w:r>
    </w:p>
    <w:p w:rsidR="00F74452" w:rsidRPr="00102C8D" w:rsidRDefault="00F74452" w:rsidP="00F74452">
      <w:r w:rsidRPr="00102C8D">
        <w:t>Step 1 is the same as in example 3.</w:t>
      </w:r>
    </w:p>
    <w:p w:rsidR="00F74452" w:rsidRPr="00102C8D" w:rsidRDefault="00F74452" w:rsidP="00F74452">
      <w:r w:rsidRPr="00102C8D">
        <w:t>Step 2:</w:t>
      </w:r>
    </w:p>
    <w:p w:rsidR="00F74452" w:rsidRPr="00102C8D" w:rsidRDefault="00F74452" w:rsidP="00F74452">
      <w:r w:rsidRPr="00102C8D">
        <w:t>Participant B (PB) enters an Order in series B: 10@8.</w:t>
      </w:r>
    </w:p>
    <w:p w:rsidR="00F74452" w:rsidRPr="00102C8D" w:rsidRDefault="00F74452" w:rsidP="00F74452">
      <w:r w:rsidRPr="00102C8D">
        <w:t xml:space="preserve">The whole Order will execute before the </w:t>
      </w:r>
      <w:r w:rsidRPr="00391763">
        <w:t>Mass Quote</w:t>
      </w:r>
      <w:r w:rsidRPr="00102C8D">
        <w:t xml:space="preserve"> Protection is triggered, and the remaining Quotes (in the underlying Contract) would be removed because of the trigger.  Orders are not removed as a result of the trigger.</w:t>
      </w:r>
    </w:p>
    <w:tbl>
      <w:tblPr>
        <w:tblW w:w="8026" w:type="dxa"/>
        <w:jc w:val="center"/>
        <w:tblLook w:val="04A0" w:firstRow="1" w:lastRow="0" w:firstColumn="1" w:lastColumn="0" w:noHBand="0" w:noVBand="1"/>
      </w:tblPr>
      <w:tblGrid>
        <w:gridCol w:w="1690"/>
        <w:gridCol w:w="1690"/>
        <w:gridCol w:w="1126"/>
        <w:gridCol w:w="1760"/>
        <w:gridCol w:w="1760"/>
      </w:tblGrid>
      <w:tr w:rsidR="00F74452" w:rsidRPr="00102C8D" w:rsidTr="00024ECA">
        <w:trPr>
          <w:trHeight w:val="320"/>
          <w:jc w:val="center"/>
        </w:trPr>
        <w:tc>
          <w:tcPr>
            <w:tcW w:w="1690"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Combo AB</w:t>
            </w:r>
          </w:p>
        </w:tc>
        <w:tc>
          <w:tcPr>
            <w:tcW w:w="1690"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p>
        </w:tc>
        <w:tc>
          <w:tcPr>
            <w:tcW w:w="1126"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6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6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r>
      <w:tr w:rsidR="00F74452" w:rsidRPr="00102C8D" w:rsidTr="00024ECA">
        <w:trPr>
          <w:trHeight w:val="320"/>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690"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jc w:val="center"/>
              <w:rPr>
                <w:rFonts w:ascii="Calibri" w:hAnsi="Calibri"/>
                <w:color w:val="000000"/>
              </w:rPr>
            </w:pPr>
          </w:p>
        </w:tc>
        <w:tc>
          <w:tcPr>
            <w:tcW w:w="1126"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6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6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r>
      <w:tr w:rsidR="00F74452" w:rsidRPr="00102C8D" w:rsidTr="00024ECA">
        <w:trPr>
          <w:trHeight w:val="320"/>
          <w:jc w:val="center"/>
        </w:trPr>
        <w:tc>
          <w:tcPr>
            <w:tcW w:w="169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69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126"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6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60"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r>
      <w:tr w:rsidR="00F74452" w:rsidRPr="00102C8D" w:rsidTr="00024ECA">
        <w:trPr>
          <w:trHeight w:val="320"/>
          <w:jc w:val="center"/>
        </w:trPr>
        <w:tc>
          <w:tcPr>
            <w:tcW w:w="1690"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Series A</w:t>
            </w:r>
          </w:p>
        </w:tc>
        <w:tc>
          <w:tcPr>
            <w:tcW w:w="1690"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 </w:t>
            </w:r>
          </w:p>
        </w:tc>
        <w:tc>
          <w:tcPr>
            <w:tcW w:w="1126"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60" w:type="dxa"/>
            <w:tcBorders>
              <w:top w:val="single" w:sz="4" w:space="0" w:color="auto"/>
              <w:left w:val="single" w:sz="4" w:space="0" w:color="auto"/>
              <w:bottom w:val="single" w:sz="4" w:space="0" w:color="auto"/>
              <w:right w:val="nil"/>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Series B</w:t>
            </w:r>
          </w:p>
        </w:tc>
        <w:tc>
          <w:tcPr>
            <w:tcW w:w="1760" w:type="dxa"/>
            <w:tcBorders>
              <w:top w:val="single" w:sz="4" w:space="0" w:color="auto"/>
              <w:left w:val="nil"/>
              <w:bottom w:val="single" w:sz="4" w:space="0" w:color="auto"/>
              <w:right w:val="single" w:sz="4" w:space="0" w:color="auto"/>
            </w:tcBorders>
            <w:shd w:val="clear" w:color="000000" w:fill="D9D9D9"/>
            <w:noWrap/>
            <w:vAlign w:val="bottom"/>
            <w:hideMark/>
          </w:tcPr>
          <w:p w:rsidR="00F74452" w:rsidRPr="00102C8D" w:rsidRDefault="00F74452" w:rsidP="00024ECA">
            <w:pPr>
              <w:spacing w:line="240" w:lineRule="auto"/>
              <w:jc w:val="center"/>
              <w:rPr>
                <w:rFonts w:ascii="Calibri" w:hAnsi="Calibri"/>
                <w:color w:val="000000"/>
              </w:rPr>
            </w:pPr>
            <w:r w:rsidRPr="00102C8D">
              <w:rPr>
                <w:rFonts w:ascii="Calibri" w:hAnsi="Calibri"/>
                <w:color w:val="000000"/>
              </w:rPr>
              <w:t> </w:t>
            </w:r>
          </w:p>
        </w:tc>
      </w:tr>
      <w:tr w:rsidR="00F74452" w:rsidRPr="00102C8D" w:rsidTr="00024ECA">
        <w:trPr>
          <w:trHeight w:val="320"/>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c>
          <w:tcPr>
            <w:tcW w:w="1690"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5@10 (PB)</w:t>
            </w:r>
          </w:p>
        </w:tc>
        <w:tc>
          <w:tcPr>
            <w:tcW w:w="1126" w:type="dxa"/>
            <w:tcBorders>
              <w:top w:val="nil"/>
              <w:left w:val="nil"/>
              <w:bottom w:val="nil"/>
              <w:right w:val="nil"/>
            </w:tcBorders>
            <w:shd w:val="clear" w:color="auto" w:fill="auto"/>
            <w:noWrap/>
            <w:vAlign w:val="bottom"/>
            <w:hideMark/>
          </w:tcPr>
          <w:p w:rsidR="00F74452" w:rsidRPr="00102C8D" w:rsidRDefault="00F74452" w:rsidP="00024ECA">
            <w:pPr>
              <w:spacing w:line="240" w:lineRule="auto"/>
              <w:rPr>
                <w:rFonts w:ascii="Calibri" w:hAnsi="Calibri"/>
                <w:color w:val="000000"/>
              </w:rPr>
            </w:pP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c>
          <w:tcPr>
            <w:tcW w:w="1760" w:type="dxa"/>
            <w:tcBorders>
              <w:top w:val="nil"/>
              <w:left w:val="nil"/>
              <w:bottom w:val="single" w:sz="4" w:space="0" w:color="auto"/>
              <w:right w:val="single" w:sz="4" w:space="0" w:color="auto"/>
            </w:tcBorders>
            <w:shd w:val="clear" w:color="auto" w:fill="auto"/>
            <w:noWrap/>
            <w:vAlign w:val="bottom"/>
            <w:hideMark/>
          </w:tcPr>
          <w:p w:rsidR="00F74452" w:rsidRPr="00102C8D" w:rsidRDefault="00F74452" w:rsidP="00024ECA">
            <w:pPr>
              <w:spacing w:line="240" w:lineRule="auto"/>
              <w:rPr>
                <w:rFonts w:ascii="Calibri" w:hAnsi="Calibri"/>
                <w:color w:val="000000"/>
              </w:rPr>
            </w:pPr>
            <w:r w:rsidRPr="00102C8D">
              <w:rPr>
                <w:rFonts w:ascii="Calibri" w:hAnsi="Calibri"/>
                <w:color w:val="000000"/>
              </w:rPr>
              <w:t> </w:t>
            </w:r>
          </w:p>
        </w:tc>
      </w:tr>
    </w:tbl>
    <w:p w:rsidR="00F74452" w:rsidRPr="00102C8D" w:rsidRDefault="00F74452" w:rsidP="00F74452"/>
    <w:p w:rsidR="00F74452" w:rsidRPr="00102C8D" w:rsidRDefault="00F74452" w:rsidP="00F74452"/>
    <w:p w:rsidR="00F74452" w:rsidRPr="00102C8D" w:rsidRDefault="00F74452" w:rsidP="00834A38">
      <w:pPr>
        <w:pStyle w:val="Heading1"/>
        <w:keepLines w:val="0"/>
        <w:numPr>
          <w:ilvl w:val="0"/>
          <w:numId w:val="9"/>
        </w:numPr>
        <w:spacing w:after="120" w:line="320" w:lineRule="atLeast"/>
      </w:pPr>
      <w:r>
        <w:t xml:space="preserve"> </w:t>
      </w:r>
      <w:bookmarkStart w:id="37" w:name="_Toc464457838"/>
      <w:r w:rsidRPr="00A91171">
        <w:rPr>
          <w:u w:val="single"/>
        </w:rPr>
        <w:t>SELF-MATCH PREVENTION (SMP</w:t>
      </w:r>
      <w:r w:rsidRPr="00CE5FF7">
        <w:t>)</w:t>
      </w:r>
      <w:bookmarkEnd w:id="37"/>
    </w:p>
    <w:p w:rsidR="00F74452" w:rsidRPr="00102C8D" w:rsidRDefault="00F74452" w:rsidP="00F74452"/>
    <w:p w:rsidR="00F74452" w:rsidRPr="00DF2269" w:rsidRDefault="00F74452" w:rsidP="00F74452">
      <w:pPr>
        <w:rPr>
          <w:u w:val="single"/>
        </w:rPr>
      </w:pPr>
      <w:r w:rsidRPr="00DF2269">
        <w:rPr>
          <w:u w:val="single"/>
        </w:rPr>
        <w:t>Self-Match Prevention</w:t>
      </w:r>
      <w:r>
        <w:rPr>
          <w:u w:val="single"/>
        </w:rPr>
        <w:t xml:space="preserve"> (SMP)</w:t>
      </w:r>
      <w:r w:rsidRPr="00DF2269">
        <w:rPr>
          <w:u w:val="single"/>
        </w:rPr>
        <w:t xml:space="preserve"> functionality prevents matching between counterparties affiliated with the same Participant or User.  A Participant is defined as a Clearing Futures Participant, Futures Participant, or Authorized Customer.  A User is defined as an Authorized Trader.  Futures Participants (for example, a Futures Commission Merchant “FCM”) may elect that Orders and/or Quotes not execute against Orders and/or Quotes on the opposite side of the market by its Authorized Traders.  A Futures Participant’s Authorized Customer (for example, an NFX Designated Market Maker “DMM” or Proprietary Trading Firm “Prop</w:t>
      </w:r>
      <w:r>
        <w:rPr>
          <w:u w:val="single"/>
        </w:rPr>
        <w:t xml:space="preserve"> Firms</w:t>
      </w:r>
      <w:r w:rsidRPr="00DF2269">
        <w:rPr>
          <w:u w:val="single"/>
        </w:rPr>
        <w:t xml:space="preserve">”) may elect that Orders and/or Quotes not be executed against Orders and/or Quotes </w:t>
      </w:r>
      <w:r w:rsidRPr="00DF2269">
        <w:rPr>
          <w:u w:val="single"/>
        </w:rPr>
        <w:lastRenderedPageBreak/>
        <w:t>entered on the opposite side of the market by its Authorized Traders.  An Order may be a Market Order, Limit Order, Market-to-Limit Order, Stop Order, Stop Limit Order, Iceberg Order, TAS Order, Combination Order, Implied Order or Linked Order.  Please note Self-Match Prevention is optional for Futures Participants and Authorized Customers.</w:t>
      </w:r>
      <w:r>
        <w:rPr>
          <w:u w:val="single"/>
        </w:rPr>
        <w:t xml:space="preserve">  </w:t>
      </w:r>
    </w:p>
    <w:p w:rsidR="00F74452" w:rsidRDefault="00F74452" w:rsidP="00F74452">
      <w:pPr>
        <w:rPr>
          <w:u w:val="single"/>
        </w:rPr>
      </w:pPr>
      <w:r w:rsidRPr="00811D6B">
        <w:rPr>
          <w:u w:val="single"/>
        </w:rPr>
        <w:t xml:space="preserve">FCMs can utilize SMP to prevent unauthorized or unintentional self-matches by its Authorized Traders.  For example, </w:t>
      </w:r>
      <w:r>
        <w:rPr>
          <w:u w:val="single"/>
        </w:rPr>
        <w:t xml:space="preserve">FCM </w:t>
      </w:r>
      <w:r w:rsidRPr="00811D6B">
        <w:rPr>
          <w:u w:val="single"/>
        </w:rPr>
        <w:t xml:space="preserve">Authorized Trader A enters a </w:t>
      </w:r>
      <w:r>
        <w:rPr>
          <w:u w:val="single"/>
        </w:rPr>
        <w:t xml:space="preserve">Limit </w:t>
      </w:r>
      <w:r w:rsidRPr="00811D6B">
        <w:rPr>
          <w:u w:val="single"/>
        </w:rPr>
        <w:t xml:space="preserve">Order into the NFX Trading System to pay $49.30 for 100 June Brent Crude contracts, and then immediately </w:t>
      </w:r>
      <w:r>
        <w:rPr>
          <w:u w:val="single"/>
        </w:rPr>
        <w:t>enters</w:t>
      </w:r>
      <w:r w:rsidRPr="00811D6B">
        <w:rPr>
          <w:u w:val="single"/>
        </w:rPr>
        <w:t xml:space="preserve"> a new </w:t>
      </w:r>
      <w:r>
        <w:rPr>
          <w:u w:val="single"/>
        </w:rPr>
        <w:t xml:space="preserve">Limit </w:t>
      </w:r>
      <w:r w:rsidRPr="00811D6B">
        <w:rPr>
          <w:u w:val="single"/>
        </w:rPr>
        <w:t>Order to Sell 27 Jun</w:t>
      </w:r>
      <w:r>
        <w:rPr>
          <w:u w:val="single"/>
        </w:rPr>
        <w:t>e Brent Crude contracts at $49.3</w:t>
      </w:r>
      <w:r w:rsidRPr="00811D6B">
        <w:rPr>
          <w:u w:val="single"/>
        </w:rPr>
        <w:t xml:space="preserve">0.  If SMP is not engaged, </w:t>
      </w:r>
      <w:r>
        <w:rPr>
          <w:u w:val="single"/>
        </w:rPr>
        <w:t xml:space="preserve">and if </w:t>
      </w:r>
      <w:r w:rsidRPr="00811D6B">
        <w:rPr>
          <w:u w:val="single"/>
        </w:rPr>
        <w:t xml:space="preserve">these </w:t>
      </w:r>
      <w:r>
        <w:rPr>
          <w:u w:val="single"/>
        </w:rPr>
        <w:t>respective Limit Orders are</w:t>
      </w:r>
      <w:r w:rsidRPr="00811D6B">
        <w:rPr>
          <w:u w:val="single"/>
        </w:rPr>
        <w:t xml:space="preserve"> “top-of-book”</w:t>
      </w:r>
      <w:r>
        <w:rPr>
          <w:u w:val="single"/>
        </w:rPr>
        <w:t>, the Limit</w:t>
      </w:r>
      <w:r w:rsidRPr="00811D6B">
        <w:rPr>
          <w:u w:val="single"/>
        </w:rPr>
        <w:t xml:space="preserve"> Orders w</w:t>
      </w:r>
      <w:r>
        <w:rPr>
          <w:u w:val="single"/>
        </w:rPr>
        <w:t>ill</w:t>
      </w:r>
      <w:r w:rsidRPr="00811D6B">
        <w:rPr>
          <w:u w:val="single"/>
        </w:rPr>
        <w:t xml:space="preserve"> match.</w:t>
      </w:r>
      <w:r>
        <w:rPr>
          <w:u w:val="single"/>
        </w:rPr>
        <w:t xml:space="preserve">  </w:t>
      </w:r>
      <w:r w:rsidRPr="00811D6B">
        <w:rPr>
          <w:u w:val="single"/>
        </w:rPr>
        <w:t xml:space="preserve">DMMs and Prop Firms can also utilize SMP to prevent unintentional self-matches by its Authorized Traders.  For example, DMM Alpha Authorized Trader Bill enters a </w:t>
      </w:r>
      <w:r>
        <w:rPr>
          <w:u w:val="single"/>
        </w:rPr>
        <w:t>Limit</w:t>
      </w:r>
      <w:r w:rsidRPr="00811D6B">
        <w:rPr>
          <w:u w:val="single"/>
        </w:rPr>
        <w:t xml:space="preserve"> Order</w:t>
      </w:r>
      <w:r>
        <w:rPr>
          <w:u w:val="single"/>
        </w:rPr>
        <w:t xml:space="preserve"> </w:t>
      </w:r>
      <w:r w:rsidRPr="00811D6B">
        <w:rPr>
          <w:u w:val="single"/>
        </w:rPr>
        <w:t xml:space="preserve">into the NFX Trading System </w:t>
      </w:r>
      <w:r>
        <w:rPr>
          <w:u w:val="single"/>
        </w:rPr>
        <w:t>improving the best bid</w:t>
      </w:r>
      <w:r w:rsidRPr="00811D6B">
        <w:rPr>
          <w:u w:val="single"/>
        </w:rPr>
        <w:t xml:space="preserve"> to pay $2.957 for 200 June Henry Hub Nat Gas contracts.  </w:t>
      </w:r>
      <w:r>
        <w:rPr>
          <w:u w:val="single"/>
        </w:rPr>
        <w:t>Affiliated</w:t>
      </w:r>
      <w:r w:rsidRPr="00811D6B">
        <w:rPr>
          <w:u w:val="single"/>
        </w:rPr>
        <w:t xml:space="preserve"> DMM Alpha Authorized Trader Jerry sees an opportunity and immediately enters a</w:t>
      </w:r>
      <w:r>
        <w:rPr>
          <w:u w:val="single"/>
        </w:rPr>
        <w:t xml:space="preserve"> Limit</w:t>
      </w:r>
      <w:r w:rsidRPr="00811D6B">
        <w:rPr>
          <w:u w:val="single"/>
        </w:rPr>
        <w:t xml:space="preserve"> Order to sell 150 June Henry Hub Nat Gas contracts at $2.952.  Since DMM Alpha elected SMP </w:t>
      </w:r>
      <w:r>
        <w:rPr>
          <w:u w:val="single"/>
        </w:rPr>
        <w:t>for</w:t>
      </w:r>
      <w:r w:rsidRPr="00811D6B">
        <w:rPr>
          <w:u w:val="single"/>
        </w:rPr>
        <w:t xml:space="preserve"> its Authorized Traders</w:t>
      </w:r>
      <w:r>
        <w:rPr>
          <w:u w:val="single"/>
        </w:rPr>
        <w:t xml:space="preserve"> grouped under a unique MPID</w:t>
      </w:r>
      <w:r w:rsidRPr="00811D6B">
        <w:rPr>
          <w:u w:val="single"/>
        </w:rPr>
        <w:t xml:space="preserve">, the two </w:t>
      </w:r>
      <w:r>
        <w:rPr>
          <w:u w:val="single"/>
        </w:rPr>
        <w:t xml:space="preserve">Limit </w:t>
      </w:r>
      <w:r w:rsidRPr="00811D6B">
        <w:rPr>
          <w:u w:val="single"/>
        </w:rPr>
        <w:t>Orders do not match.</w:t>
      </w:r>
    </w:p>
    <w:p w:rsidR="00F74452" w:rsidRDefault="00F74452" w:rsidP="00F74452">
      <w:pPr>
        <w:rPr>
          <w:u w:val="single"/>
        </w:rPr>
      </w:pPr>
      <w:r w:rsidRPr="00811D6B">
        <w:rPr>
          <w:strike/>
        </w:rPr>
        <w:t xml:space="preserve">As mentioned in the introduction, this optional </w:t>
      </w:r>
      <w:r w:rsidRPr="00811D6B">
        <w:rPr>
          <w:rFonts w:eastAsia="Arial"/>
          <w:strike/>
        </w:rPr>
        <w:t>functionality prevents</w:t>
      </w:r>
      <w:r w:rsidRPr="00811D6B">
        <w:rPr>
          <w:strike/>
        </w:rPr>
        <w:t xml:space="preserve"> matching between counterparties affiliated with the same Participant or User.</w:t>
      </w:r>
      <w:r w:rsidRPr="00811D6B">
        <w:t xml:space="preserve">  </w:t>
      </w:r>
      <w:r>
        <w:rPr>
          <w:u w:val="single"/>
        </w:rPr>
        <w:t>NFX offers two</w:t>
      </w:r>
      <w:r w:rsidRPr="00811D6B">
        <w:rPr>
          <w:u w:val="single"/>
        </w:rPr>
        <w:t xml:space="preserve"> </w:t>
      </w:r>
      <w:r>
        <w:rPr>
          <w:u w:val="single"/>
        </w:rPr>
        <w:t xml:space="preserve">electable </w:t>
      </w:r>
      <w:r w:rsidRPr="00811D6B">
        <w:rPr>
          <w:u w:val="single"/>
        </w:rPr>
        <w:t>versions of SMP functionality to allow Participants to choose how Orders and/or Quotes are handled in the event of a self-match situation</w:t>
      </w:r>
      <w:r>
        <w:rPr>
          <w:u w:val="single"/>
        </w:rPr>
        <w:t xml:space="preserve"> in both the single-leg Order Book and Combination Order Book</w:t>
      </w:r>
      <w:r w:rsidRPr="00811D6B">
        <w:rPr>
          <w:u w:val="single"/>
        </w:rPr>
        <w:t xml:space="preserve">: 1.) </w:t>
      </w:r>
      <w:r>
        <w:rPr>
          <w:u w:val="single"/>
        </w:rPr>
        <w:t>Cancel Newest, and 2.) Cancel Oldest</w:t>
      </w:r>
      <w:r w:rsidRPr="00811D6B">
        <w:rPr>
          <w:u w:val="single"/>
        </w:rPr>
        <w:t>.</w:t>
      </w:r>
      <w:r>
        <w:rPr>
          <w:u w:val="single"/>
        </w:rPr>
        <w:t xml:space="preserve">  However, neither of these SMP versions apply to Implied Orders.  Rather, t</w:t>
      </w:r>
      <w:r w:rsidRPr="00811D6B">
        <w:rPr>
          <w:u w:val="single"/>
        </w:rPr>
        <w:t>he Trading System will</w:t>
      </w:r>
      <w:r>
        <w:rPr>
          <w:u w:val="single"/>
        </w:rPr>
        <w:t xml:space="preserve"> use Skip Internal SMP to</w:t>
      </w:r>
      <w:r w:rsidRPr="00811D6B">
        <w:rPr>
          <w:u w:val="single"/>
        </w:rPr>
        <w:t xml:space="preserve"> </w:t>
      </w:r>
      <w:r>
        <w:rPr>
          <w:u w:val="single"/>
        </w:rPr>
        <w:t>evaluate</w:t>
      </w:r>
      <w:r w:rsidRPr="00811D6B">
        <w:rPr>
          <w:u w:val="single"/>
        </w:rPr>
        <w:t xml:space="preserve"> a</w:t>
      </w:r>
      <w:r>
        <w:rPr>
          <w:u w:val="single"/>
        </w:rPr>
        <w:t xml:space="preserve">ll </w:t>
      </w:r>
      <w:r w:rsidRPr="00811D6B">
        <w:rPr>
          <w:u w:val="single"/>
        </w:rPr>
        <w:t>Implied Order</w:t>
      </w:r>
      <w:r>
        <w:rPr>
          <w:u w:val="single"/>
        </w:rPr>
        <w:t xml:space="preserve">s (Implied Out or Implied In) generated by an Authorized traders grouped under a unique MPID.  </w:t>
      </w:r>
    </w:p>
    <w:p w:rsidR="00F74452" w:rsidRDefault="00F74452" w:rsidP="00F74452">
      <w:pPr>
        <w:rPr>
          <w:u w:val="single"/>
        </w:rPr>
      </w:pPr>
      <w:r w:rsidRPr="00811D6B">
        <w:rPr>
          <w:u w:val="single"/>
        </w:rPr>
        <w:t>An Implied Out Order derives its price and quantity from resting Combination Strategy Orders and the aggregate of the respective legs which are at the best price for a Contract.</w:t>
      </w:r>
      <w:r>
        <w:rPr>
          <w:u w:val="single"/>
        </w:rPr>
        <w:t xml:space="preserve">  </w:t>
      </w:r>
      <w:r w:rsidRPr="00811D6B">
        <w:rPr>
          <w:u w:val="single"/>
        </w:rPr>
        <w:t>An Implied In Order derives it</w:t>
      </w:r>
      <w:r>
        <w:rPr>
          <w:u w:val="single"/>
        </w:rPr>
        <w:t>s</w:t>
      </w:r>
      <w:r w:rsidRPr="00811D6B">
        <w:rPr>
          <w:u w:val="single"/>
        </w:rPr>
        <w:t xml:space="preserve"> price and quantity from the net differential from the best prices as between two contract months for a Contract.</w:t>
      </w:r>
      <w:r>
        <w:rPr>
          <w:u w:val="single"/>
        </w:rPr>
        <w:t xml:space="preserve">  If SMP is elected, Sk</w:t>
      </w:r>
      <w:r w:rsidRPr="0016427C">
        <w:rPr>
          <w:u w:val="single"/>
        </w:rPr>
        <w:t xml:space="preserve">ip Internal </w:t>
      </w:r>
      <w:r>
        <w:rPr>
          <w:u w:val="single"/>
        </w:rPr>
        <w:t xml:space="preserve">functionality will automatically apply to </w:t>
      </w:r>
      <w:r w:rsidRPr="0016427C">
        <w:rPr>
          <w:u w:val="single"/>
        </w:rPr>
        <w:t xml:space="preserve">Implied Orders.  The Trading System will aggregate all Implied Orders (only one Implied Order will be displayed to the market per leg Order Book and side, with all aggregated implied quantity at best price).  However, even if the </w:t>
      </w:r>
      <w:r>
        <w:rPr>
          <w:u w:val="single"/>
        </w:rPr>
        <w:t xml:space="preserve">Trading Algorithm is </w:t>
      </w:r>
      <w:r w:rsidRPr="004544D0">
        <w:rPr>
          <w:u w:val="single"/>
        </w:rPr>
        <w:t>price-time pr</w:t>
      </w:r>
      <w:r>
        <w:rPr>
          <w:u w:val="single"/>
        </w:rPr>
        <w:t>iority order execution</w:t>
      </w:r>
      <w:r w:rsidRPr="0016427C">
        <w:rPr>
          <w:u w:val="single"/>
        </w:rPr>
        <w:t>, the aggregated Implied Orders are always ranked last amongst the Orders on the best price, and the ranking of the aggregated Implied Orders does therefore not reflect how the Implied Order will be matched.</w:t>
      </w:r>
      <w:r>
        <w:rPr>
          <w:u w:val="single"/>
        </w:rPr>
        <w:t xml:space="preserve">  </w:t>
      </w:r>
      <w:r w:rsidRPr="00973985">
        <w:rPr>
          <w:u w:val="single"/>
        </w:rPr>
        <w:t>Further, an Implied Order may either be filled at or better than the implied price if contra side interest exists.  However, if the last Implied Order which is entered on the opposite side of the market is at a price which is at or better than the affiliated Authorized Trader's (grouped under a unique MPID) bid or offer, it will be ineligible to execute against that Order and will skip to the next resting Order.  (See NFX Reference Guide, Sections 1.2.6 and 1.2.6.1.10, Combination &amp; Implied Orders Technical Reference Document).</w:t>
      </w:r>
      <w:r>
        <w:rPr>
          <w:u w:val="single"/>
        </w:rPr>
        <w:t xml:space="preserve">  </w:t>
      </w:r>
    </w:p>
    <w:p w:rsidR="00F74452" w:rsidRPr="00441541" w:rsidRDefault="00F74452" w:rsidP="00F74452">
      <w:pPr>
        <w:rPr>
          <w:rFonts w:ascii="Times New Roman" w:hAnsi="Times New Roman"/>
          <w:strike/>
          <w:sz w:val="24"/>
        </w:rPr>
      </w:pPr>
      <w:r w:rsidRPr="00102C8D">
        <w:t xml:space="preserve">The Self-Match Prevention parameter is configurable at both the Participant and User level.  The functionality will prohibit matching between counterparties affiliated with the same Participant or User.  A </w:t>
      </w:r>
      <w:r w:rsidRPr="00467F8B">
        <w:t xml:space="preserve">Participant or User will not be able to match its Orders </w:t>
      </w:r>
      <w:r w:rsidRPr="00467F8B">
        <w:rPr>
          <w:u w:val="single"/>
        </w:rPr>
        <w:t>and/or Quotes</w:t>
      </w:r>
      <w:r w:rsidRPr="00467F8B">
        <w:t xml:space="preserve"> against its own Orders </w:t>
      </w:r>
      <w:r w:rsidRPr="00467F8B">
        <w:rPr>
          <w:u w:val="single"/>
        </w:rPr>
        <w:t>and/or Quotes</w:t>
      </w:r>
      <w:r w:rsidRPr="00467F8B">
        <w:t xml:space="preserve"> or Orders </w:t>
      </w:r>
      <w:r w:rsidRPr="00467F8B">
        <w:rPr>
          <w:u w:val="single"/>
        </w:rPr>
        <w:t>and/or Quotes</w:t>
      </w:r>
      <w:r w:rsidRPr="00467F8B">
        <w:t xml:space="preserve"> submitted by another Participant or User affiliated with a common Futures Participant or Authorized Trader.  </w:t>
      </w:r>
      <w:r w:rsidRPr="00467F8B">
        <w:rPr>
          <w:u w:val="single"/>
        </w:rPr>
        <w:t xml:space="preserve">Self-Match Prevention at the Participant level can be </w:t>
      </w:r>
      <w:r w:rsidRPr="00467F8B">
        <w:rPr>
          <w:u w:val="single"/>
        </w:rPr>
        <w:lastRenderedPageBreak/>
        <w:t xml:space="preserve">configured to override any setting at the User level.   Authorized Traders of a Futures Participant may be grouped together under a unique MPID for purposes of Self-Match Prevention.  </w:t>
      </w:r>
      <w:r w:rsidRPr="00467F8B">
        <w:t xml:space="preserve">  </w:t>
      </w:r>
      <w:r w:rsidRPr="00467F8B">
        <w:rPr>
          <w:strike/>
        </w:rPr>
        <w:t>If a residual quantity of an Order</w:t>
      </w:r>
      <w:r w:rsidRPr="00441541">
        <w:rPr>
          <w:strike/>
        </w:rPr>
        <w:t xml:space="preserve"> exists after matching, crossed or locks with Orders from the same or commonly affiliated Participant or User, the residual quantity of the Order will be rejected unless the only contra-side interest resting on the book is from its affiliated Authorized Traders, and the Order may interact with other resting Orders on the Order Book.  If Self-Match is engaged, the last Order which is entered on the opposite side of the market at a price which is at or better than the affiliated Futures Participant’s Authorized Trader’s bid or offer will be ineligible to execute against that Order.</w:t>
      </w:r>
      <w:r w:rsidRPr="00441541">
        <w:rPr>
          <w:rFonts w:ascii="Times New Roman" w:hAnsi="Times New Roman"/>
          <w:strike/>
          <w:sz w:val="24"/>
        </w:rPr>
        <w:t xml:space="preserve">  </w:t>
      </w:r>
    </w:p>
    <w:p w:rsidR="00F74452" w:rsidRPr="00102C8D" w:rsidRDefault="00F74452" w:rsidP="00F74452">
      <w:r w:rsidRPr="00441541">
        <w:rPr>
          <w:strike/>
        </w:rPr>
        <w:t>Self-Match Prevention at the Participant level can be configured to override any setting at the User level.   Authorized Traders of a Futures Participant may be grouped together for purposes of Self-Match Prevention.</w:t>
      </w:r>
    </w:p>
    <w:p w:rsidR="00F74452" w:rsidRPr="00441541" w:rsidRDefault="00F74452" w:rsidP="00F74452">
      <w:pPr>
        <w:rPr>
          <w:strike/>
        </w:rPr>
      </w:pPr>
      <w:r w:rsidRPr="00441541">
        <w:rPr>
          <w:strike/>
        </w:rPr>
        <w:t xml:space="preserve">This configuration will apply also for Combination Orders, both when matching against other Combination Orders and against single-leg Orders. </w:t>
      </w:r>
    </w:p>
    <w:p w:rsidR="00F74452" w:rsidRPr="00102C8D" w:rsidRDefault="00F74452" w:rsidP="00F74452">
      <w:r w:rsidRPr="00441541">
        <w:rPr>
          <w:strike/>
        </w:rPr>
        <w:t>For Mass Quotes, the configuration applies when matching against Orders.  Regardless of the internal crossing configuration, only one optimized Quote per Options series and Participant is allowed and may never cross with each other.</w:t>
      </w:r>
    </w:p>
    <w:p w:rsidR="00F74452" w:rsidRPr="00102C8D" w:rsidRDefault="00F74452" w:rsidP="00F74452">
      <w:r w:rsidRPr="00102C8D">
        <w:t xml:space="preserve">The </w:t>
      </w:r>
      <w:r w:rsidRPr="00467F8B">
        <w:t xml:space="preserve">configuration </w:t>
      </w:r>
      <w:r w:rsidRPr="00467F8B">
        <w:rPr>
          <w:u w:val="single"/>
        </w:rPr>
        <w:t xml:space="preserve">for all </w:t>
      </w:r>
      <w:r>
        <w:rPr>
          <w:u w:val="single"/>
        </w:rPr>
        <w:t xml:space="preserve">two electable </w:t>
      </w:r>
      <w:r w:rsidRPr="00467F8B">
        <w:rPr>
          <w:u w:val="single"/>
        </w:rPr>
        <w:t>SMP versions</w:t>
      </w:r>
      <w:r w:rsidRPr="00467F8B">
        <w:t xml:space="preserve"> applies in</w:t>
      </w:r>
      <w:r w:rsidRPr="00102C8D">
        <w:t xml:space="preserve"> continuous matching Trading Sessions only (the Open Session).  Therefore, two Orders submitted by the same Participant might match in an uncross (Pre-Open Session).  Additionally, off-Exchange trade reports (Block Trades and EFRPs for Futures) and Crossing Transactions are not subject to Self-Match Prevention functionality.</w:t>
      </w:r>
    </w:p>
    <w:p w:rsidR="00F74452" w:rsidRPr="00D00621" w:rsidRDefault="00F74452" w:rsidP="00834A38">
      <w:pPr>
        <w:pStyle w:val="Heading1"/>
        <w:keepLines w:val="0"/>
        <w:numPr>
          <w:ilvl w:val="0"/>
          <w:numId w:val="9"/>
        </w:numPr>
        <w:spacing w:after="120" w:line="320" w:lineRule="atLeast"/>
        <w:rPr>
          <w:u w:val="single"/>
        </w:rPr>
      </w:pPr>
      <w:r w:rsidRPr="00D00621">
        <w:rPr>
          <w:u w:val="single"/>
        </w:rPr>
        <w:t xml:space="preserve"> </w:t>
      </w:r>
      <w:bookmarkStart w:id="38" w:name="_Toc464457839"/>
      <w:r w:rsidR="00E7438C">
        <w:rPr>
          <w:u w:val="single"/>
        </w:rPr>
        <w:t>DESCRIPTIO</w:t>
      </w:r>
      <w:r w:rsidR="000E1C8F">
        <w:rPr>
          <w:u w:val="single"/>
        </w:rPr>
        <w:t>N</w:t>
      </w:r>
      <w:r w:rsidR="00E7438C">
        <w:rPr>
          <w:u w:val="single"/>
        </w:rPr>
        <w:t xml:space="preserve"> OF SMP</w:t>
      </w:r>
      <w:r>
        <w:rPr>
          <w:u w:val="single"/>
        </w:rPr>
        <w:t xml:space="preserve"> </w:t>
      </w:r>
      <w:r w:rsidR="00E7438C">
        <w:rPr>
          <w:u w:val="single"/>
        </w:rPr>
        <w:t>METHODS AND</w:t>
      </w:r>
      <w:r>
        <w:rPr>
          <w:u w:val="single"/>
        </w:rPr>
        <w:t xml:space="preserve"> </w:t>
      </w:r>
      <w:r w:rsidRPr="00D00621">
        <w:rPr>
          <w:u w:val="single"/>
        </w:rPr>
        <w:t>E</w:t>
      </w:r>
      <w:r w:rsidR="00E7438C">
        <w:rPr>
          <w:u w:val="single"/>
        </w:rPr>
        <w:t>XMPLES</w:t>
      </w:r>
      <w:bookmarkEnd w:id="38"/>
    </w:p>
    <w:p w:rsidR="00F74452" w:rsidRPr="00D00621" w:rsidRDefault="00F74452" w:rsidP="00834A38">
      <w:pPr>
        <w:pStyle w:val="Heading2"/>
        <w:keepLines w:val="0"/>
        <w:numPr>
          <w:ilvl w:val="1"/>
          <w:numId w:val="9"/>
        </w:numPr>
        <w:spacing w:line="320" w:lineRule="atLeast"/>
        <w:rPr>
          <w:rFonts w:asciiTheme="minorHAnsi" w:hAnsiTheme="minorHAnsi"/>
          <w:color w:val="4F81BD" w:themeColor="accent1"/>
          <w:u w:val="single"/>
        </w:rPr>
      </w:pPr>
      <w:bookmarkStart w:id="39" w:name="_Toc464457840"/>
      <w:r w:rsidRPr="00D00621">
        <w:rPr>
          <w:rFonts w:asciiTheme="minorHAnsi" w:hAnsiTheme="minorHAnsi"/>
          <w:color w:val="4F81BD" w:themeColor="accent1"/>
          <w:u w:val="single"/>
        </w:rPr>
        <w:t>CANCEL NEWEST</w:t>
      </w:r>
      <w:bookmarkEnd w:id="39"/>
    </w:p>
    <w:p w:rsidR="00F74452" w:rsidRPr="00D00621" w:rsidRDefault="00F74452" w:rsidP="00F74452">
      <w:pPr>
        <w:rPr>
          <w:u w:val="single"/>
        </w:rPr>
      </w:pPr>
      <w:r w:rsidRPr="00D00621">
        <w:rPr>
          <w:u w:val="single"/>
        </w:rPr>
        <w:t>The last incoming (newest) Order or Quote, regardless of size, which is entered on the opposite side of the market at a price which is at or better than the affiliated Futures Participant’s Authorized Trader’s (Unique MPID) resting bid or offer will be ineligible to execute against that Order or Quote and will be cancelled back to the Authorized Trader.  The Futures Participant’s Authorized Trader’s (Unique MPID) resting bid or offer will remain intact with no changes.</w:t>
      </w:r>
    </w:p>
    <w:p w:rsidR="00F74452" w:rsidRPr="00D00621" w:rsidRDefault="00F74452" w:rsidP="00F74452">
      <w:pPr>
        <w:rPr>
          <w:b/>
          <w:u w:val="single"/>
        </w:rPr>
      </w:pPr>
      <w:r w:rsidRPr="00D00621">
        <w:rPr>
          <w:b/>
          <w:u w:val="single"/>
        </w:rPr>
        <w:t>Example 1: Order and/or Quotes of Varied Size and Price</w:t>
      </w:r>
    </w:p>
    <w:p w:rsidR="00F74452" w:rsidRPr="00D00621" w:rsidRDefault="00F74452" w:rsidP="00F74452">
      <w:pPr>
        <w:rPr>
          <w:u w:val="single"/>
        </w:rPr>
      </w:pPr>
      <w:r w:rsidRPr="00D00621">
        <w:rPr>
          <w:u w:val="single"/>
        </w:rPr>
        <w:t>Assume that Participant has chosen CANCEL NEWEST SMP for Authorized Traders grouped under MPID1.</w:t>
      </w:r>
    </w:p>
    <w:p w:rsidR="00E7438C" w:rsidRDefault="00E7438C" w:rsidP="00F74452">
      <w:pPr>
        <w:rPr>
          <w:u w:val="single"/>
        </w:rPr>
      </w:pPr>
    </w:p>
    <w:p w:rsidR="00E7438C" w:rsidRDefault="00E7438C" w:rsidP="00F74452">
      <w:pPr>
        <w:rPr>
          <w:u w:val="single"/>
        </w:rPr>
      </w:pPr>
    </w:p>
    <w:p w:rsidR="00E7438C" w:rsidRDefault="00E7438C" w:rsidP="00F74452">
      <w:pPr>
        <w:rPr>
          <w:u w:val="single"/>
        </w:rPr>
      </w:pPr>
    </w:p>
    <w:p w:rsidR="00E7438C" w:rsidRDefault="00E7438C" w:rsidP="00F74452">
      <w:pPr>
        <w:rPr>
          <w:u w:val="single"/>
        </w:rPr>
      </w:pPr>
    </w:p>
    <w:p w:rsidR="00F74452" w:rsidRPr="00D00621" w:rsidRDefault="00F74452" w:rsidP="00F74452">
      <w:pPr>
        <w:rPr>
          <w:u w:val="single"/>
        </w:rPr>
      </w:pPr>
      <w:r w:rsidRPr="00D00621">
        <w:rPr>
          <w:u w:val="single"/>
        </w:rPr>
        <w:lastRenderedPageBreak/>
        <w:t>Assume that four individual Orders and one Quote are stored in the Order Book:</w:t>
      </w:r>
    </w:p>
    <w:p w:rsidR="00F74452" w:rsidRPr="00D00621" w:rsidRDefault="00F74452" w:rsidP="00F74452">
      <w:pPr>
        <w:rPr>
          <w:u w:val="single"/>
        </w:rPr>
      </w:pPr>
    </w:p>
    <w:tbl>
      <w:tblPr>
        <w:tblW w:w="7113" w:type="dxa"/>
        <w:jc w:val="center"/>
        <w:tblLook w:val="04A0" w:firstRow="1" w:lastRow="0" w:firstColumn="1" w:lastColumn="0" w:noHBand="0" w:noVBand="1"/>
      </w:tblPr>
      <w:tblGrid>
        <w:gridCol w:w="1732"/>
        <w:gridCol w:w="1088"/>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Offer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MPID4 Order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30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MPID99 Quote</w:t>
            </w:r>
          </w:p>
        </w:tc>
        <w:tc>
          <w:tcPr>
            <w:tcW w:w="1088"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25</w:t>
            </w:r>
          </w:p>
        </w:tc>
        <w:tc>
          <w:tcPr>
            <w:tcW w:w="830"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98.00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bl>
    <w:p w:rsidR="00F74452" w:rsidRPr="00D00621" w:rsidRDefault="00F74452" w:rsidP="00F74452">
      <w:pPr>
        <w:rPr>
          <w:u w:val="single"/>
        </w:rPr>
      </w:pPr>
    </w:p>
    <w:p w:rsidR="00F74452" w:rsidRPr="00D00621" w:rsidRDefault="00F74452" w:rsidP="00F74452">
      <w:pPr>
        <w:rPr>
          <w:u w:val="single"/>
        </w:rPr>
      </w:pPr>
      <w:r w:rsidRPr="00D00621">
        <w:rPr>
          <w:u w:val="single"/>
        </w:rPr>
        <w:t>Assume that Authorized Trader under MPID1 enters one Order: Sell 10@98.00.</w:t>
      </w:r>
    </w:p>
    <w:p w:rsidR="00F74452" w:rsidRPr="00D00621" w:rsidRDefault="00F74452" w:rsidP="00F74452">
      <w:pPr>
        <w:rPr>
          <w:u w:val="single"/>
        </w:rPr>
      </w:pPr>
      <w:r w:rsidRPr="00D00621">
        <w:rPr>
          <w:u w:val="single"/>
        </w:rPr>
        <w:t>The MPID1 Sell Order 10@98.00 is rejected against the resting top of book MPID1 Buy Order 20@100.00 and will be cancelled back to the Authorized Trader.</w:t>
      </w:r>
    </w:p>
    <w:p w:rsidR="00E15E1F" w:rsidRDefault="00E15E1F" w:rsidP="00F74452">
      <w:pPr>
        <w:rPr>
          <w:b/>
          <w:u w:val="single"/>
        </w:rPr>
      </w:pPr>
    </w:p>
    <w:p w:rsidR="00F74452" w:rsidRPr="00D00621" w:rsidRDefault="00F74452" w:rsidP="00F74452">
      <w:pPr>
        <w:rPr>
          <w:b/>
          <w:u w:val="single"/>
        </w:rPr>
      </w:pPr>
      <w:r w:rsidRPr="00D00621">
        <w:rPr>
          <w:b/>
          <w:u w:val="single"/>
        </w:rPr>
        <w:t>Example 2: Order and/or Quotes of Varied Size and Price</w:t>
      </w:r>
    </w:p>
    <w:p w:rsidR="00F74452" w:rsidRPr="00D00621" w:rsidRDefault="00F74452" w:rsidP="00F74452">
      <w:pPr>
        <w:rPr>
          <w:u w:val="single"/>
        </w:rPr>
      </w:pPr>
      <w:r w:rsidRPr="00D00621">
        <w:rPr>
          <w:u w:val="single"/>
        </w:rPr>
        <w:t>Assume that Participant has chosen CANCEL NEWEST SMP for Authorized Traders under MPID2.</w:t>
      </w:r>
    </w:p>
    <w:p w:rsidR="00F74452" w:rsidRPr="00D00621" w:rsidRDefault="00F74452" w:rsidP="00F74452">
      <w:pPr>
        <w:rPr>
          <w:u w:val="single"/>
        </w:rPr>
      </w:pPr>
      <w:r w:rsidRPr="00D00621">
        <w:rPr>
          <w:u w:val="single"/>
        </w:rPr>
        <w:t>Assume that four individual Orders and one Quote are stored in the Order Book:</w:t>
      </w:r>
    </w:p>
    <w:p w:rsidR="00F74452" w:rsidRPr="00D00621" w:rsidRDefault="00F74452" w:rsidP="00F74452">
      <w:pPr>
        <w:rPr>
          <w:u w:val="single"/>
        </w:rPr>
      </w:pPr>
    </w:p>
    <w:tbl>
      <w:tblPr>
        <w:tblW w:w="7113" w:type="dxa"/>
        <w:jc w:val="center"/>
        <w:tblLook w:val="04A0" w:firstRow="1" w:lastRow="0" w:firstColumn="1" w:lastColumn="0" w:noHBand="0" w:noVBand="1"/>
      </w:tblPr>
      <w:tblGrid>
        <w:gridCol w:w="1732"/>
        <w:gridCol w:w="1088"/>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Offer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MPID4 Order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30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MPID99 Quote</w:t>
            </w:r>
          </w:p>
        </w:tc>
        <w:tc>
          <w:tcPr>
            <w:tcW w:w="1088"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25</w:t>
            </w:r>
          </w:p>
        </w:tc>
        <w:tc>
          <w:tcPr>
            <w:tcW w:w="830"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98.00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bl>
    <w:p w:rsidR="00F74452" w:rsidRDefault="00F74452" w:rsidP="00F74452">
      <w:pPr>
        <w:rPr>
          <w:u w:val="single"/>
        </w:rPr>
      </w:pPr>
    </w:p>
    <w:p w:rsidR="00E7438C" w:rsidRPr="00D00621" w:rsidRDefault="00E7438C" w:rsidP="00F74452">
      <w:pPr>
        <w:rPr>
          <w:u w:val="single"/>
        </w:rPr>
      </w:pPr>
    </w:p>
    <w:p w:rsidR="00F74452" w:rsidRPr="00D00621" w:rsidRDefault="00F74452" w:rsidP="00F74452">
      <w:pPr>
        <w:rPr>
          <w:u w:val="single"/>
        </w:rPr>
      </w:pPr>
      <w:r w:rsidRPr="00D00621">
        <w:rPr>
          <w:u w:val="single"/>
        </w:rPr>
        <w:lastRenderedPageBreak/>
        <w:t>Assume that Authorized Trader under MPID2 enters one Order: Sell 70@98.00.</w:t>
      </w:r>
    </w:p>
    <w:p w:rsidR="00F74452" w:rsidRPr="00D00621" w:rsidRDefault="00F74452" w:rsidP="00F74452">
      <w:pPr>
        <w:rPr>
          <w:u w:val="single"/>
        </w:rPr>
      </w:pPr>
      <w:r w:rsidRPr="00D00621">
        <w:rPr>
          <w:u w:val="single"/>
        </w:rPr>
        <w:t xml:space="preserve">The incoming MPID2 Sell Order for 70@98.00 and the resting MPID1 top of book Buy Order for 20@100.00 are matched (total of 20 contracts).  The original incoming MPID2 Sell Order is now seeking to sell 50@98.00.  </w:t>
      </w:r>
    </w:p>
    <w:p w:rsidR="00F74452" w:rsidRPr="00D00621" w:rsidRDefault="00F74452" w:rsidP="00F74452">
      <w:pPr>
        <w:rPr>
          <w:u w:val="single"/>
        </w:rPr>
      </w:pPr>
      <w:r w:rsidRPr="00D00621">
        <w:rPr>
          <w:u w:val="single"/>
        </w:rPr>
        <w:t>When the original incoming MPID2 Sell Order is about to match against the resting second bid (MPID2 Order for 30@99.00), the remaining quantity to sell 50@98.00 is cancelled back to the Authorized Trader.</w:t>
      </w:r>
    </w:p>
    <w:p w:rsidR="00F74452" w:rsidRPr="00D00621" w:rsidRDefault="00F74452" w:rsidP="00F74452">
      <w:pPr>
        <w:rPr>
          <w:u w:val="single"/>
        </w:rPr>
      </w:pPr>
      <w:r w:rsidRPr="00D00621">
        <w:rPr>
          <w:u w:val="single"/>
        </w:rPr>
        <w:t>The Order Book, after SMP has been effected, looks like:</w:t>
      </w:r>
    </w:p>
    <w:p w:rsidR="00F74452" w:rsidRPr="00D00621" w:rsidRDefault="00F74452" w:rsidP="00F74452">
      <w:pPr>
        <w:rPr>
          <w:u w:val="single"/>
        </w:rPr>
      </w:pPr>
    </w:p>
    <w:tbl>
      <w:tblPr>
        <w:tblW w:w="7113" w:type="dxa"/>
        <w:jc w:val="center"/>
        <w:tblLook w:val="04A0" w:firstRow="1" w:lastRow="0" w:firstColumn="1" w:lastColumn="0" w:noHBand="0" w:noVBand="1"/>
      </w:tblPr>
      <w:tblGrid>
        <w:gridCol w:w="1732"/>
        <w:gridCol w:w="1088"/>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Offer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MPID4 Order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30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Quote</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MPID99 Quote</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25</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98.00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bl>
    <w:p w:rsidR="00F74452" w:rsidRPr="00D00621" w:rsidRDefault="00F74452" w:rsidP="00F74452">
      <w:pPr>
        <w:rPr>
          <w:u w:val="single"/>
        </w:rPr>
      </w:pPr>
    </w:p>
    <w:p w:rsidR="00F74452" w:rsidRPr="00D00621" w:rsidRDefault="00F74452" w:rsidP="00F74452">
      <w:pPr>
        <w:rPr>
          <w:b/>
          <w:u w:val="single"/>
        </w:rPr>
      </w:pPr>
      <w:r w:rsidRPr="00D00621">
        <w:rPr>
          <w:b/>
          <w:u w:val="single"/>
        </w:rPr>
        <w:t>Example 3: Market Order and/or Quotes of Varied Size and Price</w:t>
      </w:r>
    </w:p>
    <w:p w:rsidR="00F74452" w:rsidRPr="00D00621" w:rsidRDefault="00F74452" w:rsidP="00F74452">
      <w:pPr>
        <w:rPr>
          <w:u w:val="single"/>
        </w:rPr>
      </w:pPr>
      <w:r w:rsidRPr="00D00621">
        <w:rPr>
          <w:u w:val="single"/>
        </w:rPr>
        <w:t>Assume that Participant has chosen CANCEL NEWEST SMP for Authorized Traders under MPID1.</w:t>
      </w:r>
    </w:p>
    <w:p w:rsidR="00F74452" w:rsidRPr="00D00621" w:rsidRDefault="00F74452" w:rsidP="00F74452">
      <w:pPr>
        <w:rPr>
          <w:u w:val="single"/>
        </w:rPr>
      </w:pPr>
      <w:r w:rsidRPr="00D00621">
        <w:rPr>
          <w:u w:val="single"/>
        </w:rPr>
        <w:t>Assume that four individual Orders and one Quote are stored in the Order Book:</w:t>
      </w:r>
    </w:p>
    <w:p w:rsidR="00F74452" w:rsidRPr="00D00621" w:rsidRDefault="00F74452" w:rsidP="00F74452">
      <w:pPr>
        <w:rPr>
          <w:u w:val="single"/>
        </w:rPr>
      </w:pPr>
    </w:p>
    <w:tbl>
      <w:tblPr>
        <w:tblW w:w="7113" w:type="dxa"/>
        <w:jc w:val="center"/>
        <w:tblLook w:val="04A0" w:firstRow="1" w:lastRow="0" w:firstColumn="1" w:lastColumn="0" w:noHBand="0" w:noVBand="1"/>
      </w:tblPr>
      <w:tblGrid>
        <w:gridCol w:w="1732"/>
        <w:gridCol w:w="1088"/>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Offer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MPID4 Order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30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MPID99 Quote</w:t>
            </w:r>
          </w:p>
        </w:tc>
        <w:tc>
          <w:tcPr>
            <w:tcW w:w="1088"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25</w:t>
            </w:r>
          </w:p>
        </w:tc>
        <w:tc>
          <w:tcPr>
            <w:tcW w:w="830"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98.00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bl>
    <w:p w:rsidR="00F74452" w:rsidRPr="00D00621" w:rsidRDefault="00F74452" w:rsidP="00F74452">
      <w:pPr>
        <w:rPr>
          <w:u w:val="single"/>
        </w:rPr>
      </w:pPr>
    </w:p>
    <w:p w:rsidR="00F74452" w:rsidRPr="00D00621" w:rsidRDefault="00F74452" w:rsidP="00F74452">
      <w:pPr>
        <w:rPr>
          <w:u w:val="single"/>
        </w:rPr>
      </w:pPr>
      <w:r w:rsidRPr="00D00621">
        <w:rPr>
          <w:u w:val="single"/>
        </w:rPr>
        <w:lastRenderedPageBreak/>
        <w:t>Assume that Authorized Trader under MPID1 enters one Order: Sell 10@Market.</w:t>
      </w:r>
    </w:p>
    <w:p w:rsidR="00F74452" w:rsidRPr="00D00621" w:rsidRDefault="00F74452" w:rsidP="00F74452">
      <w:pPr>
        <w:rPr>
          <w:u w:val="single"/>
        </w:rPr>
      </w:pPr>
      <w:r w:rsidRPr="00D00621">
        <w:rPr>
          <w:u w:val="single"/>
        </w:rPr>
        <w:t>The MPID1 Sell Order 10@Market is rejected against the resting top of book MPID1 Buy Order 20@100.00 and will be cancelled back to the Authorized Trader.</w:t>
      </w:r>
    </w:p>
    <w:p w:rsidR="00F74452" w:rsidRPr="00D00621" w:rsidRDefault="00E7438C" w:rsidP="00834A38">
      <w:pPr>
        <w:pStyle w:val="Heading2"/>
        <w:keepLines w:val="0"/>
        <w:numPr>
          <w:ilvl w:val="1"/>
          <w:numId w:val="9"/>
        </w:numPr>
        <w:spacing w:line="320" w:lineRule="atLeast"/>
        <w:rPr>
          <w:rFonts w:asciiTheme="minorHAnsi" w:hAnsiTheme="minorHAnsi"/>
          <w:color w:val="4F81BD" w:themeColor="accent1"/>
          <w:u w:val="single"/>
        </w:rPr>
      </w:pPr>
      <w:bookmarkStart w:id="40" w:name="_Toc464457841"/>
      <w:r>
        <w:rPr>
          <w:rFonts w:asciiTheme="minorHAnsi" w:hAnsiTheme="minorHAnsi"/>
          <w:color w:val="4F81BD" w:themeColor="accent1"/>
          <w:u w:val="single"/>
        </w:rPr>
        <w:t xml:space="preserve">CANCEL </w:t>
      </w:r>
      <w:r w:rsidR="00F74452" w:rsidRPr="00D00621">
        <w:rPr>
          <w:rFonts w:asciiTheme="minorHAnsi" w:hAnsiTheme="minorHAnsi"/>
          <w:color w:val="4F81BD" w:themeColor="accent1"/>
          <w:u w:val="single"/>
        </w:rPr>
        <w:t>OLDEST</w:t>
      </w:r>
      <w:bookmarkEnd w:id="40"/>
    </w:p>
    <w:p w:rsidR="00F74452" w:rsidRPr="00D00621" w:rsidRDefault="00F74452" w:rsidP="00F74452">
      <w:pPr>
        <w:rPr>
          <w:u w:val="single"/>
        </w:rPr>
      </w:pPr>
      <w:r w:rsidRPr="00D00621">
        <w:rPr>
          <w:u w:val="single"/>
        </w:rPr>
        <w:t>The last (incoming) Order or Quote, regardless of size, which is entered on the opposite side of the market at a price which is at or better than the affiliated Futures Participant’s Authorized Trader’s (Unique MPID) resting bid or offer will be ineligible to execute against that Order or Quote, but will remain intact with no changes</w:t>
      </w:r>
      <w:r>
        <w:rPr>
          <w:u w:val="single"/>
        </w:rPr>
        <w:t>.</w:t>
      </w:r>
      <w:r w:rsidRPr="00D00621">
        <w:rPr>
          <w:u w:val="single"/>
        </w:rPr>
        <w:t xml:space="preserve">  The Futures Participant’s Authorized Trader’s (Unique MPID) resting bid or offer (oldest) will be cancelled back to the Authorized Trader.</w:t>
      </w:r>
    </w:p>
    <w:p w:rsidR="00E7438C" w:rsidRDefault="00E7438C" w:rsidP="00F74452">
      <w:pPr>
        <w:rPr>
          <w:b/>
          <w:u w:val="single"/>
        </w:rPr>
      </w:pPr>
    </w:p>
    <w:p w:rsidR="00F74452" w:rsidRPr="00D00621" w:rsidRDefault="00F74452" w:rsidP="00F74452">
      <w:pPr>
        <w:rPr>
          <w:b/>
          <w:u w:val="single"/>
        </w:rPr>
      </w:pPr>
      <w:r w:rsidRPr="00D00621">
        <w:rPr>
          <w:b/>
          <w:u w:val="single"/>
        </w:rPr>
        <w:t>Example 1: Order and/or Quotes of Varied Size and Price</w:t>
      </w:r>
    </w:p>
    <w:p w:rsidR="00F74452" w:rsidRPr="00D00621" w:rsidRDefault="00F74452" w:rsidP="00F74452">
      <w:pPr>
        <w:rPr>
          <w:u w:val="single"/>
        </w:rPr>
      </w:pPr>
      <w:r w:rsidRPr="00D00621">
        <w:rPr>
          <w:u w:val="single"/>
        </w:rPr>
        <w:t>Assume that Participant has chosen CANCEL OLDEST SMP for Authorized Traders under MPID1.</w:t>
      </w:r>
    </w:p>
    <w:p w:rsidR="00F74452" w:rsidRPr="00D00621" w:rsidRDefault="00F74452" w:rsidP="00F74452">
      <w:pPr>
        <w:rPr>
          <w:u w:val="single"/>
        </w:rPr>
      </w:pPr>
      <w:r w:rsidRPr="00D00621">
        <w:rPr>
          <w:u w:val="single"/>
        </w:rPr>
        <w:t>Assume that four individual Orders and one Quote are stored in the Order Book:</w:t>
      </w:r>
    </w:p>
    <w:p w:rsidR="00F74452" w:rsidRPr="00D00621" w:rsidRDefault="00F74452" w:rsidP="00F74452">
      <w:pPr>
        <w:rPr>
          <w:u w:val="single"/>
        </w:rPr>
      </w:pPr>
    </w:p>
    <w:tbl>
      <w:tblPr>
        <w:tblW w:w="7113" w:type="dxa"/>
        <w:jc w:val="center"/>
        <w:tblLook w:val="04A0" w:firstRow="1" w:lastRow="0" w:firstColumn="1" w:lastColumn="0" w:noHBand="0" w:noVBand="1"/>
      </w:tblPr>
      <w:tblGrid>
        <w:gridCol w:w="1732"/>
        <w:gridCol w:w="1088"/>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Offer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MPID4 Order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30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MPID99 Quote</w:t>
            </w:r>
          </w:p>
        </w:tc>
        <w:tc>
          <w:tcPr>
            <w:tcW w:w="1088"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25</w:t>
            </w:r>
          </w:p>
        </w:tc>
        <w:tc>
          <w:tcPr>
            <w:tcW w:w="830"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98.00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bl>
    <w:p w:rsidR="00F74452" w:rsidRPr="00D00621" w:rsidRDefault="00F74452" w:rsidP="00F74452">
      <w:pPr>
        <w:rPr>
          <w:u w:val="single"/>
        </w:rPr>
      </w:pPr>
    </w:p>
    <w:p w:rsidR="00F74452" w:rsidRPr="00D00621" w:rsidRDefault="00F74452" w:rsidP="00F74452">
      <w:pPr>
        <w:rPr>
          <w:u w:val="single"/>
        </w:rPr>
      </w:pPr>
      <w:r w:rsidRPr="00D00621">
        <w:rPr>
          <w:u w:val="single"/>
        </w:rPr>
        <w:t>Assume that Authorized Trader under MPID1 enters one Order: Sell 10@98.00.</w:t>
      </w:r>
    </w:p>
    <w:p w:rsidR="00F74452" w:rsidRPr="00D00621" w:rsidRDefault="00F74452" w:rsidP="00F74452">
      <w:pPr>
        <w:rPr>
          <w:u w:val="single"/>
        </w:rPr>
      </w:pPr>
      <w:r w:rsidRPr="00D00621">
        <w:rPr>
          <w:u w:val="single"/>
        </w:rPr>
        <w:t>The resting MPID1 Buy Order 20@100.00 will be cancelled back to the Authorized Trader.</w:t>
      </w:r>
    </w:p>
    <w:p w:rsidR="00F74452" w:rsidRPr="00D00621" w:rsidRDefault="00F74452" w:rsidP="00F74452">
      <w:pPr>
        <w:rPr>
          <w:u w:val="single"/>
        </w:rPr>
      </w:pPr>
      <w:r w:rsidRPr="00D00621">
        <w:rPr>
          <w:u w:val="single"/>
        </w:rPr>
        <w:t>The incoming MPID1 Sell Order 10@98.00 and resting MPID2 Buy Order 30@99.00</w:t>
      </w:r>
      <w:r w:rsidRPr="00D00621">
        <w:rPr>
          <w:b/>
          <w:u w:val="single"/>
        </w:rPr>
        <w:t xml:space="preserve"> </w:t>
      </w:r>
      <w:r w:rsidRPr="00D00621">
        <w:rPr>
          <w:u w:val="single"/>
        </w:rPr>
        <w:t>are matched (total of 10 contracts).</w:t>
      </w:r>
    </w:p>
    <w:p w:rsidR="00E7438C" w:rsidRDefault="00E7438C" w:rsidP="00F74452">
      <w:pPr>
        <w:rPr>
          <w:u w:val="single"/>
        </w:rPr>
      </w:pPr>
    </w:p>
    <w:p w:rsidR="00E7438C" w:rsidRDefault="00E7438C" w:rsidP="00F74452">
      <w:pPr>
        <w:rPr>
          <w:u w:val="single"/>
        </w:rPr>
      </w:pPr>
    </w:p>
    <w:p w:rsidR="00E7438C" w:rsidRDefault="00E7438C" w:rsidP="00F74452">
      <w:pPr>
        <w:rPr>
          <w:u w:val="single"/>
        </w:rPr>
      </w:pPr>
    </w:p>
    <w:p w:rsidR="00F74452" w:rsidRPr="00D00621" w:rsidRDefault="00F74452" w:rsidP="00F74452">
      <w:pPr>
        <w:rPr>
          <w:u w:val="single"/>
        </w:rPr>
      </w:pPr>
      <w:r w:rsidRPr="00D00621">
        <w:rPr>
          <w:u w:val="single"/>
        </w:rPr>
        <w:lastRenderedPageBreak/>
        <w:t>The Order Book, after SMP has been effected, looks like:</w:t>
      </w:r>
    </w:p>
    <w:p w:rsidR="00F74452" w:rsidRPr="00D00621" w:rsidRDefault="00F74452" w:rsidP="00F74452">
      <w:pPr>
        <w:rPr>
          <w:u w:val="single"/>
        </w:rPr>
      </w:pPr>
    </w:p>
    <w:tbl>
      <w:tblPr>
        <w:tblW w:w="7113" w:type="dxa"/>
        <w:jc w:val="center"/>
        <w:tblLook w:val="04A0" w:firstRow="1" w:lastRow="0" w:firstColumn="1" w:lastColumn="0" w:noHBand="0" w:noVBand="1"/>
      </w:tblPr>
      <w:tblGrid>
        <w:gridCol w:w="1732"/>
        <w:gridCol w:w="1088"/>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Offer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MPID4 Order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Quote</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MPID99 Quote</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25</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98.00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bl>
    <w:p w:rsidR="00F74452" w:rsidRPr="00D00621" w:rsidRDefault="00F74452" w:rsidP="00F74452">
      <w:pPr>
        <w:rPr>
          <w:u w:val="single"/>
        </w:rPr>
      </w:pPr>
    </w:p>
    <w:p w:rsidR="00F74452" w:rsidRPr="00D00621" w:rsidRDefault="00F74452" w:rsidP="00F74452">
      <w:pPr>
        <w:rPr>
          <w:u w:val="single"/>
        </w:rPr>
      </w:pPr>
    </w:p>
    <w:p w:rsidR="00F74452" w:rsidRPr="00D00621" w:rsidRDefault="00F74452" w:rsidP="00F74452">
      <w:pPr>
        <w:rPr>
          <w:b/>
          <w:u w:val="single"/>
        </w:rPr>
      </w:pPr>
      <w:r w:rsidRPr="00D00621">
        <w:rPr>
          <w:b/>
          <w:u w:val="single"/>
        </w:rPr>
        <w:t>Example 2: Order and/or Quotes of Varied Size and Price</w:t>
      </w:r>
    </w:p>
    <w:p w:rsidR="00F74452" w:rsidRPr="00D00621" w:rsidRDefault="00F74452" w:rsidP="00F74452">
      <w:pPr>
        <w:rPr>
          <w:u w:val="single"/>
        </w:rPr>
      </w:pPr>
      <w:r w:rsidRPr="00D00621">
        <w:rPr>
          <w:u w:val="single"/>
        </w:rPr>
        <w:t>Assume that Participant has chosen CANCEL OLDEST SMP for Authorized Traders under MPID1.</w:t>
      </w:r>
    </w:p>
    <w:p w:rsidR="00F74452" w:rsidRPr="00D00621" w:rsidRDefault="00F74452" w:rsidP="00F74452">
      <w:pPr>
        <w:rPr>
          <w:u w:val="single"/>
        </w:rPr>
      </w:pPr>
      <w:r w:rsidRPr="00D00621">
        <w:rPr>
          <w:u w:val="single"/>
        </w:rPr>
        <w:t>Assume that four individual Orders and one Quote are stored in the Order Book:</w:t>
      </w:r>
    </w:p>
    <w:tbl>
      <w:tblPr>
        <w:tblW w:w="7113" w:type="dxa"/>
        <w:jc w:val="center"/>
        <w:tblLook w:val="04A0" w:firstRow="1" w:lastRow="0" w:firstColumn="1" w:lastColumn="0" w:noHBand="0" w:noVBand="1"/>
      </w:tblPr>
      <w:tblGrid>
        <w:gridCol w:w="1732"/>
        <w:gridCol w:w="1088"/>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Offer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MPID4 Order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MPID2 Order</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30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r w:rsidRPr="00D00621">
              <w:rPr>
                <w:rFonts w:ascii="Calibri" w:hAnsi="Calibri"/>
                <w:u w:val="single"/>
              </w:rPr>
              <w:t>99.00</w:t>
            </w: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MPID99 Quote</w:t>
            </w:r>
          </w:p>
        </w:tc>
        <w:tc>
          <w:tcPr>
            <w:tcW w:w="1088"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25</w:t>
            </w:r>
          </w:p>
        </w:tc>
        <w:tc>
          <w:tcPr>
            <w:tcW w:w="830"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98.00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p>
        </w:tc>
      </w:tr>
    </w:tbl>
    <w:p w:rsidR="00F74452" w:rsidRPr="00D00621" w:rsidRDefault="00F74452" w:rsidP="00F74452">
      <w:pPr>
        <w:rPr>
          <w:u w:val="single"/>
        </w:rPr>
      </w:pPr>
    </w:p>
    <w:p w:rsidR="00F74452" w:rsidRPr="00D00621" w:rsidRDefault="00F74452" w:rsidP="00F74452">
      <w:pPr>
        <w:rPr>
          <w:u w:val="single"/>
        </w:rPr>
      </w:pPr>
      <w:r w:rsidRPr="00D00621">
        <w:rPr>
          <w:u w:val="single"/>
        </w:rPr>
        <w:t>Assume that Authorized Trader under MPID1 enters one Order: Sell 60@98.00.</w:t>
      </w:r>
    </w:p>
    <w:p w:rsidR="00F74452" w:rsidRPr="00D00621" w:rsidRDefault="00F74452" w:rsidP="00F74452">
      <w:pPr>
        <w:rPr>
          <w:u w:val="single"/>
        </w:rPr>
      </w:pPr>
      <w:r w:rsidRPr="00D00621">
        <w:rPr>
          <w:u w:val="single"/>
        </w:rPr>
        <w:t>The resting MPID1 Buy Order 20@100.00 will be cancelled back to the Authorized Trader.</w:t>
      </w:r>
    </w:p>
    <w:p w:rsidR="00F74452" w:rsidRPr="00D00621" w:rsidRDefault="00F74452" w:rsidP="00F74452">
      <w:pPr>
        <w:rPr>
          <w:u w:val="single"/>
        </w:rPr>
      </w:pPr>
      <w:r w:rsidRPr="00D00621">
        <w:rPr>
          <w:u w:val="single"/>
        </w:rPr>
        <w:t>The incoming MPID1 Sell Order 60@98.00 matches with the resting MPID2 Order 30@99.00 (total of 30 contracts).</w:t>
      </w:r>
    </w:p>
    <w:p w:rsidR="00F74452" w:rsidRPr="00D00621" w:rsidRDefault="00F74452" w:rsidP="00F74452">
      <w:pPr>
        <w:rPr>
          <w:u w:val="single"/>
        </w:rPr>
      </w:pPr>
      <w:r w:rsidRPr="00D00621">
        <w:rPr>
          <w:u w:val="single"/>
        </w:rPr>
        <w:t xml:space="preserve">The incoming MPID1 Sell Order is now seeking to sell 30@98.00.  </w:t>
      </w:r>
    </w:p>
    <w:p w:rsidR="00F74452" w:rsidRPr="00D00621" w:rsidRDefault="00F74452" w:rsidP="00F74452">
      <w:pPr>
        <w:rPr>
          <w:u w:val="single"/>
        </w:rPr>
      </w:pPr>
    </w:p>
    <w:p w:rsidR="00F74452" w:rsidRPr="00D00621" w:rsidRDefault="00F74452" w:rsidP="00F74452">
      <w:pPr>
        <w:rPr>
          <w:u w:val="single"/>
        </w:rPr>
      </w:pPr>
      <w:r w:rsidRPr="00D00621">
        <w:rPr>
          <w:u w:val="single"/>
        </w:rPr>
        <w:lastRenderedPageBreak/>
        <w:t>The resting MPID1 Buy Order 10@99.00 will be cancelled back to the Authorized Trader.</w:t>
      </w:r>
    </w:p>
    <w:p w:rsidR="00F74452" w:rsidRPr="00D00621" w:rsidRDefault="00F74452" w:rsidP="00F74452">
      <w:pPr>
        <w:rPr>
          <w:u w:val="single"/>
        </w:rPr>
      </w:pPr>
      <w:r w:rsidRPr="00D00621">
        <w:rPr>
          <w:u w:val="single"/>
        </w:rPr>
        <w:t>The remainder of the incoming MPID1 Sell Order 30@98.00 matches with resting MPID99 Quote 25@98.00 (total of 25 contracts).</w:t>
      </w:r>
    </w:p>
    <w:p w:rsidR="00F74452" w:rsidRPr="00D00621" w:rsidRDefault="00F74452" w:rsidP="00F74452">
      <w:pPr>
        <w:rPr>
          <w:u w:val="single"/>
        </w:rPr>
      </w:pPr>
      <w:r w:rsidRPr="00D00621">
        <w:rPr>
          <w:u w:val="single"/>
        </w:rPr>
        <w:t>The remaining 5 contracts of the incoming MPID 1 Sell Order is placed in the Order Book.</w:t>
      </w:r>
    </w:p>
    <w:p w:rsidR="00F74452" w:rsidRPr="00D00621" w:rsidRDefault="00F74452" w:rsidP="00F74452">
      <w:pPr>
        <w:rPr>
          <w:u w:val="single"/>
        </w:rPr>
      </w:pPr>
      <w:r w:rsidRPr="00D00621">
        <w:rPr>
          <w:u w:val="single"/>
        </w:rPr>
        <w:t>The Order Book, after SMP has been effected, looks like:</w:t>
      </w:r>
    </w:p>
    <w:tbl>
      <w:tblPr>
        <w:tblW w:w="7113" w:type="dxa"/>
        <w:jc w:val="center"/>
        <w:tblLook w:val="04A0" w:firstRow="1" w:lastRow="0" w:firstColumn="1" w:lastColumn="0" w:noHBand="0" w:noVBand="1"/>
      </w:tblPr>
      <w:tblGrid>
        <w:gridCol w:w="1732"/>
        <w:gridCol w:w="1088"/>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Offer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c>
          <w:tcPr>
            <w:tcW w:w="108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u w:val="single"/>
              </w:rPr>
            </w:pPr>
            <w:r w:rsidRPr="00D00621">
              <w:rPr>
                <w:rFonts w:ascii="Calibri" w:hAnsi="Calibri"/>
                <w:u w:val="single"/>
              </w:rPr>
              <w:t>Order No</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MPID4 Order</w:t>
            </w:r>
          </w:p>
        </w:tc>
      </w:tr>
      <w:tr w:rsidR="00F74452" w:rsidRPr="00D00621" w:rsidTr="00024ECA">
        <w:trPr>
          <w:trHeight w:val="300"/>
          <w:jc w:val="center"/>
        </w:trPr>
        <w:tc>
          <w:tcPr>
            <w:tcW w:w="1732"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98.00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5</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r w:rsidRPr="00D00621">
              <w:rPr>
                <w:rFonts w:ascii="Calibri" w:hAnsi="Calibri"/>
                <w:u w:val="single"/>
              </w:rPr>
              <w:t>MPID1 Order</w:t>
            </w: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r w:rsidR="00F74452" w:rsidRPr="00D00621" w:rsidTr="00024ECA">
        <w:trPr>
          <w:trHeight w:val="232"/>
          <w:jc w:val="center"/>
        </w:trPr>
        <w:tc>
          <w:tcPr>
            <w:tcW w:w="1732" w:type="dxa"/>
            <w:tcBorders>
              <w:top w:val="nil"/>
              <w:left w:val="single" w:sz="4" w:space="0" w:color="auto"/>
              <w:bottom w:val="single" w:sz="4" w:space="0" w:color="auto"/>
              <w:right w:val="single" w:sz="4" w:space="0" w:color="auto"/>
            </w:tcBorders>
            <w:shd w:val="clear" w:color="auto" w:fill="auto"/>
            <w:vAlign w:val="bottom"/>
          </w:tcPr>
          <w:p w:rsidR="00F74452" w:rsidRPr="00D00621" w:rsidRDefault="00F74452" w:rsidP="00024ECA">
            <w:pPr>
              <w:spacing w:line="240" w:lineRule="auto"/>
              <w:jc w:val="center"/>
              <w:rPr>
                <w:rFonts w:ascii="Calibri" w:hAnsi="Calibri"/>
                <w:u w:val="single"/>
              </w:rPr>
            </w:pPr>
          </w:p>
        </w:tc>
        <w:tc>
          <w:tcPr>
            <w:tcW w:w="1088"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tcPr>
          <w:p w:rsidR="00F74452" w:rsidRPr="00D00621" w:rsidRDefault="00F74452" w:rsidP="00024ECA">
            <w:pPr>
              <w:spacing w:line="240" w:lineRule="auto"/>
              <w:jc w:val="center"/>
              <w:rPr>
                <w:rFonts w:ascii="Calibri" w:hAnsi="Calibri"/>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u w:val="single"/>
              </w:rPr>
            </w:pPr>
          </w:p>
        </w:tc>
      </w:tr>
    </w:tbl>
    <w:p w:rsidR="00F74452" w:rsidRPr="00D00621" w:rsidRDefault="00F74452" w:rsidP="00F74452">
      <w:pPr>
        <w:rPr>
          <w:u w:val="single"/>
        </w:rPr>
      </w:pPr>
    </w:p>
    <w:p w:rsidR="00F74452" w:rsidRPr="00D00621" w:rsidRDefault="00F74452" w:rsidP="00F74452">
      <w:pPr>
        <w:rPr>
          <w:u w:val="single"/>
        </w:rPr>
      </w:pPr>
    </w:p>
    <w:p w:rsidR="00F74452" w:rsidRPr="00D00621" w:rsidRDefault="00E7438C" w:rsidP="00834A38">
      <w:pPr>
        <w:pStyle w:val="Heading2"/>
        <w:keepLines w:val="0"/>
        <w:numPr>
          <w:ilvl w:val="1"/>
          <w:numId w:val="9"/>
        </w:numPr>
        <w:spacing w:line="320" w:lineRule="atLeast"/>
        <w:rPr>
          <w:rFonts w:asciiTheme="minorHAnsi" w:hAnsiTheme="minorHAnsi"/>
          <w:color w:val="4F81BD" w:themeColor="accent1"/>
          <w:u w:val="single"/>
        </w:rPr>
      </w:pPr>
      <w:bookmarkStart w:id="41" w:name="_Toc464457842"/>
      <w:r>
        <w:rPr>
          <w:rFonts w:asciiTheme="minorHAnsi" w:hAnsiTheme="minorHAnsi"/>
          <w:color w:val="4F81BD" w:themeColor="accent1"/>
          <w:u w:val="single"/>
        </w:rPr>
        <w:t xml:space="preserve">SKIP </w:t>
      </w:r>
      <w:bookmarkEnd w:id="41"/>
      <w:r>
        <w:rPr>
          <w:rFonts w:asciiTheme="minorHAnsi" w:hAnsiTheme="minorHAnsi"/>
          <w:color w:val="4F81BD" w:themeColor="accent1"/>
          <w:u w:val="single"/>
        </w:rPr>
        <w:t>INTERNAL</w:t>
      </w:r>
    </w:p>
    <w:p w:rsidR="00F74452" w:rsidRPr="00F31145" w:rsidRDefault="00F74452" w:rsidP="00F74452">
      <w:pPr>
        <w:rPr>
          <w:u w:val="single"/>
        </w:rPr>
      </w:pPr>
      <w:r w:rsidRPr="00D00621">
        <w:rPr>
          <w:u w:val="single"/>
        </w:rPr>
        <w:t xml:space="preserve">The Trading System uses Skip Internal SMP to evaluate all Implied Orders (Implied Out or Implied In) generated by an Authorized trader under a unique MPID.  </w:t>
      </w:r>
      <w:r>
        <w:rPr>
          <w:u w:val="single"/>
        </w:rPr>
        <w:t xml:space="preserve">If SMP is elected, </w:t>
      </w:r>
      <w:r w:rsidRPr="00D00621">
        <w:rPr>
          <w:u w:val="single"/>
        </w:rPr>
        <w:t xml:space="preserve">Skip Internal SMP </w:t>
      </w:r>
      <w:r>
        <w:rPr>
          <w:u w:val="single"/>
        </w:rPr>
        <w:t xml:space="preserve">functionality will apply to all </w:t>
      </w:r>
      <w:r w:rsidRPr="00D00621">
        <w:rPr>
          <w:u w:val="single"/>
        </w:rPr>
        <w:t>Implied Orders.</w:t>
      </w:r>
      <w:r>
        <w:rPr>
          <w:u w:val="single"/>
        </w:rPr>
        <w:t xml:space="preserve">  This means that an</w:t>
      </w:r>
      <w:r w:rsidRPr="00F31145">
        <w:rPr>
          <w:u w:val="single"/>
        </w:rPr>
        <w:t xml:space="preserve"> Order or Quote that would result in a self-match will not be removed.  Instead, the Implied Order will skip to the next marketable Order or Quote in the Order Book that will not result in a self-match.  In the event there is no other marketable Order or Quote in the Order Book, the incoming Order or Quote will be removed, except Incoming Implied Orders may be generated in the Order Book at one minimum trading increment away from the best bid or offer.</w:t>
      </w:r>
    </w:p>
    <w:p w:rsidR="00F74452" w:rsidRPr="00D00621" w:rsidRDefault="00F74452" w:rsidP="00F74452">
      <w:pPr>
        <w:rPr>
          <w:u w:val="single"/>
        </w:rPr>
      </w:pPr>
      <w:r w:rsidRPr="00D00621">
        <w:rPr>
          <w:u w:val="single"/>
        </w:rPr>
        <w:t xml:space="preserve">The Trading System will aggregate all Implied Orders (only one Implied Order will be displayed to the market per leg Order Book and side, with all aggregated implied quantity at best price).  However, if the Trading Algorithm is price-time priority order execution, the aggregated Implied Orders are always ranked last amongst the Orders on the best price, and the ranking of the aggregated Implied Orders does therefore not reflect how the Implied Order will be matched.  </w:t>
      </w:r>
    </w:p>
    <w:p w:rsidR="00F74452" w:rsidRPr="00D00621" w:rsidRDefault="00F74452" w:rsidP="00F74452">
      <w:pPr>
        <w:rPr>
          <w:u w:val="single"/>
        </w:rPr>
      </w:pPr>
    </w:p>
    <w:p w:rsidR="00F74452" w:rsidRPr="00D00621" w:rsidRDefault="00F74452" w:rsidP="00F74452">
      <w:pPr>
        <w:rPr>
          <w:b/>
          <w:u w:val="single"/>
        </w:rPr>
      </w:pPr>
      <w:r w:rsidRPr="00D00621">
        <w:rPr>
          <w:b/>
          <w:u w:val="single"/>
        </w:rPr>
        <w:t>Example 1: Order and/or Quotes of Varied Size and Price</w:t>
      </w:r>
    </w:p>
    <w:p w:rsidR="00F74452" w:rsidRPr="005203C9" w:rsidRDefault="00F74452" w:rsidP="00F74452">
      <w:pPr>
        <w:rPr>
          <w:u w:val="single"/>
        </w:rPr>
      </w:pPr>
      <w:r w:rsidRPr="005203C9">
        <w:rPr>
          <w:u w:val="single"/>
        </w:rPr>
        <w:t>Assume that Participant has chosen to engage one of the two SMP versions for Authorized Traders under MPID1:</w:t>
      </w:r>
    </w:p>
    <w:p w:rsidR="00F74452" w:rsidRPr="00D00621" w:rsidRDefault="00F74452" w:rsidP="00F74452">
      <w:pPr>
        <w:rPr>
          <w:u w:val="single"/>
        </w:rPr>
      </w:pPr>
      <w:r w:rsidRPr="005203C9">
        <w:rPr>
          <w:u w:val="single"/>
        </w:rPr>
        <w:lastRenderedPageBreak/>
        <w:t>Trading System evaluates all Implied Orders with SKIP INTERNAL SMP for Authorized Traders grouped under MPID1.  Skip Internal SMP is engaged for any implied order generated by an MPID with any version of SMP active.  Because the version of SMP engaged does not impact the outcome for implied orders generated by MPIDs with SMP engaged, the SMP version is not specified in this example.</w:t>
      </w:r>
      <w:r w:rsidRPr="00D00621">
        <w:rPr>
          <w:u w:val="single"/>
        </w:rPr>
        <w:t xml:space="preserve">  </w:t>
      </w:r>
    </w:p>
    <w:p w:rsidR="00F74452" w:rsidRPr="00D00621" w:rsidRDefault="00F74452" w:rsidP="00F74452">
      <w:pPr>
        <w:rPr>
          <w:u w:val="single"/>
        </w:rPr>
      </w:pPr>
      <w:r w:rsidRPr="00D00621">
        <w:rPr>
          <w:u w:val="single"/>
        </w:rPr>
        <w:t>Assume that three individual Orders and one Quote are stored in the Order Book:</w:t>
      </w:r>
    </w:p>
    <w:p w:rsidR="00F74452" w:rsidRPr="00D00621" w:rsidRDefault="00F74452" w:rsidP="00F74452">
      <w:pPr>
        <w:rPr>
          <w:u w:val="single"/>
        </w:rPr>
      </w:pPr>
    </w:p>
    <w:tbl>
      <w:tblPr>
        <w:tblW w:w="7113" w:type="dxa"/>
        <w:jc w:val="center"/>
        <w:tblLook w:val="04A0" w:firstRow="1" w:lastRow="0" w:firstColumn="1" w:lastColumn="0" w:noHBand="0" w:noVBand="1"/>
      </w:tblPr>
      <w:tblGrid>
        <w:gridCol w:w="2319"/>
        <w:gridCol w:w="999"/>
        <w:gridCol w:w="830"/>
        <w:gridCol w:w="830"/>
        <w:gridCol w:w="1158"/>
        <w:gridCol w:w="1475"/>
      </w:tblGrid>
      <w:tr w:rsidR="00F74452" w:rsidRPr="00D00621" w:rsidTr="00024ECA">
        <w:trPr>
          <w:trHeight w:val="300"/>
          <w:jc w:val="center"/>
        </w:trPr>
        <w:tc>
          <w:tcPr>
            <w:tcW w:w="3650"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Offer</w:t>
            </w:r>
          </w:p>
        </w:tc>
      </w:tr>
      <w:tr w:rsidR="00F74452" w:rsidRPr="00D00621" w:rsidTr="00024ECA">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Order No</w:t>
            </w:r>
          </w:p>
        </w:tc>
        <w:tc>
          <w:tcPr>
            <w:tcW w:w="501"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Order No</w:t>
            </w:r>
          </w:p>
        </w:tc>
      </w:tr>
      <w:tr w:rsidR="00F74452" w:rsidRPr="00D00621" w:rsidTr="00024ECA">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p>
        </w:tc>
        <w:tc>
          <w:tcPr>
            <w:tcW w:w="501"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MPID4 Order</w:t>
            </w:r>
          </w:p>
        </w:tc>
      </w:tr>
      <w:tr w:rsidR="00F74452" w:rsidRPr="00D00621" w:rsidTr="00024ECA">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MPID2 Order</w:t>
            </w:r>
          </w:p>
        </w:tc>
        <w:tc>
          <w:tcPr>
            <w:tcW w:w="501"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r>
      <w:tr w:rsidR="00F74452" w:rsidRPr="00D00621" w:rsidTr="00024ECA">
        <w:trPr>
          <w:trHeight w:val="300"/>
          <w:jc w:val="center"/>
        </w:trPr>
        <w:tc>
          <w:tcPr>
            <w:tcW w:w="2319"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MPID1 Implied Order</w:t>
            </w:r>
          </w:p>
        </w:tc>
        <w:tc>
          <w:tcPr>
            <w:tcW w:w="501"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r>
      <w:tr w:rsidR="00F74452" w:rsidRPr="00D00621" w:rsidTr="00024ECA">
        <w:trPr>
          <w:trHeight w:val="232"/>
          <w:jc w:val="center"/>
        </w:trPr>
        <w:tc>
          <w:tcPr>
            <w:tcW w:w="2319" w:type="dxa"/>
            <w:tcBorders>
              <w:top w:val="nil"/>
              <w:left w:val="single" w:sz="4" w:space="0" w:color="auto"/>
              <w:bottom w:val="single" w:sz="4" w:space="0" w:color="auto"/>
              <w:right w:val="single" w:sz="4" w:space="0" w:color="auto"/>
            </w:tcBorders>
            <w:shd w:val="clear" w:color="auto" w:fill="auto"/>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MPID3 Quote</w:t>
            </w:r>
          </w:p>
        </w:tc>
        <w:tc>
          <w:tcPr>
            <w:tcW w:w="501"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20</w:t>
            </w:r>
          </w:p>
        </w:tc>
        <w:tc>
          <w:tcPr>
            <w:tcW w:w="830" w:type="dxa"/>
            <w:tcBorders>
              <w:top w:val="nil"/>
              <w:left w:val="nil"/>
              <w:bottom w:val="single" w:sz="4" w:space="0" w:color="auto"/>
              <w:right w:val="single" w:sz="4" w:space="0" w:color="auto"/>
            </w:tcBorders>
            <w:shd w:val="clear" w:color="auto" w:fill="auto"/>
            <w:noWrap/>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99.00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r>
    </w:tbl>
    <w:p w:rsidR="00F74452" w:rsidRPr="00D00621" w:rsidRDefault="00F74452" w:rsidP="00F74452">
      <w:pPr>
        <w:rPr>
          <w:u w:val="single"/>
        </w:rPr>
      </w:pPr>
    </w:p>
    <w:p w:rsidR="00F74452" w:rsidRPr="00D00621" w:rsidRDefault="00F74452" w:rsidP="00F74452">
      <w:pPr>
        <w:rPr>
          <w:u w:val="single"/>
        </w:rPr>
      </w:pPr>
      <w:r w:rsidRPr="00D00621">
        <w:rPr>
          <w:u w:val="single"/>
        </w:rPr>
        <w:t>Assume that Authorized Trader under MPID1 enters one Order: Sell 30@99.00.</w:t>
      </w:r>
    </w:p>
    <w:p w:rsidR="00F74452" w:rsidRPr="00D00621" w:rsidRDefault="00F74452" w:rsidP="00F74452">
      <w:pPr>
        <w:rPr>
          <w:u w:val="single"/>
        </w:rPr>
      </w:pPr>
      <w:r w:rsidRPr="00D00621">
        <w:rPr>
          <w:u w:val="single"/>
        </w:rPr>
        <w:t>The MPID1 Sell Order 30@99.00 is matched against the MPID2 Order (10@100.0) (total of 10 contracts).</w:t>
      </w:r>
    </w:p>
    <w:p w:rsidR="00F74452" w:rsidRPr="00D00621" w:rsidRDefault="00F74452" w:rsidP="00F74452">
      <w:pPr>
        <w:rPr>
          <w:u w:val="single"/>
        </w:rPr>
      </w:pPr>
      <w:r w:rsidRPr="00D00621">
        <w:rPr>
          <w:u w:val="single"/>
        </w:rPr>
        <w:t>The remaining incoming MPID1 Sell Order 20@99.00 is ineligible to execute against the MPID1 Buy Implied Order 10@100.00.</w:t>
      </w:r>
    </w:p>
    <w:p w:rsidR="00F74452" w:rsidRPr="00D00621" w:rsidRDefault="00F74452" w:rsidP="00F74452">
      <w:pPr>
        <w:rPr>
          <w:u w:val="single"/>
        </w:rPr>
      </w:pPr>
      <w:r w:rsidRPr="00D00621">
        <w:rPr>
          <w:u w:val="single"/>
        </w:rPr>
        <w:t>The remaining incoming MPID1 Sell Order 20@99.00 is matched against the MPID3 Quote (20@99.</w:t>
      </w:r>
      <w:r>
        <w:rPr>
          <w:u w:val="single"/>
        </w:rPr>
        <w:t>0</w:t>
      </w:r>
      <w:r w:rsidRPr="00D00621">
        <w:rPr>
          <w:u w:val="single"/>
        </w:rPr>
        <w:t>0) (total of 20 contracts).</w:t>
      </w:r>
    </w:p>
    <w:p w:rsidR="00F74452" w:rsidRPr="00D00621" w:rsidRDefault="00F74452" w:rsidP="00F74452">
      <w:pPr>
        <w:rPr>
          <w:u w:val="single"/>
        </w:rPr>
      </w:pPr>
      <w:r w:rsidRPr="00D00621">
        <w:rPr>
          <w:u w:val="single"/>
        </w:rPr>
        <w:t>The Order Book, after SMP has been effected, looks like:</w:t>
      </w:r>
    </w:p>
    <w:p w:rsidR="00F74452" w:rsidRPr="00D00621" w:rsidRDefault="00F74452" w:rsidP="00F74452">
      <w:pPr>
        <w:rPr>
          <w:u w:val="single"/>
        </w:rPr>
      </w:pPr>
    </w:p>
    <w:tbl>
      <w:tblPr>
        <w:tblW w:w="7309" w:type="dxa"/>
        <w:jc w:val="center"/>
        <w:tblLook w:val="04A0" w:firstRow="1" w:lastRow="0" w:firstColumn="1" w:lastColumn="0" w:noHBand="0" w:noVBand="1"/>
      </w:tblPr>
      <w:tblGrid>
        <w:gridCol w:w="2205"/>
        <w:gridCol w:w="999"/>
        <w:gridCol w:w="830"/>
        <w:gridCol w:w="830"/>
        <w:gridCol w:w="1158"/>
        <w:gridCol w:w="1475"/>
      </w:tblGrid>
      <w:tr w:rsidR="00F74452" w:rsidRPr="00D00621" w:rsidTr="00024ECA">
        <w:trPr>
          <w:trHeight w:val="300"/>
          <w:jc w:val="center"/>
        </w:trPr>
        <w:tc>
          <w:tcPr>
            <w:tcW w:w="3846"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Bid</w:t>
            </w:r>
          </w:p>
        </w:tc>
        <w:tc>
          <w:tcPr>
            <w:tcW w:w="3463"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Offer</w:t>
            </w:r>
          </w:p>
        </w:tc>
      </w:tr>
      <w:tr w:rsidR="00F74452" w:rsidRPr="00D00621" w:rsidTr="00024ECA">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Order No</w:t>
            </w:r>
          </w:p>
        </w:tc>
        <w:tc>
          <w:tcPr>
            <w:tcW w:w="811"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Quantity</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Price</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Price</w:t>
            </w: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Quantity</w:t>
            </w: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Order No</w:t>
            </w:r>
          </w:p>
        </w:tc>
      </w:tr>
      <w:tr w:rsidR="00F74452" w:rsidRPr="00D00621" w:rsidTr="00024ECA">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p>
        </w:tc>
        <w:tc>
          <w:tcPr>
            <w:tcW w:w="811"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p>
        </w:tc>
        <w:tc>
          <w:tcPr>
            <w:tcW w:w="830"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101.00</w:t>
            </w:r>
          </w:p>
        </w:tc>
        <w:tc>
          <w:tcPr>
            <w:tcW w:w="1158"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w:t>
            </w:r>
          </w:p>
        </w:tc>
        <w:tc>
          <w:tcPr>
            <w:tcW w:w="1475" w:type="dxa"/>
            <w:tcBorders>
              <w:top w:val="nil"/>
              <w:left w:val="nil"/>
              <w:bottom w:val="single" w:sz="4" w:space="0" w:color="auto"/>
              <w:right w:val="single" w:sz="4" w:space="0" w:color="auto"/>
            </w:tcBorders>
            <w:shd w:val="clear" w:color="auto" w:fill="auto"/>
            <w:noWrap/>
            <w:vAlign w:val="bottom"/>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MPID4 Order</w:t>
            </w:r>
          </w:p>
        </w:tc>
      </w:tr>
      <w:tr w:rsidR="00F74452" w:rsidRPr="00D00621" w:rsidTr="00024ECA">
        <w:trPr>
          <w:trHeight w:val="300"/>
          <w:jc w:val="center"/>
        </w:trPr>
        <w:tc>
          <w:tcPr>
            <w:tcW w:w="2205" w:type="dxa"/>
            <w:tcBorders>
              <w:top w:val="nil"/>
              <w:left w:val="single" w:sz="4" w:space="0" w:color="auto"/>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MPID1 Implied Order</w:t>
            </w:r>
          </w:p>
        </w:tc>
        <w:tc>
          <w:tcPr>
            <w:tcW w:w="811"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r w:rsidRPr="00D00621">
              <w:rPr>
                <w:rFonts w:ascii="Calibri" w:hAnsi="Calibri"/>
                <w:color w:val="000000"/>
                <w:u w:val="single"/>
              </w:rPr>
              <w:t>100.00</w:t>
            </w:r>
          </w:p>
        </w:tc>
        <w:tc>
          <w:tcPr>
            <w:tcW w:w="830"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c>
          <w:tcPr>
            <w:tcW w:w="1158"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c>
          <w:tcPr>
            <w:tcW w:w="1475" w:type="dxa"/>
            <w:tcBorders>
              <w:top w:val="nil"/>
              <w:left w:val="nil"/>
              <w:bottom w:val="single" w:sz="4" w:space="0" w:color="auto"/>
              <w:right w:val="single" w:sz="4" w:space="0" w:color="auto"/>
            </w:tcBorders>
            <w:shd w:val="clear" w:color="auto" w:fill="auto"/>
            <w:noWrap/>
            <w:vAlign w:val="bottom"/>
            <w:hideMark/>
          </w:tcPr>
          <w:p w:rsidR="00F74452" w:rsidRPr="00D00621" w:rsidRDefault="00F74452" w:rsidP="00024ECA">
            <w:pPr>
              <w:spacing w:line="240" w:lineRule="auto"/>
              <w:jc w:val="center"/>
              <w:rPr>
                <w:rFonts w:ascii="Calibri" w:hAnsi="Calibri"/>
                <w:color w:val="000000"/>
                <w:u w:val="single"/>
              </w:rPr>
            </w:pPr>
          </w:p>
        </w:tc>
      </w:tr>
    </w:tbl>
    <w:p w:rsidR="00F74452" w:rsidRDefault="00F74452" w:rsidP="00F74452"/>
    <w:p w:rsidR="00F74452" w:rsidRPr="00102C8D" w:rsidRDefault="00F74452" w:rsidP="00F74452"/>
    <w:p w:rsidR="00F74452" w:rsidRPr="00102C8D" w:rsidRDefault="00F74452" w:rsidP="00F74452"/>
    <w:p w:rsidR="00F74452" w:rsidRPr="00102C8D" w:rsidRDefault="00F74452" w:rsidP="00F74452"/>
    <w:p w:rsidR="00F74452" w:rsidRDefault="00F74452" w:rsidP="00F74452"/>
    <w:p w:rsidR="00F74452" w:rsidRDefault="00F74452" w:rsidP="00F74452"/>
    <w:p w:rsidR="00F74452" w:rsidRDefault="00F74452" w:rsidP="00F74452"/>
    <w:p w:rsidR="00F74452" w:rsidRDefault="00F74452" w:rsidP="00F74452"/>
    <w:p w:rsidR="00F74452" w:rsidRDefault="00F74452" w:rsidP="00F74452"/>
    <w:p w:rsidR="00F74452" w:rsidRDefault="00F74452" w:rsidP="00F74452"/>
    <w:p w:rsidR="00F74452" w:rsidRDefault="00F74452" w:rsidP="00F74452"/>
    <w:p w:rsidR="00F74452" w:rsidRDefault="00F74452" w:rsidP="00F74452"/>
    <w:p w:rsidR="00F74452" w:rsidRDefault="00F74452" w:rsidP="00F74452"/>
    <w:p w:rsidR="00F74452" w:rsidRDefault="00F74452" w:rsidP="00F74452"/>
    <w:p w:rsidR="00F74452" w:rsidRDefault="00E7438C" w:rsidP="00E7438C">
      <w:pPr>
        <w:jc w:val="center"/>
      </w:pPr>
      <w:r w:rsidRPr="00102C8D">
        <w:t>© Copyright 201</w:t>
      </w:r>
      <w:r w:rsidRPr="00391763">
        <w:t>6</w:t>
      </w:r>
      <w:r w:rsidRPr="00102C8D">
        <w:t>, Nasdaq, Inc. All rights reserved</w:t>
      </w:r>
    </w:p>
    <w:p w:rsidR="000F32A6" w:rsidRDefault="000F32A6" w:rsidP="00E7438C">
      <w:pPr>
        <w:jc w:val="center"/>
      </w:pPr>
    </w:p>
    <w:p w:rsidR="000F32A6" w:rsidRDefault="000F32A6" w:rsidP="00E7438C">
      <w:pPr>
        <w:jc w:val="center"/>
      </w:pPr>
      <w:r w:rsidRPr="00102C8D">
        <w:rPr>
          <w:b/>
          <w:noProof/>
        </w:rPr>
        <w:drawing>
          <wp:anchor distT="0" distB="0" distL="114300" distR="114300" simplePos="0" relativeHeight="251665408" behindDoc="0" locked="0" layoutInCell="1" allowOverlap="1" wp14:anchorId="0968B946" wp14:editId="11986AEE">
            <wp:simplePos x="0" y="0"/>
            <wp:positionH relativeFrom="margin">
              <wp:posOffset>1989455</wp:posOffset>
            </wp:positionH>
            <wp:positionV relativeFrom="margin">
              <wp:posOffset>4199255</wp:posOffset>
            </wp:positionV>
            <wp:extent cx="1604010" cy="457200"/>
            <wp:effectExtent l="0" t="0" r="0" b="0"/>
            <wp:wrapSquare wrapText="bothSides"/>
            <wp:docPr id="8" name="Picture 8" descr="F:\PresentationMaterials\2014 New Brand Images\21827_nasdaq_logo_09_30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esentationMaterials\2014 New Brand Images\21827_nasdaq_logo_09_30_1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010" cy="457200"/>
                    </a:xfrm>
                    <a:prstGeom prst="rect">
                      <a:avLst/>
                    </a:prstGeom>
                    <a:noFill/>
                    <a:ln>
                      <a:noFill/>
                    </a:ln>
                  </pic:spPr>
                </pic:pic>
              </a:graphicData>
            </a:graphic>
          </wp:anchor>
        </w:drawing>
      </w:r>
    </w:p>
    <w:p w:rsidR="00F74452" w:rsidRDefault="00F74452" w:rsidP="00F74452"/>
    <w:p w:rsidR="00F74452" w:rsidRDefault="00F74452" w:rsidP="00F74452"/>
    <w:p w:rsidR="00F74452" w:rsidRDefault="00F74452" w:rsidP="00F74452"/>
    <w:p w:rsidR="00F74452" w:rsidRDefault="00F74452" w:rsidP="00F74452"/>
    <w:p w:rsidR="00425E04" w:rsidRDefault="00425E04">
      <w:pPr>
        <w:spacing w:after="0" w:line="240" w:lineRule="auto"/>
        <w:sectPr w:rsidR="00425E04" w:rsidSect="00EB7A8B">
          <w:headerReference w:type="default" r:id="rId33"/>
          <w:footerReference w:type="default" r:id="rId34"/>
          <w:headerReference w:type="first" r:id="rId35"/>
          <w:footerReference w:type="first" r:id="rId36"/>
          <w:pgSz w:w="11899" w:h="16838" w:code="1"/>
          <w:pgMar w:top="1440" w:right="1080" w:bottom="1354" w:left="1440" w:header="720" w:footer="576" w:gutter="0"/>
          <w:cols w:space="720"/>
          <w:titlePg/>
          <w:docGrid w:linePitch="360"/>
        </w:sectPr>
      </w:pPr>
    </w:p>
    <w:p w:rsidR="000F32A6" w:rsidRDefault="000F32A6" w:rsidP="000F32A6">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Exhibit C</w:t>
      </w:r>
      <w:r w:rsidRPr="00DA063E">
        <w:rPr>
          <w:rFonts w:ascii="Times New Roman" w:hAnsi="Times New Roman" w:cs="Times New Roman"/>
          <w:b/>
          <w:sz w:val="24"/>
          <w:szCs w:val="24"/>
          <w:u w:val="single"/>
        </w:rPr>
        <w:t xml:space="preserve"> </w:t>
      </w:r>
      <w:r w:rsidRPr="00F83BFF">
        <w:rPr>
          <w:rFonts w:ascii="Times New Roman" w:hAnsi="Times New Roman" w:cs="Times New Roman"/>
          <w:b/>
          <w:sz w:val="24"/>
          <w:szCs w:val="24"/>
          <w:u w:val="single"/>
        </w:rPr>
        <w:t>to SR-NFX-2016-</w:t>
      </w:r>
      <w:r>
        <w:rPr>
          <w:rFonts w:ascii="Times New Roman" w:hAnsi="Times New Roman" w:cs="Times New Roman"/>
          <w:b/>
          <w:sz w:val="24"/>
          <w:szCs w:val="24"/>
          <w:u w:val="single"/>
        </w:rPr>
        <w:t>96</w:t>
      </w:r>
    </w:p>
    <w:p w:rsidR="000F32A6" w:rsidRPr="00131A64" w:rsidRDefault="000F32A6" w:rsidP="000F32A6">
      <w:pPr>
        <w:pBdr>
          <w:top w:val="single" w:sz="18" w:space="6" w:color="009FC3"/>
          <w:bottom w:val="single" w:sz="18" w:space="6" w:color="009FC3"/>
        </w:pBdr>
        <w:shd w:val="clear" w:color="auto" w:fill="FFFFFF"/>
        <w:spacing w:before="375" w:after="225" w:line="270" w:lineRule="atLeast"/>
        <w:outlineLvl w:val="2"/>
        <w:rPr>
          <w:rFonts w:ascii="Arial" w:eastAsia="Times New Roman" w:hAnsi="Arial" w:cs="Arial"/>
          <w:color w:val="00669E"/>
          <w:sz w:val="24"/>
          <w:szCs w:val="24"/>
        </w:rPr>
      </w:pPr>
      <w:r w:rsidRPr="00131A64">
        <w:rPr>
          <w:rFonts w:ascii="Arial" w:eastAsia="Times New Roman" w:hAnsi="Arial" w:cs="Arial"/>
          <w:b/>
          <w:bCs/>
          <w:color w:val="00669E"/>
          <w:sz w:val="24"/>
          <w:szCs w:val="24"/>
        </w:rPr>
        <w:t>Fu</w:t>
      </w:r>
      <w:r>
        <w:rPr>
          <w:rFonts w:ascii="Arial" w:eastAsia="Times New Roman" w:hAnsi="Arial" w:cs="Arial"/>
          <w:b/>
          <w:bCs/>
          <w:color w:val="00669E"/>
          <w:sz w:val="24"/>
          <w:szCs w:val="24"/>
        </w:rPr>
        <w:t>tures Trader Alert #2016 - XX</w:t>
      </w:r>
      <w:r w:rsidRPr="00131A64">
        <w:rPr>
          <w:rFonts w:ascii="Arial" w:eastAsia="Times New Roman" w:hAnsi="Arial" w:cs="Arial"/>
          <w:color w:val="00669E"/>
          <w:sz w:val="24"/>
          <w:szCs w:val="24"/>
        </w:rPr>
        <w:t xml:space="preserve"> </w:t>
      </w:r>
      <w:r>
        <w:rPr>
          <w:rFonts w:ascii="Arial" w:eastAsia="Times New Roman" w:hAnsi="Arial" w:cs="Arial"/>
          <w:color w:val="00669E"/>
          <w:sz w:val="24"/>
          <w:szCs w:val="24"/>
        </w:rPr>
        <w:t xml:space="preserve"> October XX, 2016</w:t>
      </w:r>
      <w:r w:rsidRPr="00131A64">
        <w:rPr>
          <w:rFonts w:ascii="Arial" w:eastAsia="Times New Roman" w:hAnsi="Arial" w:cs="Arial"/>
          <w:color w:val="00669E"/>
          <w:sz w:val="24"/>
          <w:szCs w:val="24"/>
        </w:rPr>
        <w:br/>
      </w:r>
      <w:r>
        <w:rPr>
          <w:rFonts w:ascii="Arial" w:eastAsia="Times New Roman" w:hAnsi="Arial" w:cs="Arial"/>
          <w:color w:val="00669E"/>
          <w:sz w:val="24"/>
          <w:szCs w:val="24"/>
        </w:rPr>
        <w:t xml:space="preserve">Futures Participants Must Elect </w:t>
      </w:r>
      <w:r w:rsidRPr="00A52FD0">
        <w:rPr>
          <w:rFonts w:ascii="Arial" w:eastAsia="Times New Roman" w:hAnsi="Arial" w:cs="Arial"/>
          <w:color w:val="00669E"/>
          <w:sz w:val="24"/>
          <w:szCs w:val="24"/>
        </w:rPr>
        <w:t>New Self-Match Prevention Functionality</w:t>
      </w:r>
      <w:r>
        <w:rPr>
          <w:rFonts w:ascii="Arial" w:eastAsia="Times New Roman" w:hAnsi="Arial" w:cs="Arial"/>
          <w:color w:val="00669E"/>
          <w:sz w:val="24"/>
          <w:szCs w:val="24"/>
        </w:rPr>
        <w:t xml:space="preserve"> by Nov 1st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70"/>
        <w:gridCol w:w="6824"/>
      </w:tblGrid>
      <w:tr w:rsidR="000F32A6" w:rsidRPr="00131A64" w:rsidTr="00EB7A8B">
        <w:trPr>
          <w:tblCellSpacing w:w="15" w:type="dxa"/>
        </w:trPr>
        <w:tc>
          <w:tcPr>
            <w:tcW w:w="1457" w:type="pct"/>
            <w:tcBorders>
              <w:top w:val="single" w:sz="6" w:space="0" w:color="CEDFF0"/>
              <w:left w:val="single" w:sz="6" w:space="0" w:color="CEDFF0"/>
              <w:bottom w:val="single" w:sz="6" w:space="0" w:color="CEDFF0"/>
              <w:right w:val="single" w:sz="6" w:space="0" w:color="CEDFF0"/>
            </w:tcBorders>
            <w:shd w:val="clear" w:color="auto" w:fill="EBF2F8"/>
            <w:tcMar>
              <w:top w:w="120" w:type="dxa"/>
              <w:left w:w="120" w:type="dxa"/>
              <w:bottom w:w="120" w:type="dxa"/>
              <w:right w:w="120" w:type="dxa"/>
            </w:tcMar>
            <w:vAlign w:val="center"/>
            <w:hideMark/>
          </w:tcPr>
          <w:p w:rsidR="000F32A6" w:rsidRPr="00131A64" w:rsidRDefault="000F32A6" w:rsidP="00EB7A8B">
            <w:pPr>
              <w:pBdr>
                <w:bottom w:val="single" w:sz="12" w:space="1" w:color="009FC3"/>
              </w:pBdr>
              <w:spacing w:after="75" w:line="240" w:lineRule="atLeast"/>
              <w:outlineLvl w:val="3"/>
              <w:rPr>
                <w:rFonts w:ascii="Arial" w:eastAsia="Times New Roman" w:hAnsi="Arial" w:cs="Arial"/>
                <w:b/>
                <w:bCs/>
                <w:color w:val="00669E"/>
                <w:sz w:val="21"/>
                <w:szCs w:val="21"/>
              </w:rPr>
            </w:pPr>
            <w:r>
              <w:rPr>
                <w:rFonts w:ascii="Arial" w:eastAsia="Times New Roman" w:hAnsi="Arial" w:cs="Arial"/>
                <w:b/>
                <w:bCs/>
                <w:color w:val="00669E"/>
                <w:sz w:val="21"/>
                <w:szCs w:val="21"/>
              </w:rPr>
              <w:t>Category</w:t>
            </w:r>
            <w:r w:rsidRPr="00131A64">
              <w:rPr>
                <w:rFonts w:ascii="Arial" w:eastAsia="Times New Roman" w:hAnsi="Arial" w:cs="Arial"/>
                <w:b/>
                <w:bCs/>
                <w:color w:val="00669E"/>
                <w:sz w:val="21"/>
                <w:szCs w:val="21"/>
              </w:rPr>
              <w:t>:</w:t>
            </w:r>
          </w:p>
          <w:p w:rsidR="000F32A6" w:rsidRPr="00131A64" w:rsidRDefault="000F32A6" w:rsidP="00EB7A8B">
            <w:pPr>
              <w:pBdr>
                <w:bottom w:val="single" w:sz="12" w:space="1" w:color="009FC3"/>
              </w:pBdr>
              <w:spacing w:after="75" w:line="240" w:lineRule="atLeast"/>
              <w:outlineLvl w:val="3"/>
              <w:rPr>
                <w:rFonts w:ascii="Arial" w:eastAsia="Times New Roman" w:hAnsi="Arial" w:cs="Arial"/>
                <w:b/>
                <w:bCs/>
                <w:color w:val="00669E"/>
                <w:sz w:val="21"/>
                <w:szCs w:val="21"/>
              </w:rPr>
            </w:pPr>
            <w:r>
              <w:rPr>
                <w:rFonts w:ascii="Arial" w:eastAsia="Times New Roman" w:hAnsi="Arial" w:cs="Arial"/>
                <w:bCs/>
                <w:sz w:val="18"/>
                <w:szCs w:val="18"/>
              </w:rPr>
              <w:t>System Impact</w:t>
            </w:r>
            <w:r>
              <w:rPr>
                <w:rFonts w:ascii="Arial" w:eastAsia="Times New Roman" w:hAnsi="Arial" w:cs="Arial"/>
                <w:b/>
                <w:bCs/>
                <w:color w:val="00669E"/>
                <w:sz w:val="21"/>
                <w:szCs w:val="21"/>
              </w:rPr>
              <w:br/>
            </w:r>
            <w:r>
              <w:rPr>
                <w:rFonts w:ascii="Arial" w:eastAsia="Times New Roman" w:hAnsi="Arial" w:cs="Arial"/>
                <w:b/>
                <w:bCs/>
                <w:color w:val="00669E"/>
                <w:sz w:val="21"/>
                <w:szCs w:val="21"/>
              </w:rPr>
              <w:br/>
            </w:r>
            <w:r w:rsidRPr="00131A64">
              <w:rPr>
                <w:rFonts w:ascii="Arial" w:eastAsia="Times New Roman" w:hAnsi="Arial" w:cs="Arial"/>
                <w:b/>
                <w:bCs/>
                <w:color w:val="00669E"/>
                <w:sz w:val="21"/>
                <w:szCs w:val="21"/>
              </w:rPr>
              <w:t>Markets Impacted:</w:t>
            </w:r>
          </w:p>
          <w:p w:rsidR="000F32A6" w:rsidRPr="00131A64" w:rsidRDefault="00062C28" w:rsidP="00EB7A8B">
            <w:pPr>
              <w:spacing w:before="100" w:beforeAutospacing="1" w:after="100" w:afterAutospacing="1" w:line="240" w:lineRule="auto"/>
              <w:rPr>
                <w:rFonts w:ascii="Arial" w:eastAsia="Times New Roman" w:hAnsi="Arial" w:cs="Arial"/>
                <w:color w:val="000000"/>
                <w:sz w:val="18"/>
                <w:szCs w:val="18"/>
              </w:rPr>
            </w:pPr>
            <w:hyperlink r:id="rId37" w:history="1">
              <w:r w:rsidR="000F32A6" w:rsidRPr="00190F8C">
                <w:rPr>
                  <w:rStyle w:val="Hyperlink"/>
                  <w:rFonts w:ascii="Arial" w:eastAsia="Times New Roman" w:hAnsi="Arial" w:cs="Arial"/>
                  <w:sz w:val="18"/>
                  <w:szCs w:val="18"/>
                </w:rPr>
                <w:t>Nasdaq Futures</w:t>
              </w:r>
            </w:hyperlink>
          </w:p>
          <w:p w:rsidR="000F32A6" w:rsidRPr="00131A64" w:rsidRDefault="000F32A6" w:rsidP="00EB7A8B">
            <w:pPr>
              <w:pBdr>
                <w:bottom w:val="single" w:sz="12" w:space="1" w:color="009FC3"/>
              </w:pBdr>
              <w:spacing w:after="75" w:line="240" w:lineRule="atLeast"/>
              <w:outlineLvl w:val="3"/>
              <w:rPr>
                <w:rFonts w:ascii="Arial" w:eastAsia="Times New Roman" w:hAnsi="Arial" w:cs="Arial"/>
                <w:b/>
                <w:bCs/>
                <w:color w:val="00669E"/>
                <w:sz w:val="21"/>
                <w:szCs w:val="21"/>
              </w:rPr>
            </w:pPr>
            <w:r w:rsidRPr="00131A64">
              <w:rPr>
                <w:rFonts w:ascii="Arial" w:eastAsia="Times New Roman" w:hAnsi="Arial" w:cs="Arial"/>
                <w:b/>
                <w:bCs/>
                <w:color w:val="00669E"/>
                <w:sz w:val="21"/>
                <w:szCs w:val="21"/>
              </w:rPr>
              <w:t>Contact Information:</w:t>
            </w:r>
          </w:p>
          <w:p w:rsidR="000F32A6" w:rsidRDefault="000F32A6" w:rsidP="00EB7A8B">
            <w:pPr>
              <w:rPr>
                <w:rFonts w:ascii="Arial" w:hAnsi="Arial" w:cs="Arial"/>
                <w:sz w:val="18"/>
                <w:szCs w:val="18"/>
              </w:rPr>
            </w:pPr>
            <w:r>
              <w:t xml:space="preserve"> </w:t>
            </w:r>
            <w:r>
              <w:br/>
            </w:r>
            <w:hyperlink r:id="rId38" w:history="1">
              <w:r w:rsidRPr="00190F8C">
                <w:rPr>
                  <w:rStyle w:val="Hyperlink"/>
                  <w:rFonts w:ascii="Arial" w:hAnsi="Arial" w:cs="Arial"/>
                  <w:sz w:val="18"/>
                  <w:szCs w:val="18"/>
                </w:rPr>
                <w:t>U.S. Market Operations - Futures</w:t>
              </w:r>
            </w:hyperlink>
            <w:r w:rsidRPr="00190F8C">
              <w:rPr>
                <w:rFonts w:ascii="Arial" w:hAnsi="Arial" w:cs="Arial"/>
                <w:sz w:val="18"/>
                <w:szCs w:val="18"/>
              </w:rPr>
              <w:t xml:space="preserve"> at +1 215 496 1571</w:t>
            </w:r>
            <w:hyperlink r:id="rId39" w:history="1">
              <w:r w:rsidRPr="00190F8C">
                <w:rPr>
                  <w:rFonts w:ascii="Arial" w:hAnsi="Arial" w:cs="Arial"/>
                  <w:color w:val="0000FF"/>
                  <w:sz w:val="18"/>
                  <w:szCs w:val="18"/>
                  <w:u w:val="single"/>
                </w:rPr>
                <w:br/>
              </w:r>
            </w:hyperlink>
            <w:r w:rsidRPr="00190F8C">
              <w:rPr>
                <w:rFonts w:ascii="Arial" w:hAnsi="Arial" w:cs="Arial"/>
                <w:sz w:val="18"/>
                <w:szCs w:val="18"/>
              </w:rPr>
              <w:br/>
            </w:r>
            <w:hyperlink r:id="rId40" w:history="1">
              <w:r w:rsidRPr="00190F8C">
                <w:rPr>
                  <w:rStyle w:val="Hyperlink"/>
                  <w:rFonts w:ascii="Arial" w:hAnsi="Arial" w:cs="Arial"/>
                  <w:sz w:val="18"/>
                  <w:szCs w:val="18"/>
                </w:rPr>
                <w:t>U.S. Market Sales</w:t>
              </w:r>
            </w:hyperlink>
            <w:r w:rsidRPr="00190F8C">
              <w:rPr>
                <w:rFonts w:ascii="Arial" w:hAnsi="Arial" w:cs="Arial"/>
                <w:sz w:val="18"/>
                <w:szCs w:val="18"/>
              </w:rPr>
              <w:t xml:space="preserve"> at +1 800 846 0477</w:t>
            </w:r>
          </w:p>
          <w:p w:rsidR="000F32A6" w:rsidRDefault="00062C28" w:rsidP="00834A38">
            <w:pPr>
              <w:numPr>
                <w:ilvl w:val="0"/>
                <w:numId w:val="13"/>
              </w:numPr>
              <w:spacing w:before="100" w:beforeAutospacing="1" w:after="100" w:afterAutospacing="1" w:line="240" w:lineRule="auto"/>
              <w:ind w:left="0"/>
              <w:rPr>
                <w:rFonts w:ascii="Arial" w:hAnsi="Arial" w:cs="Arial"/>
                <w:color w:val="000000"/>
                <w:sz w:val="18"/>
                <w:szCs w:val="18"/>
              </w:rPr>
            </w:pPr>
            <w:hyperlink r:id="rId41" w:history="1">
              <w:r w:rsidR="000F32A6">
                <w:rPr>
                  <w:rStyle w:val="Hyperlink"/>
                  <w:rFonts w:ascii="Arial" w:hAnsi="Arial" w:cs="Arial"/>
                  <w:sz w:val="18"/>
                  <w:szCs w:val="18"/>
                </w:rPr>
                <w:t>Futures Sales</w:t>
              </w:r>
            </w:hyperlink>
          </w:p>
          <w:p w:rsidR="000F32A6" w:rsidRDefault="00062C28" w:rsidP="00834A38">
            <w:pPr>
              <w:numPr>
                <w:ilvl w:val="0"/>
                <w:numId w:val="13"/>
              </w:numPr>
              <w:spacing w:before="100" w:beforeAutospacing="1" w:after="100" w:afterAutospacing="1" w:line="240" w:lineRule="auto"/>
              <w:ind w:left="0"/>
              <w:rPr>
                <w:rFonts w:ascii="Arial" w:hAnsi="Arial" w:cs="Arial"/>
                <w:color w:val="000000"/>
                <w:sz w:val="18"/>
                <w:szCs w:val="18"/>
              </w:rPr>
            </w:pPr>
            <w:hyperlink r:id="rId42" w:history="1">
              <w:r w:rsidR="000F32A6">
                <w:rPr>
                  <w:rStyle w:val="Hyperlink"/>
                  <w:rFonts w:ascii="Arial" w:hAnsi="Arial" w:cs="Arial"/>
                  <w:sz w:val="18"/>
                  <w:szCs w:val="18"/>
                </w:rPr>
                <w:t xml:space="preserve">Futures Regulation </w:t>
              </w:r>
            </w:hyperlink>
          </w:p>
          <w:p w:rsidR="000F32A6" w:rsidRPr="00131A64" w:rsidRDefault="000F32A6" w:rsidP="00EB7A8B">
            <w:pPr>
              <w:pBdr>
                <w:bottom w:val="single" w:sz="12" w:space="1" w:color="009FC3"/>
              </w:pBdr>
              <w:spacing w:after="75" w:line="240" w:lineRule="atLeast"/>
              <w:outlineLvl w:val="3"/>
              <w:rPr>
                <w:rFonts w:ascii="Arial" w:eastAsia="Times New Roman" w:hAnsi="Arial" w:cs="Arial"/>
                <w:b/>
                <w:bCs/>
                <w:color w:val="00669E"/>
                <w:sz w:val="21"/>
                <w:szCs w:val="21"/>
              </w:rPr>
            </w:pPr>
            <w:r>
              <w:rPr>
                <w:rFonts w:ascii="Arial" w:eastAsia="Times New Roman" w:hAnsi="Arial" w:cs="Arial"/>
                <w:b/>
                <w:bCs/>
                <w:color w:val="00669E"/>
                <w:sz w:val="21"/>
                <w:szCs w:val="21"/>
              </w:rPr>
              <w:t>Resources</w:t>
            </w:r>
            <w:r w:rsidRPr="00131A64">
              <w:rPr>
                <w:rFonts w:ascii="Arial" w:eastAsia="Times New Roman" w:hAnsi="Arial" w:cs="Arial"/>
                <w:b/>
                <w:bCs/>
                <w:color w:val="00669E"/>
                <w:sz w:val="21"/>
                <w:szCs w:val="21"/>
              </w:rPr>
              <w:t>:</w:t>
            </w:r>
          </w:p>
          <w:p w:rsidR="000F32A6" w:rsidRPr="00D80736" w:rsidRDefault="000F32A6" w:rsidP="00EB7A8B">
            <w:pPr>
              <w:spacing w:before="100" w:beforeAutospacing="1" w:after="100" w:afterAutospacing="1" w:line="240" w:lineRule="auto"/>
              <w:rPr>
                <w:rFonts w:ascii="Arial" w:hAnsi="Arial" w:cs="Arial"/>
                <w:color w:val="000000"/>
                <w:sz w:val="18"/>
                <w:szCs w:val="18"/>
              </w:rPr>
            </w:pPr>
            <w:r>
              <w:rPr>
                <w:rFonts w:ascii="Arial" w:hAnsi="Arial" w:cs="Arial"/>
                <w:color w:val="000000"/>
                <w:sz w:val="18"/>
                <w:szCs w:val="18"/>
              </w:rPr>
              <w:br/>
            </w:r>
          </w:p>
        </w:tc>
        <w:tc>
          <w:tcPr>
            <w:tcW w:w="3496" w:type="pct"/>
            <w:tcMar>
              <w:top w:w="120" w:type="dxa"/>
              <w:left w:w="120" w:type="dxa"/>
              <w:bottom w:w="120" w:type="dxa"/>
              <w:right w:w="120" w:type="dxa"/>
            </w:tcMar>
            <w:hideMark/>
          </w:tcPr>
          <w:p w:rsidR="000F32A6" w:rsidRDefault="000F32A6" w:rsidP="00EB7A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Pending all regulatory approvals, e</w:t>
            </w:r>
            <w:r w:rsidRPr="00C155C9">
              <w:rPr>
                <w:rFonts w:ascii="Times New Roman" w:eastAsia="Times New Roman" w:hAnsi="Times New Roman" w:cs="Times New Roman"/>
                <w:sz w:val="24"/>
                <w:szCs w:val="24"/>
              </w:rPr>
              <w:t xml:space="preserve">ffective </w:t>
            </w:r>
            <w:r>
              <w:rPr>
                <w:rFonts w:ascii="Times New Roman" w:eastAsia="Times New Roman" w:hAnsi="Times New Roman" w:cs="Times New Roman"/>
                <w:sz w:val="24"/>
                <w:szCs w:val="24"/>
              </w:rPr>
              <w:t>for the Open Session November 1, 2016,</w:t>
            </w:r>
            <w:r w:rsidRPr="00C155C9">
              <w:rPr>
                <w:rFonts w:ascii="Times New Roman" w:eastAsia="Times New Roman" w:hAnsi="Times New Roman" w:cs="Times New Roman"/>
                <w:sz w:val="24"/>
                <w:szCs w:val="24"/>
              </w:rPr>
              <w:t xml:space="preserve"> the Exchange </w:t>
            </w:r>
            <w:r>
              <w:rPr>
                <w:rFonts w:ascii="Times New Roman" w:eastAsia="Times New Roman" w:hAnsi="Times New Roman" w:cs="Times New Roman"/>
                <w:sz w:val="24"/>
                <w:szCs w:val="24"/>
              </w:rPr>
              <w:t>will implement new Self-Match Prevention functionality pursuant to regulatory filing SR-NFX-2016-96.</w:t>
            </w:r>
          </w:p>
          <w:p w:rsidR="000F32A6" w:rsidRDefault="000F32A6" w:rsidP="00EB7A8B">
            <w:pPr>
              <w:spacing w:after="0" w:line="240" w:lineRule="auto"/>
              <w:rPr>
                <w:rFonts w:ascii="Times New Roman" w:eastAsia="Times New Roman" w:hAnsi="Times New Roman" w:cs="Times New Roman"/>
                <w:sz w:val="24"/>
                <w:szCs w:val="24"/>
              </w:rPr>
            </w:pPr>
          </w:p>
          <w:p w:rsidR="000F32A6" w:rsidRDefault="000F32A6" w:rsidP="00EB7A8B">
            <w:pPr>
              <w:spacing w:after="0" w:line="240" w:lineRule="auto"/>
              <w:rPr>
                <w:rFonts w:ascii="Times New Roman" w:eastAsia="Times New Roman" w:hAnsi="Times New Roman" w:cs="Times New Roman"/>
                <w:sz w:val="24"/>
                <w:szCs w:val="24"/>
              </w:rPr>
            </w:pPr>
            <w:r w:rsidRPr="00A42641">
              <w:rPr>
                <w:rFonts w:ascii="Times New Roman" w:eastAsia="Times New Roman" w:hAnsi="Times New Roman" w:cs="Times New Roman"/>
                <w:sz w:val="24"/>
                <w:szCs w:val="24"/>
              </w:rPr>
              <w:t>Under the current NFX Trading System, a Futures Participant may elect to have Orders or Quotes not execute against Orders or Quotes on the opposite side of the market that were entered by a Futures Participant with the same Market Participant User Identification (“MPID”).  Under this process, the incoming Order or Quote will skip the resting Order or Quote that would result in self-match and match with the next marketable Order or quote from a Futures Participant with a different MPID</w:t>
            </w:r>
            <w:r>
              <w:rPr>
                <w:rFonts w:ascii="Times New Roman" w:eastAsia="Times New Roman" w:hAnsi="Times New Roman" w:cs="Times New Roman"/>
                <w:sz w:val="24"/>
                <w:szCs w:val="24"/>
              </w:rPr>
              <w:t xml:space="preserve">.  This process is known as </w:t>
            </w:r>
            <w:r w:rsidRPr="003D10FB">
              <w:rPr>
                <w:rFonts w:ascii="Times New Roman" w:eastAsia="Times New Roman" w:hAnsi="Times New Roman" w:cs="Times New Roman"/>
                <w:sz w:val="24"/>
                <w:szCs w:val="24"/>
                <w:u w:val="single"/>
              </w:rPr>
              <w:t>“Skip Internal</w:t>
            </w:r>
            <w:r>
              <w:rPr>
                <w:rFonts w:ascii="Times New Roman" w:eastAsia="Times New Roman" w:hAnsi="Times New Roman" w:cs="Times New Roman"/>
                <w:sz w:val="24"/>
                <w:szCs w:val="24"/>
                <w:u w:val="single"/>
              </w:rPr>
              <w:t xml:space="preserve"> Functionality</w:t>
            </w:r>
            <w:r w:rsidRPr="003D10FB">
              <w:rPr>
                <w:rFonts w:ascii="Times New Roman" w:eastAsia="Times New Roman" w:hAnsi="Times New Roman" w:cs="Times New Roman"/>
                <w:sz w:val="24"/>
                <w:szCs w:val="24"/>
                <w:u w:val="single"/>
              </w:rPr>
              <w:t>”</w:t>
            </w:r>
            <w:r w:rsidRPr="00A42641">
              <w:rPr>
                <w:rFonts w:ascii="Times New Roman" w:eastAsia="Times New Roman" w:hAnsi="Times New Roman" w:cs="Times New Roman"/>
                <w:sz w:val="24"/>
                <w:szCs w:val="24"/>
              </w:rPr>
              <w:t xml:space="preserve">.  The Exchange is amending the SMP rule to </w:t>
            </w:r>
            <w:r>
              <w:rPr>
                <w:rFonts w:ascii="Times New Roman" w:eastAsia="Times New Roman" w:hAnsi="Times New Roman" w:cs="Times New Roman"/>
                <w:sz w:val="24"/>
                <w:szCs w:val="24"/>
              </w:rPr>
              <w:t>eliminate Skip Internal Functionality as the default SMP version.</w:t>
            </w:r>
            <w:r w:rsidRPr="00A42641">
              <w:rPr>
                <w:rFonts w:ascii="Times New Roman" w:eastAsia="Times New Roman" w:hAnsi="Times New Roman" w:cs="Times New Roman"/>
                <w:sz w:val="24"/>
                <w:szCs w:val="24"/>
              </w:rPr>
              <w:t xml:space="preserve">  </w:t>
            </w:r>
          </w:p>
          <w:p w:rsidR="000F32A6" w:rsidRDefault="000F32A6" w:rsidP="00EB7A8B">
            <w:pPr>
              <w:spacing w:after="0" w:line="240" w:lineRule="auto"/>
              <w:rPr>
                <w:rFonts w:ascii="Times New Roman" w:eastAsia="Times New Roman" w:hAnsi="Times New Roman" w:cs="Times New Roman"/>
                <w:sz w:val="24"/>
                <w:szCs w:val="24"/>
              </w:rPr>
            </w:pPr>
          </w:p>
          <w:p w:rsidR="000F32A6" w:rsidRPr="00DC55DD" w:rsidRDefault="000F32A6" w:rsidP="00EB7A8B">
            <w:pPr>
              <w:spacing w:after="0" w:line="240" w:lineRule="auto"/>
              <w:rPr>
                <w:rFonts w:ascii="Times New Roman" w:eastAsia="Times New Roman" w:hAnsi="Times New Roman" w:cs="Times New Roman"/>
                <w:sz w:val="24"/>
                <w:szCs w:val="24"/>
              </w:rPr>
            </w:pPr>
            <w:r w:rsidRPr="00A42641">
              <w:rPr>
                <w:rFonts w:ascii="Times New Roman" w:eastAsia="Times New Roman" w:hAnsi="Times New Roman" w:cs="Times New Roman"/>
                <w:sz w:val="24"/>
                <w:szCs w:val="24"/>
              </w:rPr>
              <w:t>Under the new rule, Futures Participant utilizing SMP must elect</w:t>
            </w:r>
            <w:r>
              <w:rPr>
                <w:rFonts w:ascii="Times New Roman" w:eastAsia="Times New Roman" w:hAnsi="Times New Roman" w:cs="Times New Roman"/>
                <w:sz w:val="24"/>
                <w:szCs w:val="24"/>
              </w:rPr>
              <w:t xml:space="preserve"> by November 1, 2016</w:t>
            </w:r>
            <w:r w:rsidRPr="00A42641">
              <w:rPr>
                <w:rFonts w:ascii="Times New Roman" w:eastAsia="Times New Roman" w:hAnsi="Times New Roman" w:cs="Times New Roman"/>
                <w:sz w:val="24"/>
                <w:szCs w:val="24"/>
              </w:rPr>
              <w:t xml:space="preserve"> to either (1) cancel the incoming Order or Quote</w:t>
            </w:r>
            <w:r>
              <w:rPr>
                <w:rFonts w:ascii="Times New Roman" w:eastAsia="Times New Roman" w:hAnsi="Times New Roman" w:cs="Times New Roman"/>
                <w:sz w:val="24"/>
                <w:szCs w:val="24"/>
              </w:rPr>
              <w:t xml:space="preserve"> </w:t>
            </w:r>
            <w:r w:rsidRPr="00A42641">
              <w:rPr>
                <w:rFonts w:ascii="Times New Roman" w:eastAsia="Times New Roman" w:hAnsi="Times New Roman" w:cs="Times New Roman"/>
                <w:sz w:val="24"/>
                <w:szCs w:val="24"/>
                <w:u w:val="single"/>
              </w:rPr>
              <w:t>“Cancel Newest”</w:t>
            </w:r>
            <w:r w:rsidRPr="00A42641">
              <w:rPr>
                <w:rFonts w:ascii="Times New Roman" w:eastAsia="Times New Roman" w:hAnsi="Times New Roman" w:cs="Times New Roman"/>
                <w:sz w:val="24"/>
                <w:szCs w:val="24"/>
              </w:rPr>
              <w:t>; (2) cancel the resting Order or Quote</w:t>
            </w:r>
            <w:r>
              <w:rPr>
                <w:rFonts w:ascii="Times New Roman" w:eastAsia="Times New Roman" w:hAnsi="Times New Roman" w:cs="Times New Roman"/>
                <w:sz w:val="24"/>
                <w:szCs w:val="24"/>
              </w:rPr>
              <w:t xml:space="preserve"> </w:t>
            </w:r>
            <w:r w:rsidRPr="00A42641">
              <w:rPr>
                <w:rFonts w:ascii="Times New Roman" w:eastAsia="Times New Roman" w:hAnsi="Times New Roman" w:cs="Times New Roman"/>
                <w:sz w:val="24"/>
                <w:szCs w:val="24"/>
                <w:u w:val="single"/>
              </w:rPr>
              <w:t>“Cancel Oldest”</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If a Futures Participant which has previously elected SMP fails to notify the Exchange by Noon EPT, November 1, 2016, the Exchange will set </w:t>
            </w:r>
            <w:r w:rsidRPr="00A42641">
              <w:rPr>
                <w:rFonts w:ascii="Times New Roman" w:eastAsia="Times New Roman" w:hAnsi="Times New Roman" w:cs="Times New Roman"/>
                <w:sz w:val="24"/>
                <w:szCs w:val="24"/>
                <w:u w:val="single"/>
              </w:rPr>
              <w:t>Cancel Newest</w:t>
            </w:r>
            <w:r w:rsidRPr="00DC5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the default </w:t>
            </w:r>
            <w:r w:rsidRPr="00DC55DD">
              <w:rPr>
                <w:rFonts w:ascii="Times New Roman" w:eastAsia="Times New Roman" w:hAnsi="Times New Roman" w:cs="Times New Roman"/>
                <w:sz w:val="24"/>
                <w:szCs w:val="24"/>
              </w:rPr>
              <w:t>SMP</w:t>
            </w:r>
            <w:r>
              <w:rPr>
                <w:rFonts w:ascii="Times New Roman" w:eastAsia="Times New Roman" w:hAnsi="Times New Roman" w:cs="Times New Roman"/>
                <w:sz w:val="24"/>
                <w:szCs w:val="24"/>
              </w:rPr>
              <w:t xml:space="preserve"> functionality</w:t>
            </w:r>
            <w:r w:rsidRPr="00DC55DD">
              <w:rPr>
                <w:rFonts w:ascii="Times New Roman" w:eastAsia="Times New Roman" w:hAnsi="Times New Roman" w:cs="Times New Roman"/>
                <w:sz w:val="24"/>
                <w:szCs w:val="24"/>
              </w:rPr>
              <w:t>.</w:t>
            </w:r>
          </w:p>
          <w:p w:rsidR="000F32A6" w:rsidRDefault="000F32A6" w:rsidP="00EB7A8B">
            <w:pPr>
              <w:spacing w:after="0" w:line="240" w:lineRule="auto"/>
              <w:rPr>
                <w:rFonts w:ascii="Times New Roman" w:eastAsia="Times New Roman" w:hAnsi="Times New Roman" w:cs="Times New Roman"/>
                <w:sz w:val="24"/>
                <w:szCs w:val="24"/>
                <w:u w:val="single"/>
              </w:rPr>
            </w:pPr>
          </w:p>
          <w:p w:rsidR="000F32A6" w:rsidRDefault="000F32A6" w:rsidP="00EB7A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explanatory reference guide, Mass </w:t>
            </w:r>
            <w:r>
              <w:rPr>
                <w:rFonts w:ascii="Times New Roman" w:eastAsia="Calibri" w:hAnsi="Times New Roman" w:cs="Times New Roman"/>
                <w:sz w:val="24"/>
                <w:szCs w:val="24"/>
              </w:rPr>
              <w:t xml:space="preserve">Quote Protection &amp; </w:t>
            </w:r>
            <w:r w:rsidRPr="007F5AEF">
              <w:rPr>
                <w:rFonts w:ascii="Times New Roman" w:eastAsia="Calibri" w:hAnsi="Times New Roman" w:cs="Times New Roman"/>
                <w:sz w:val="24"/>
                <w:szCs w:val="24"/>
              </w:rPr>
              <w:t>Self-Match Prevention Reference Guide</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rPr>
              <w:t>is posted on the Exchange website.</w:t>
            </w:r>
          </w:p>
          <w:p w:rsidR="000F32A6" w:rsidRPr="00E1655A" w:rsidRDefault="000F32A6" w:rsidP="00EB7A8B">
            <w:pPr>
              <w:spacing w:before="100" w:beforeAutospacing="1" w:after="0" w:line="240" w:lineRule="auto"/>
              <w:rPr>
                <w:rFonts w:ascii="Arial" w:eastAsia="Times New Roman" w:hAnsi="Arial" w:cs="Arial"/>
                <w:color w:val="000000"/>
                <w:sz w:val="18"/>
                <w:szCs w:val="18"/>
              </w:rPr>
            </w:pPr>
            <w:r>
              <w:rPr>
                <w:rFonts w:ascii="Times New Roman" w:eastAsia="Times New Roman" w:hAnsi="Times New Roman" w:cs="Times New Roman"/>
                <w:bCs/>
                <w:color w:val="000000" w:themeColor="text1"/>
                <w:sz w:val="24"/>
                <w:szCs w:val="24"/>
              </w:rPr>
              <w:t>For additional information, please contact</w:t>
            </w:r>
            <w:r w:rsidRPr="00C155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NFX Market Operations nfxops@nasdaq.com.</w:t>
            </w:r>
          </w:p>
        </w:tc>
      </w:tr>
    </w:tbl>
    <w:p w:rsidR="000F32A6" w:rsidRPr="00F20ACB" w:rsidRDefault="000F32A6" w:rsidP="000F32A6">
      <w:pPr>
        <w:spacing w:after="0" w:line="240" w:lineRule="auto"/>
        <w:jc w:val="right"/>
        <w:rPr>
          <w:rFonts w:ascii="Times New Roman" w:eastAsia="Times New Roman" w:hAnsi="Times New Roman" w:cs="Times New Roman"/>
          <w:bCs/>
          <w:color w:val="000000" w:themeColor="text1"/>
        </w:rPr>
      </w:pPr>
    </w:p>
    <w:p w:rsidR="000F32A6" w:rsidRPr="000F32A6" w:rsidRDefault="000F32A6" w:rsidP="000F32A6">
      <w:pPr>
        <w:rPr>
          <w:rFonts w:ascii="Times New Roman" w:hAnsi="Times New Roman" w:cs="Times New Roman"/>
          <w:sz w:val="24"/>
          <w:szCs w:val="24"/>
        </w:rPr>
      </w:pPr>
    </w:p>
    <w:p w:rsidR="00F74452" w:rsidRDefault="00F74452" w:rsidP="00F74452"/>
    <w:p w:rsidR="00F74452" w:rsidRDefault="00F74452" w:rsidP="00F74452"/>
    <w:p w:rsidR="00545050" w:rsidRPr="00545050" w:rsidRDefault="00545050" w:rsidP="000F32A6">
      <w:pPr>
        <w:jc w:val="center"/>
        <w:rPr>
          <w:rFonts w:ascii="Times New Roman" w:hAnsi="Times New Roman" w:cs="Times New Roman"/>
          <w:sz w:val="24"/>
          <w:szCs w:val="24"/>
        </w:rPr>
      </w:pPr>
    </w:p>
    <w:sectPr w:rsidR="00545050" w:rsidRPr="00545050" w:rsidSect="00EB7A8B">
      <w:footerReference w:type="first" r:id="rId43"/>
      <w:pgSz w:w="11899" w:h="16838" w:code="1"/>
      <w:pgMar w:top="1440" w:right="1080" w:bottom="1354"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387" w:rsidRDefault="00D83387">
      <w:r>
        <w:separator/>
      </w:r>
    </w:p>
  </w:endnote>
  <w:endnote w:type="continuationSeparator" w:id="0">
    <w:p w:rsidR="00D83387" w:rsidRDefault="00D8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6E562680-8A32-48AF-A4D4-118BA43C1188}"/>
    <w:embedBold r:id="rId2" w:fontKey="{C8E72C75-A392-421F-82DB-DEE21FC9A094}"/>
    <w:embedItalic r:id="rId3" w:fontKey="{1BE69FC2-5BC8-497A-B872-29980B0CDB29}"/>
  </w:font>
  <w:font w:name="Calibri">
    <w:panose1 w:val="020F0502020204030204"/>
    <w:charset w:val="00"/>
    <w:family w:val="swiss"/>
    <w:pitch w:val="variable"/>
    <w:sig w:usb0="E00002FF" w:usb1="4000ACFF" w:usb2="00000001" w:usb3="00000000" w:csb0="0000019F" w:csb1="00000000"/>
    <w:embedRegular r:id="rId4" w:fontKey="{E7F2C374-434C-405F-9ADA-CFE3144AA0F9}"/>
    <w:embedBold r:id="rId5" w:fontKey="{BB2DF753-A494-4ED3-B5F1-3C951A15D7E8}"/>
    <w:embedItalic r:id="rId6" w:fontKey="{76B52FED-3E28-49EE-9CBC-2BF60B734DFE}"/>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1CD4D142-C896-4D7C-864A-BA0A17CDC0C8}"/>
    <w:embedBold r:id="rId8" w:fontKey="{27B49FF2-1D26-4FC4-BE10-3AB8798AF36F}"/>
    <w:embedBoldItalic r:id="rId9" w:fontKey="{91D84BFD-280C-4FC4-BD40-471852816D3A}"/>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0" w:fontKey="{CCB0CCE3-E44B-47EE-81A4-22C36C6687D6}"/>
  </w:font>
  <w:font w:name="Tahoma">
    <w:panose1 w:val="020B0604030504040204"/>
    <w:charset w:val="00"/>
    <w:family w:val="swiss"/>
    <w:notTrueType/>
    <w:pitch w:val="variable"/>
    <w:sig w:usb0="00000003" w:usb1="00000000" w:usb2="00000000" w:usb3="00000000" w:csb0="00000001" w:csb1="00000000"/>
  </w:font>
  <w:font w:name="New Baskerville">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8B" w:rsidRDefault="00EB7A8B">
    <w:pPr>
      <w:pStyle w:val="Footer"/>
      <w:framePr w:wrap="around" w:vAnchor="text" w:hAnchor="margin" w:xAlign="right" w:y="1"/>
      <w:rPr>
        <w:rStyle w:val="PageNumber"/>
        <w:i/>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B7A8B" w:rsidRDefault="00EB7A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8B" w:rsidRDefault="00EB7A8B">
    <w:pPr>
      <w:pStyle w:val="Footer"/>
      <w:framePr w:wrap="around" w:vAnchor="text" w:hAnchor="page" w:x="11107" w:y="181"/>
      <w:rPr>
        <w:rStyle w:val="PageNumber"/>
        <w:i/>
      </w:rPr>
    </w:pPr>
    <w:r>
      <w:rPr>
        <w:rStyle w:val="PageNumber"/>
        <w:b/>
        <w:i/>
        <w:color w:val="565A5C"/>
      </w:rPr>
      <w:fldChar w:fldCharType="begin"/>
    </w:r>
    <w:r>
      <w:rPr>
        <w:rStyle w:val="PageNumber"/>
        <w:b/>
        <w:color w:val="565A5C"/>
      </w:rPr>
      <w:instrText xml:space="preserve">PAGE  </w:instrText>
    </w:r>
    <w:r>
      <w:rPr>
        <w:rStyle w:val="PageNumber"/>
        <w:b/>
        <w:i/>
        <w:color w:val="565A5C"/>
      </w:rPr>
      <w:fldChar w:fldCharType="separate"/>
    </w:r>
    <w:r w:rsidR="00062C28">
      <w:rPr>
        <w:rStyle w:val="PageNumber"/>
        <w:b/>
        <w:noProof/>
        <w:color w:val="565A5C"/>
      </w:rPr>
      <w:t>4</w:t>
    </w:r>
    <w:r>
      <w:rPr>
        <w:rStyle w:val="PageNumber"/>
        <w:b/>
        <w:i/>
        <w:color w:val="565A5C"/>
      </w:rPr>
      <w:fldChar w:fldCharType="end"/>
    </w:r>
  </w:p>
  <w:p w:rsidR="00EB7A8B" w:rsidRDefault="00EB7A8B" w:rsidP="00EB7A8B">
    <w:pPr>
      <w:pStyle w:val="Footer"/>
      <w:ind w:right="360"/>
      <w:rPr>
        <w:b/>
        <w:i/>
        <w:caps/>
        <w:color w:val="565A5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8B" w:rsidRDefault="00EB7A8B">
    <w:pPr>
      <w:pStyle w:val="Footer"/>
      <w:framePr w:wrap="around" w:vAnchor="text" w:hAnchor="page" w:x="11107" w:y="181"/>
      <w:rPr>
        <w:rStyle w:val="PageNumber"/>
        <w:i/>
      </w:rPr>
    </w:pPr>
    <w:r>
      <w:rPr>
        <w:rStyle w:val="PageNumber"/>
        <w:b/>
        <w:i/>
        <w:color w:val="565A5C"/>
      </w:rPr>
      <w:fldChar w:fldCharType="begin"/>
    </w:r>
    <w:r>
      <w:rPr>
        <w:rStyle w:val="PageNumber"/>
        <w:b/>
        <w:color w:val="565A5C"/>
      </w:rPr>
      <w:instrText xml:space="preserve">PAGE  </w:instrText>
    </w:r>
    <w:r>
      <w:rPr>
        <w:rStyle w:val="PageNumber"/>
        <w:b/>
        <w:i/>
        <w:color w:val="565A5C"/>
      </w:rPr>
      <w:fldChar w:fldCharType="separate"/>
    </w:r>
    <w:r w:rsidR="00062C28">
      <w:rPr>
        <w:rStyle w:val="PageNumber"/>
        <w:b/>
        <w:noProof/>
        <w:color w:val="565A5C"/>
      </w:rPr>
      <w:t>21</w:t>
    </w:r>
    <w:r>
      <w:rPr>
        <w:rStyle w:val="PageNumber"/>
        <w:b/>
        <w:i/>
        <w:color w:val="565A5C"/>
      </w:rPr>
      <w:fldChar w:fldCharType="end"/>
    </w:r>
  </w:p>
  <w:p w:rsidR="00EB7A8B" w:rsidRDefault="00EB7A8B" w:rsidP="00EB7A8B">
    <w:pPr>
      <w:pStyle w:val="Footer"/>
      <w:ind w:right="360"/>
      <w:rPr>
        <w:b/>
        <w:caps/>
        <w:color w:val="565A5C"/>
      </w:rPr>
    </w:pPr>
    <w:r>
      <w:rPr>
        <w:noProof/>
        <w:lang w:eastAsia="en-US"/>
      </w:rPr>
      <mc:AlternateContent>
        <mc:Choice Requires="wps">
          <w:drawing>
            <wp:anchor distT="0" distB="0" distL="114300" distR="114300" simplePos="0" relativeHeight="251670528" behindDoc="0" locked="0" layoutInCell="1" allowOverlap="1" wp14:anchorId="6976F661" wp14:editId="13D6E3EC">
              <wp:simplePos x="0" y="0"/>
              <wp:positionH relativeFrom="column">
                <wp:posOffset>0</wp:posOffset>
              </wp:positionH>
              <wp:positionV relativeFrom="paragraph">
                <wp:posOffset>-6350</wp:posOffset>
              </wp:positionV>
              <wp:extent cx="6629400" cy="8890"/>
              <wp:effectExtent l="0" t="0" r="19050" b="2921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8890"/>
                      </a:xfrm>
                      <a:prstGeom prst="line">
                        <a:avLst/>
                      </a:prstGeom>
                      <a:noFill/>
                      <a:ln w="12700">
                        <a:solidFill>
                          <a:srgbClr val="003D6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AD913" id="Line 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52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" strokecolor="#003d69" strokeweight="1pt">
              <v:shadow color="black" opacity="22938f" offset="0,.74833mm"/>
            </v:line>
          </w:pict>
        </mc:Fallback>
      </mc:AlternateContent>
    </w:r>
  </w:p>
  <w:p w:rsidR="00EB7A8B" w:rsidRDefault="00EB7A8B" w:rsidP="00EB7A8B">
    <w:pPr>
      <w:pStyle w:val="Footer"/>
      <w:ind w:right="360"/>
      <w:rPr>
        <w:b/>
        <w:i/>
        <w:caps/>
        <w:color w:val="565A5C"/>
      </w:rPr>
    </w:pPr>
    <w:r w:rsidRPr="00467F8B">
      <w:rPr>
        <w:b/>
        <w:caps/>
        <w:strike/>
        <w:color w:val="565A5C"/>
      </w:rPr>
      <w:t xml:space="preserve">2016 </w:t>
    </w:r>
    <w:r w:rsidRPr="00467F8B">
      <w:rPr>
        <w:b/>
        <w:caps/>
        <w:color w:val="565A5C"/>
      </w:rPr>
      <w:t xml:space="preserve">NasDAQ Futures (NFX) </w:t>
    </w:r>
    <w:r w:rsidRPr="00467F8B">
      <w:rPr>
        <w:b/>
        <w:caps/>
        <w:strike/>
        <w:color w:val="565A5C"/>
      </w:rPr>
      <w:t>Mass quote protection</w:t>
    </w:r>
    <w:r w:rsidRPr="00467F8B">
      <w:rPr>
        <w:b/>
        <w:caps/>
        <w:color w:val="565A5C"/>
      </w:rPr>
      <w:t xml:space="preserve"> </w:t>
    </w:r>
    <w:r w:rsidRPr="00467F8B">
      <w:rPr>
        <w:b/>
        <w:caps/>
        <w:color w:val="565A5C"/>
        <w:u w:val="single"/>
      </w:rPr>
      <w:t>MQP &amp; SMP</w:t>
    </w:r>
    <w:r w:rsidRPr="00467F8B">
      <w:rPr>
        <w:b/>
        <w:caps/>
        <w:color w:val="565A5C"/>
      </w:rPr>
      <w:t xml:space="preserve"> REFERENCE GUIDE</w:t>
    </w:r>
    <w:r w:rsidRPr="00467F8B">
      <w:rPr>
        <w:b/>
        <w:caps/>
        <w:color w:val="565A5C"/>
      </w:rPr>
      <w:tab/>
    </w:r>
    <w:r w:rsidRPr="00467F8B">
      <w:rPr>
        <w:b/>
        <w:caps/>
        <w:strike/>
        <w:color w:val="565A5C"/>
      </w:rPr>
      <w:t>April 15</w:t>
    </w:r>
    <w:r w:rsidRPr="00467F8B">
      <w:rPr>
        <w:b/>
        <w:caps/>
        <w:color w:val="565A5C"/>
      </w:rPr>
      <w:t xml:space="preserve"> </w:t>
    </w:r>
    <w:r>
      <w:rPr>
        <w:b/>
        <w:caps/>
        <w:color w:val="565A5C"/>
        <w:u w:val="single"/>
      </w:rPr>
      <w:t>NOVEMBER</w:t>
    </w:r>
    <w:r w:rsidRPr="00467F8B">
      <w:rPr>
        <w:b/>
        <w:caps/>
        <w:color w:val="565A5C"/>
        <w:u w:val="single"/>
      </w:rPr>
      <w:t xml:space="preserve"> </w:t>
    </w:r>
    <w:r>
      <w:rPr>
        <w:b/>
        <w:caps/>
        <w:color w:val="565A5C"/>
        <w:u w:val="single"/>
      </w:rPr>
      <w:t>2</w:t>
    </w:r>
    <w:r w:rsidRPr="00467F8B">
      <w:rPr>
        <w:b/>
        <w:caps/>
        <w:color w:val="565A5C"/>
      </w:rPr>
      <w:t>,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8B" w:rsidRDefault="00EB7A8B" w:rsidP="00EB7A8B">
    <w:pPr>
      <w:pStyle w:val="Footer"/>
      <w:ind w:right="360"/>
      <w:rPr>
        <w:b/>
        <w:caps/>
        <w:color w:val="565A5C"/>
      </w:rPr>
    </w:pPr>
    <w:r>
      <w:rPr>
        <w:noProof/>
        <w:lang w:eastAsia="en-US"/>
      </w:rPr>
      <mc:AlternateContent>
        <mc:Choice Requires="wps">
          <w:drawing>
            <wp:anchor distT="0" distB="0" distL="114300" distR="114300" simplePos="0" relativeHeight="251668480" behindDoc="0" locked="0" layoutInCell="1" allowOverlap="1" wp14:anchorId="6976F661" wp14:editId="13D6E3EC">
              <wp:simplePos x="0" y="0"/>
              <wp:positionH relativeFrom="column">
                <wp:posOffset>0</wp:posOffset>
              </wp:positionH>
              <wp:positionV relativeFrom="paragraph">
                <wp:posOffset>-6350</wp:posOffset>
              </wp:positionV>
              <wp:extent cx="6629400" cy="8890"/>
              <wp:effectExtent l="0" t="0" r="19050" b="2921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8890"/>
                      </a:xfrm>
                      <a:prstGeom prst="line">
                        <a:avLst/>
                      </a:prstGeom>
                      <a:noFill/>
                      <a:ln w="12700">
                        <a:solidFill>
                          <a:srgbClr val="003D6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598607" id="Line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52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" strokecolor="#003d69" strokeweight="1pt">
              <v:shadow color="black" opacity="22938f" offset="0,.74833mm"/>
            </v:line>
          </w:pict>
        </mc:Fallback>
      </mc:AlternateContent>
    </w:r>
  </w:p>
  <w:p w:rsidR="00EB7A8B" w:rsidRPr="00EB7A8B" w:rsidRDefault="00EB7A8B" w:rsidP="00EB7A8B">
    <w:pPr>
      <w:pStyle w:val="Footer"/>
      <w:ind w:right="360"/>
      <w:rPr>
        <w:b/>
        <w:i/>
        <w:caps/>
        <w:color w:val="565A5C"/>
      </w:rPr>
    </w:pPr>
    <w:r w:rsidRPr="00467F8B">
      <w:rPr>
        <w:b/>
        <w:caps/>
        <w:strike/>
        <w:color w:val="565A5C"/>
      </w:rPr>
      <w:t xml:space="preserve">2016 </w:t>
    </w:r>
    <w:r w:rsidRPr="00467F8B">
      <w:rPr>
        <w:b/>
        <w:caps/>
        <w:color w:val="565A5C"/>
      </w:rPr>
      <w:t xml:space="preserve">NasDAQ Futures (NFX) </w:t>
    </w:r>
    <w:r w:rsidRPr="00467F8B">
      <w:rPr>
        <w:b/>
        <w:caps/>
        <w:strike/>
        <w:color w:val="565A5C"/>
      </w:rPr>
      <w:t>Mass quote protection</w:t>
    </w:r>
    <w:r w:rsidRPr="00467F8B">
      <w:rPr>
        <w:b/>
        <w:caps/>
        <w:color w:val="565A5C"/>
      </w:rPr>
      <w:t xml:space="preserve"> </w:t>
    </w:r>
    <w:r w:rsidRPr="00467F8B">
      <w:rPr>
        <w:b/>
        <w:caps/>
        <w:color w:val="565A5C"/>
        <w:u w:val="single"/>
      </w:rPr>
      <w:t>MQP &amp; SMP</w:t>
    </w:r>
    <w:r w:rsidRPr="00467F8B">
      <w:rPr>
        <w:b/>
        <w:caps/>
        <w:color w:val="565A5C"/>
      </w:rPr>
      <w:t xml:space="preserve"> REFERENCE GUIDE</w:t>
    </w:r>
    <w:r w:rsidRPr="00467F8B">
      <w:rPr>
        <w:b/>
        <w:caps/>
        <w:color w:val="565A5C"/>
      </w:rPr>
      <w:tab/>
    </w:r>
    <w:r w:rsidRPr="00467F8B">
      <w:rPr>
        <w:b/>
        <w:caps/>
        <w:strike/>
        <w:color w:val="565A5C"/>
      </w:rPr>
      <w:t>April 15</w:t>
    </w:r>
    <w:r w:rsidRPr="00467F8B">
      <w:rPr>
        <w:b/>
        <w:caps/>
        <w:color w:val="565A5C"/>
      </w:rPr>
      <w:t xml:space="preserve"> </w:t>
    </w:r>
    <w:r>
      <w:rPr>
        <w:b/>
        <w:caps/>
        <w:color w:val="565A5C"/>
        <w:u w:val="single"/>
      </w:rPr>
      <w:t>NOVEMBER</w:t>
    </w:r>
    <w:r w:rsidRPr="00467F8B">
      <w:rPr>
        <w:b/>
        <w:caps/>
        <w:color w:val="565A5C"/>
        <w:u w:val="single"/>
      </w:rPr>
      <w:t xml:space="preserve"> </w:t>
    </w:r>
    <w:r>
      <w:rPr>
        <w:b/>
        <w:caps/>
        <w:color w:val="565A5C"/>
        <w:u w:val="single"/>
      </w:rPr>
      <w:t>2</w:t>
    </w:r>
    <w:r w:rsidRPr="00467F8B">
      <w:rPr>
        <w:b/>
        <w:caps/>
        <w:color w:val="565A5C"/>
      </w:rPr>
      <w:t>,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E04" w:rsidRPr="00425E04" w:rsidRDefault="00425E04" w:rsidP="00425E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387" w:rsidRDefault="00D83387">
      <w:r>
        <w:separator/>
      </w:r>
    </w:p>
  </w:footnote>
  <w:footnote w:type="continuationSeparator" w:id="0">
    <w:p w:rsidR="00D83387" w:rsidRDefault="00D83387">
      <w:r>
        <w:continuationSeparator/>
      </w:r>
    </w:p>
  </w:footnote>
  <w:footnote w:id="1">
    <w:p w:rsidR="00EB7A8B" w:rsidRDefault="00EB7A8B" w:rsidP="007F5AEF">
      <w:pPr>
        <w:pStyle w:val="FootnoteText"/>
      </w:pPr>
      <w:r>
        <w:rPr>
          <w:rStyle w:val="FootnoteReference"/>
        </w:rPr>
        <w:footnoteRef/>
      </w:r>
      <w:r>
        <w:t xml:space="preserve"> </w:t>
      </w:r>
      <w:r w:rsidRPr="00954C10">
        <w:rPr>
          <w:rFonts w:ascii="Times New Roman" w:hAnsi="Times New Roman" w:cs="Times New Roman"/>
        </w:rPr>
        <w:t>Both Orders and Quotes are defined in Chapter I, Section 1 as “bids or offers.”  The Exchange is adding both Orders and Quotes within the rule for clarity.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8B" w:rsidRDefault="00EB7A8B" w:rsidP="002667A3">
    <w:pPr>
      <w:spacing w:after="960"/>
    </w:pPr>
  </w:p>
  <w:p w:rsidR="00EB7A8B" w:rsidRPr="00CF4B16" w:rsidRDefault="00EB7A8B" w:rsidP="002667A3">
    <w:pPr>
      <w:pStyle w:val="LetterheadAddress"/>
      <w:ind w:left="6550" w:hanging="160"/>
      <w:rPr>
        <w:sz w:val="20"/>
      </w:rPr>
    </w:pPr>
    <w:r w:rsidRPr="00CF4B16">
      <w:rPr>
        <w:sz w:val="20"/>
      </w:rPr>
      <w:t>Nasdaq Futures, Inc.</w:t>
    </w:r>
  </w:p>
  <w:p w:rsidR="00EB7A8B" w:rsidRPr="00CF4B16" w:rsidRDefault="00EB7A8B" w:rsidP="002667A3">
    <w:pPr>
      <w:pStyle w:val="LetterheadAddress"/>
      <w:ind w:left="6550" w:hanging="160"/>
      <w:rPr>
        <w:sz w:val="20"/>
      </w:rPr>
    </w:pPr>
    <w:r w:rsidRPr="00CF4B16">
      <w:rPr>
        <w:sz w:val="20"/>
      </w:rPr>
      <w:t>1900 Market Street</w:t>
    </w:r>
  </w:p>
  <w:p w:rsidR="00EB7A8B" w:rsidRPr="00CF4B16" w:rsidRDefault="00EB7A8B" w:rsidP="002667A3">
    <w:pPr>
      <w:pStyle w:val="LetterheadAddress"/>
      <w:ind w:left="6550" w:hanging="160"/>
      <w:rPr>
        <w:sz w:val="20"/>
      </w:rPr>
    </w:pPr>
    <w:r w:rsidRPr="00CF4B16">
      <w:rPr>
        <w:sz w:val="20"/>
      </w:rPr>
      <w:t>Philadelphia, PA 19103 / USA</w:t>
    </w:r>
  </w:p>
  <w:p w:rsidR="00EB7A8B" w:rsidRDefault="00EB7A8B" w:rsidP="002667A3">
    <w:pPr>
      <w:spacing w:before="120" w:after="0"/>
      <w:ind w:left="6550" w:hanging="160"/>
    </w:pPr>
    <w:r w:rsidRPr="00CF4B16">
      <w:rPr>
        <w:rFonts w:asciiTheme="majorHAnsi" w:hAnsiTheme="majorHAnsi" w:cs="Times New Roman"/>
        <w:sz w:val="20"/>
        <w:szCs w:val="18"/>
      </w:rPr>
      <w:t>business.nasdaq.com/futures</w:t>
    </w:r>
    <w:r w:rsidRPr="002E383E">
      <w:rPr>
        <w:noProof/>
      </w:rPr>
      <w:drawing>
        <wp:anchor distT="0" distB="0" distL="114300" distR="114300" simplePos="0" relativeHeight="251666432" behindDoc="0" locked="1" layoutInCell="1" allowOverlap="1" wp14:anchorId="4B2F8D5B" wp14:editId="7A4EAC4E">
          <wp:simplePos x="0" y="0"/>
          <wp:positionH relativeFrom="column">
            <wp:posOffset>3467735</wp:posOffset>
          </wp:positionH>
          <wp:positionV relativeFrom="page">
            <wp:posOffset>689610</wp:posOffset>
          </wp:positionV>
          <wp:extent cx="1724025" cy="481965"/>
          <wp:effectExtent l="0" t="0" r="9525" b="0"/>
          <wp:wrapNone/>
          <wp:docPr id="2" name="Picture 2"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8B" w:rsidRPr="00B67098" w:rsidRDefault="00EB7A8B"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EB7A8B" w:rsidRDefault="00EB7A8B"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October 17, 2016</w:t>
    </w:r>
  </w:p>
  <w:p w:rsidR="00EB7A8B" w:rsidRDefault="00EB7A8B"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SR-NFX-2016</w:t>
    </w:r>
    <w:r w:rsidRPr="00C54BB6">
      <w:rPr>
        <w:rFonts w:ascii="Times New Roman" w:hAnsi="Times New Roman" w:cs="Times New Roman"/>
        <w:sz w:val="20"/>
        <w:szCs w:val="20"/>
      </w:rPr>
      <w:t>-</w:t>
    </w:r>
    <w:r>
      <w:rPr>
        <w:rFonts w:ascii="Times New Roman" w:hAnsi="Times New Roman" w:cs="Times New Roman"/>
        <w:sz w:val="20"/>
        <w:szCs w:val="20"/>
      </w:rPr>
      <w:t>96</w:t>
    </w:r>
  </w:p>
  <w:p w:rsidR="00EB7A8B" w:rsidRPr="00B67098" w:rsidRDefault="00EB7A8B"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062C28">
      <w:rPr>
        <w:rFonts w:ascii="Times New Roman" w:hAnsi="Times New Roman" w:cs="Times New Roman"/>
        <w:noProof/>
        <w:sz w:val="20"/>
        <w:szCs w:val="20"/>
      </w:rPr>
      <w:t>21</w:t>
    </w:r>
    <w:r w:rsidRPr="00B67098">
      <w:rPr>
        <w:rFonts w:ascii="Times New Roman" w:hAnsi="Times New Roman" w:cs="Times New Roman"/>
        <w:sz w:val="20"/>
        <w:szCs w:val="20"/>
      </w:rPr>
      <w:fldChar w:fldCharType="end"/>
    </w:r>
  </w:p>
  <w:p w:rsidR="00EB7A8B" w:rsidRPr="00B67098" w:rsidRDefault="00EB7A8B" w:rsidP="00B67098">
    <w:pPr>
      <w:spacing w:after="0" w:line="240" w:lineRule="auto"/>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A8B" w:rsidRDefault="00EB7A8B" w:rsidP="001B6ADA">
    <w:pPr>
      <w:tabs>
        <w:tab w:val="left" w:pos="7560"/>
      </w:tabs>
      <w:spacing w:after="96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3221"/>
    <w:multiLevelType w:val="multilevel"/>
    <w:tmpl w:val="FAC271E4"/>
    <w:lvl w:ilvl="0">
      <w:start w:val="3"/>
      <w:numFmt w:val="decimal"/>
      <w:suff w:val="nothing"/>
      <w:lvlText w:val="%1"/>
      <w:lvlJc w:val="left"/>
      <w:pPr>
        <w:ind w:left="432" w:hanging="432"/>
      </w:pPr>
      <w:rPr>
        <w:rFonts w:hint="default"/>
        <w:color w:val="auto"/>
        <w:sz w:val="36"/>
      </w:rPr>
    </w:lvl>
    <w:lvl w:ilvl="1">
      <w:start w:val="1"/>
      <w:numFmt w:val="decimal"/>
      <w:lvlText w:val="%1.%2"/>
      <w:lvlJc w:val="left"/>
      <w:pPr>
        <w:ind w:left="576" w:hanging="576"/>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2B53D71"/>
    <w:multiLevelType w:val="hybridMultilevel"/>
    <w:tmpl w:val="05BA1B78"/>
    <w:lvl w:ilvl="0" w:tplc="4036B694">
      <w:start w:val="1"/>
      <w:numFmt w:val="bullet"/>
      <w:pStyle w:val="body"/>
      <w:lvlText w:val=""/>
      <w:lvlJc w:val="left"/>
      <w:pPr>
        <w:tabs>
          <w:tab w:val="num" w:pos="1816"/>
        </w:tabs>
        <w:ind w:left="1816" w:hanging="360"/>
      </w:pPr>
      <w:rPr>
        <w:rFonts w:ascii="Symbol" w:hAnsi="Symbol" w:hint="default"/>
        <w:b/>
        <w:i w:val="0"/>
        <w:color w:val="008CA6"/>
        <w:sz w:val="18"/>
      </w:rPr>
    </w:lvl>
    <w:lvl w:ilvl="1" w:tplc="04090003">
      <w:start w:val="1"/>
      <w:numFmt w:val="bullet"/>
      <w:lvlText w:val="o"/>
      <w:lvlJc w:val="left"/>
      <w:pPr>
        <w:ind w:left="2536" w:hanging="360"/>
      </w:pPr>
      <w:rPr>
        <w:rFonts w:ascii="Courier" w:hAnsi="Courier" w:hint="default"/>
      </w:rPr>
    </w:lvl>
    <w:lvl w:ilvl="2" w:tplc="04090005">
      <w:start w:val="1"/>
      <w:numFmt w:val="bullet"/>
      <w:lvlText w:val=""/>
      <w:lvlJc w:val="left"/>
      <w:pPr>
        <w:ind w:left="3256" w:hanging="360"/>
      </w:pPr>
      <w:rPr>
        <w:rFonts w:ascii="Symbol" w:hAnsi="Symbol" w:hint="default"/>
      </w:rPr>
    </w:lvl>
    <w:lvl w:ilvl="3" w:tplc="04090001">
      <w:start w:val="1"/>
      <w:numFmt w:val="bullet"/>
      <w:lvlText w:val=""/>
      <w:lvlJc w:val="left"/>
      <w:pPr>
        <w:ind w:left="3976" w:hanging="360"/>
      </w:pPr>
      <w:rPr>
        <w:rFonts w:ascii="Symbol" w:hAnsi="Symbol" w:hint="default"/>
      </w:rPr>
    </w:lvl>
    <w:lvl w:ilvl="4" w:tplc="04090003" w:tentative="1">
      <w:start w:val="1"/>
      <w:numFmt w:val="bullet"/>
      <w:lvlText w:val="o"/>
      <w:lvlJc w:val="left"/>
      <w:pPr>
        <w:ind w:left="4696" w:hanging="360"/>
      </w:pPr>
      <w:rPr>
        <w:rFonts w:ascii="Courier" w:hAnsi="Courier" w:hint="default"/>
      </w:rPr>
    </w:lvl>
    <w:lvl w:ilvl="5" w:tplc="04090005" w:tentative="1">
      <w:start w:val="1"/>
      <w:numFmt w:val="bullet"/>
      <w:lvlText w:val=""/>
      <w:lvlJc w:val="left"/>
      <w:pPr>
        <w:ind w:left="5416" w:hanging="360"/>
      </w:pPr>
      <w:rPr>
        <w:rFonts w:ascii="Symbol" w:hAnsi="Symbol" w:hint="default"/>
      </w:rPr>
    </w:lvl>
    <w:lvl w:ilvl="6" w:tplc="04090001" w:tentative="1">
      <w:start w:val="1"/>
      <w:numFmt w:val="bullet"/>
      <w:lvlText w:val=""/>
      <w:lvlJc w:val="left"/>
      <w:pPr>
        <w:ind w:left="6136" w:hanging="360"/>
      </w:pPr>
      <w:rPr>
        <w:rFonts w:ascii="Symbol" w:hAnsi="Symbol" w:hint="default"/>
      </w:rPr>
    </w:lvl>
    <w:lvl w:ilvl="7" w:tplc="04090003" w:tentative="1">
      <w:start w:val="1"/>
      <w:numFmt w:val="bullet"/>
      <w:lvlText w:val="o"/>
      <w:lvlJc w:val="left"/>
      <w:pPr>
        <w:ind w:left="6856" w:hanging="360"/>
      </w:pPr>
      <w:rPr>
        <w:rFonts w:ascii="Courier" w:hAnsi="Courier" w:hint="default"/>
      </w:rPr>
    </w:lvl>
    <w:lvl w:ilvl="8" w:tplc="04090005" w:tentative="1">
      <w:start w:val="1"/>
      <w:numFmt w:val="bullet"/>
      <w:lvlText w:val=""/>
      <w:lvlJc w:val="left"/>
      <w:pPr>
        <w:ind w:left="7576" w:hanging="360"/>
      </w:pPr>
      <w:rPr>
        <w:rFonts w:ascii="Symbol" w:hAnsi="Symbol" w:hint="default"/>
      </w:rPr>
    </w:lvl>
  </w:abstractNum>
  <w:abstractNum w:abstractNumId="2"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4" w15:restartNumberingAfterBreak="0">
    <w:nsid w:val="2FB613B4"/>
    <w:multiLevelType w:val="hybridMultilevel"/>
    <w:tmpl w:val="2952AA62"/>
    <w:lvl w:ilvl="0" w:tplc="8592D252">
      <w:start w:val="1"/>
      <w:numFmt w:val="bullet"/>
      <w:pStyle w:val="0body"/>
      <w:lvlText w:val="-"/>
      <w:lvlJc w:val="left"/>
      <w:pPr>
        <w:tabs>
          <w:tab w:val="num" w:pos="824"/>
        </w:tabs>
        <w:ind w:left="824" w:hanging="288"/>
      </w:pPr>
      <w:rPr>
        <w:rFonts w:ascii="Courier New" w:hAnsi="Courier New" w:hint="default"/>
      </w:rPr>
    </w:lvl>
    <w:lvl w:ilvl="1" w:tplc="31F6FEB8">
      <w:start w:val="1"/>
      <w:numFmt w:val="bullet"/>
      <w:lvlText w:val="o"/>
      <w:lvlJc w:val="left"/>
      <w:pPr>
        <w:ind w:left="1706" w:hanging="360"/>
      </w:pPr>
      <w:rPr>
        <w:rFonts w:ascii="Courier New" w:hAnsi="Courier New" w:hint="default"/>
      </w:rPr>
    </w:lvl>
    <w:lvl w:ilvl="2" w:tplc="6AE69866">
      <w:start w:val="1"/>
      <w:numFmt w:val="bullet"/>
      <w:lvlText w:val=""/>
      <w:lvlJc w:val="left"/>
      <w:pPr>
        <w:ind w:left="2426" w:hanging="360"/>
      </w:pPr>
      <w:rPr>
        <w:rFonts w:ascii="Wingdings" w:hAnsi="Wingdings" w:hint="default"/>
      </w:rPr>
    </w:lvl>
    <w:lvl w:ilvl="3" w:tplc="1A46491E" w:tentative="1">
      <w:start w:val="1"/>
      <w:numFmt w:val="bullet"/>
      <w:lvlText w:val=""/>
      <w:lvlJc w:val="left"/>
      <w:pPr>
        <w:ind w:left="3146" w:hanging="360"/>
      </w:pPr>
      <w:rPr>
        <w:rFonts w:ascii="Symbol" w:hAnsi="Symbol" w:hint="default"/>
      </w:rPr>
    </w:lvl>
    <w:lvl w:ilvl="4" w:tplc="98B8401C" w:tentative="1">
      <w:start w:val="1"/>
      <w:numFmt w:val="bullet"/>
      <w:lvlText w:val="o"/>
      <w:lvlJc w:val="left"/>
      <w:pPr>
        <w:ind w:left="3866" w:hanging="360"/>
      </w:pPr>
      <w:rPr>
        <w:rFonts w:ascii="Courier New" w:hAnsi="Courier New" w:hint="default"/>
      </w:rPr>
    </w:lvl>
    <w:lvl w:ilvl="5" w:tplc="FCA258F6" w:tentative="1">
      <w:start w:val="1"/>
      <w:numFmt w:val="bullet"/>
      <w:lvlText w:val=""/>
      <w:lvlJc w:val="left"/>
      <w:pPr>
        <w:ind w:left="4586" w:hanging="360"/>
      </w:pPr>
      <w:rPr>
        <w:rFonts w:ascii="Wingdings" w:hAnsi="Wingdings" w:hint="default"/>
      </w:rPr>
    </w:lvl>
    <w:lvl w:ilvl="6" w:tplc="62F81EC4" w:tentative="1">
      <w:start w:val="1"/>
      <w:numFmt w:val="bullet"/>
      <w:lvlText w:val=""/>
      <w:lvlJc w:val="left"/>
      <w:pPr>
        <w:ind w:left="5306" w:hanging="360"/>
      </w:pPr>
      <w:rPr>
        <w:rFonts w:ascii="Symbol" w:hAnsi="Symbol" w:hint="default"/>
      </w:rPr>
    </w:lvl>
    <w:lvl w:ilvl="7" w:tplc="BFC6BCF8" w:tentative="1">
      <w:start w:val="1"/>
      <w:numFmt w:val="bullet"/>
      <w:lvlText w:val="o"/>
      <w:lvlJc w:val="left"/>
      <w:pPr>
        <w:ind w:left="6026" w:hanging="360"/>
      </w:pPr>
      <w:rPr>
        <w:rFonts w:ascii="Courier New" w:hAnsi="Courier New" w:hint="default"/>
      </w:rPr>
    </w:lvl>
    <w:lvl w:ilvl="8" w:tplc="0F4C353E" w:tentative="1">
      <w:start w:val="1"/>
      <w:numFmt w:val="bullet"/>
      <w:lvlText w:val=""/>
      <w:lvlJc w:val="left"/>
      <w:pPr>
        <w:ind w:left="6746" w:hanging="360"/>
      </w:pPr>
      <w:rPr>
        <w:rFonts w:ascii="Wingdings" w:hAnsi="Wingdings" w:hint="default"/>
      </w:rPr>
    </w:lvl>
  </w:abstractNum>
  <w:abstractNum w:abstractNumId="5" w15:restartNumberingAfterBreak="0">
    <w:nsid w:val="38443D2B"/>
    <w:multiLevelType w:val="hybridMultilevel"/>
    <w:tmpl w:val="76CE52FE"/>
    <w:lvl w:ilvl="0" w:tplc="FFFFFFFF">
      <w:start w:val="1"/>
      <w:numFmt w:val="decimal"/>
      <w:pStyle w:val="body0"/>
      <w:lvlText w:val="%1."/>
      <w:lvlJc w:val="left"/>
      <w:pPr>
        <w:tabs>
          <w:tab w:val="num" w:pos="446"/>
        </w:tabs>
        <w:ind w:left="446"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4C2684"/>
    <w:multiLevelType w:val="hybridMultilevel"/>
    <w:tmpl w:val="ABDA4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D82F92"/>
    <w:multiLevelType w:val="multilevel"/>
    <w:tmpl w:val="682A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9"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10" w15:restartNumberingAfterBreak="0">
    <w:nsid w:val="7EB530E4"/>
    <w:multiLevelType w:val="hybridMultilevel"/>
    <w:tmpl w:val="F206772C"/>
    <w:lvl w:ilvl="0" w:tplc="70F26388">
      <w:start w:val="1"/>
      <w:numFmt w:val="lowerLetter"/>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8"/>
  </w:num>
  <w:num w:numId="5">
    <w:abstractNumId w:val="10"/>
  </w:num>
  <w:num w:numId="6">
    <w:abstractNumId w:val="1"/>
  </w:num>
  <w:num w:numId="7">
    <w:abstractNumId w:val="5"/>
  </w:num>
  <w:num w:numId="8">
    <w:abstractNumId w:val="4"/>
  </w:num>
  <w:num w:numId="9">
    <w:abstractNumId w:val="0"/>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6145">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9A2"/>
    <w:rsid w:val="0002389D"/>
    <w:rsid w:val="00024ECA"/>
    <w:rsid w:val="000277E6"/>
    <w:rsid w:val="000313E1"/>
    <w:rsid w:val="00035AE7"/>
    <w:rsid w:val="00043BF8"/>
    <w:rsid w:val="000467B2"/>
    <w:rsid w:val="00051023"/>
    <w:rsid w:val="00054E16"/>
    <w:rsid w:val="00062009"/>
    <w:rsid w:val="00062C28"/>
    <w:rsid w:val="000747B4"/>
    <w:rsid w:val="000764FA"/>
    <w:rsid w:val="00077AA6"/>
    <w:rsid w:val="0009249B"/>
    <w:rsid w:val="00095F3F"/>
    <w:rsid w:val="000A0FF7"/>
    <w:rsid w:val="000A3874"/>
    <w:rsid w:val="000A3CC3"/>
    <w:rsid w:val="000B0F2E"/>
    <w:rsid w:val="000D02B9"/>
    <w:rsid w:val="000D4A76"/>
    <w:rsid w:val="000E1C8F"/>
    <w:rsid w:val="000F32A6"/>
    <w:rsid w:val="000F3BC3"/>
    <w:rsid w:val="00124D00"/>
    <w:rsid w:val="001265C8"/>
    <w:rsid w:val="00126F15"/>
    <w:rsid w:val="00135BE1"/>
    <w:rsid w:val="0014370F"/>
    <w:rsid w:val="00153179"/>
    <w:rsid w:val="001746B9"/>
    <w:rsid w:val="001747F7"/>
    <w:rsid w:val="0018088D"/>
    <w:rsid w:val="00191B84"/>
    <w:rsid w:val="00197F73"/>
    <w:rsid w:val="001B6ADA"/>
    <w:rsid w:val="001C4306"/>
    <w:rsid w:val="001D46FB"/>
    <w:rsid w:val="001E0D3A"/>
    <w:rsid w:val="001E53F3"/>
    <w:rsid w:val="00203DA5"/>
    <w:rsid w:val="002230A7"/>
    <w:rsid w:val="002325A5"/>
    <w:rsid w:val="00242C21"/>
    <w:rsid w:val="00261A57"/>
    <w:rsid w:val="002667A3"/>
    <w:rsid w:val="002711EE"/>
    <w:rsid w:val="00273392"/>
    <w:rsid w:val="002A147E"/>
    <w:rsid w:val="002A70DC"/>
    <w:rsid w:val="002B0DB3"/>
    <w:rsid w:val="002B5B88"/>
    <w:rsid w:val="002D1A0E"/>
    <w:rsid w:val="00300E44"/>
    <w:rsid w:val="003017B3"/>
    <w:rsid w:val="00303C56"/>
    <w:rsid w:val="00304F17"/>
    <w:rsid w:val="00310833"/>
    <w:rsid w:val="00312BB2"/>
    <w:rsid w:val="00337B63"/>
    <w:rsid w:val="00346C5D"/>
    <w:rsid w:val="00352533"/>
    <w:rsid w:val="003579D4"/>
    <w:rsid w:val="00363601"/>
    <w:rsid w:val="003658B4"/>
    <w:rsid w:val="00371610"/>
    <w:rsid w:val="00372973"/>
    <w:rsid w:val="00372A0A"/>
    <w:rsid w:val="003742C7"/>
    <w:rsid w:val="00394142"/>
    <w:rsid w:val="003A1E6B"/>
    <w:rsid w:val="003B09CB"/>
    <w:rsid w:val="003D071F"/>
    <w:rsid w:val="003D7D45"/>
    <w:rsid w:val="003E66F2"/>
    <w:rsid w:val="003F1332"/>
    <w:rsid w:val="003F5035"/>
    <w:rsid w:val="00400D58"/>
    <w:rsid w:val="004166F5"/>
    <w:rsid w:val="00420946"/>
    <w:rsid w:val="00425E04"/>
    <w:rsid w:val="00425E24"/>
    <w:rsid w:val="004416D1"/>
    <w:rsid w:val="00444B42"/>
    <w:rsid w:val="004468C6"/>
    <w:rsid w:val="00451810"/>
    <w:rsid w:val="004520D0"/>
    <w:rsid w:val="004623F3"/>
    <w:rsid w:val="00471651"/>
    <w:rsid w:val="00471CB4"/>
    <w:rsid w:val="004B4800"/>
    <w:rsid w:val="004C1038"/>
    <w:rsid w:val="004C595C"/>
    <w:rsid w:val="004E0359"/>
    <w:rsid w:val="004F4A5F"/>
    <w:rsid w:val="004F6A14"/>
    <w:rsid w:val="00517DCB"/>
    <w:rsid w:val="00517EAC"/>
    <w:rsid w:val="00536986"/>
    <w:rsid w:val="005376B7"/>
    <w:rsid w:val="005444C0"/>
    <w:rsid w:val="00545050"/>
    <w:rsid w:val="00550D5C"/>
    <w:rsid w:val="0055465F"/>
    <w:rsid w:val="0055547F"/>
    <w:rsid w:val="0056301F"/>
    <w:rsid w:val="00575375"/>
    <w:rsid w:val="0059608D"/>
    <w:rsid w:val="005B121C"/>
    <w:rsid w:val="005B3A86"/>
    <w:rsid w:val="005C2E8D"/>
    <w:rsid w:val="005C4063"/>
    <w:rsid w:val="005D6916"/>
    <w:rsid w:val="005E244B"/>
    <w:rsid w:val="005E4060"/>
    <w:rsid w:val="005E518E"/>
    <w:rsid w:val="005F1A38"/>
    <w:rsid w:val="005F484B"/>
    <w:rsid w:val="005F5C5E"/>
    <w:rsid w:val="00603BA9"/>
    <w:rsid w:val="00615BE5"/>
    <w:rsid w:val="0061772D"/>
    <w:rsid w:val="00622369"/>
    <w:rsid w:val="00623F3F"/>
    <w:rsid w:val="00635FD4"/>
    <w:rsid w:val="0064234D"/>
    <w:rsid w:val="00642E1A"/>
    <w:rsid w:val="00645538"/>
    <w:rsid w:val="006505E1"/>
    <w:rsid w:val="006532B0"/>
    <w:rsid w:val="00662BF1"/>
    <w:rsid w:val="00666570"/>
    <w:rsid w:val="00672BD3"/>
    <w:rsid w:val="00674E96"/>
    <w:rsid w:val="00682E52"/>
    <w:rsid w:val="00687FED"/>
    <w:rsid w:val="006A23F0"/>
    <w:rsid w:val="006A3664"/>
    <w:rsid w:val="006B122A"/>
    <w:rsid w:val="006B55A4"/>
    <w:rsid w:val="006C2BD3"/>
    <w:rsid w:val="006C7C6D"/>
    <w:rsid w:val="006D0516"/>
    <w:rsid w:val="006D7316"/>
    <w:rsid w:val="006E620B"/>
    <w:rsid w:val="006F47E5"/>
    <w:rsid w:val="006F78A0"/>
    <w:rsid w:val="00704A07"/>
    <w:rsid w:val="00711AE9"/>
    <w:rsid w:val="00723F8E"/>
    <w:rsid w:val="00743B78"/>
    <w:rsid w:val="00746658"/>
    <w:rsid w:val="00746EFF"/>
    <w:rsid w:val="007525F5"/>
    <w:rsid w:val="00752A6A"/>
    <w:rsid w:val="007667BD"/>
    <w:rsid w:val="00770B76"/>
    <w:rsid w:val="00773C7C"/>
    <w:rsid w:val="0079548F"/>
    <w:rsid w:val="007B1577"/>
    <w:rsid w:val="007B39B4"/>
    <w:rsid w:val="007D48A6"/>
    <w:rsid w:val="007D6B15"/>
    <w:rsid w:val="007F522A"/>
    <w:rsid w:val="007F5AEF"/>
    <w:rsid w:val="007F6B89"/>
    <w:rsid w:val="00801DF1"/>
    <w:rsid w:val="00803051"/>
    <w:rsid w:val="008225AC"/>
    <w:rsid w:val="00823846"/>
    <w:rsid w:val="0083294B"/>
    <w:rsid w:val="00834A38"/>
    <w:rsid w:val="00840E13"/>
    <w:rsid w:val="00845388"/>
    <w:rsid w:val="008471A9"/>
    <w:rsid w:val="008504E3"/>
    <w:rsid w:val="008601E9"/>
    <w:rsid w:val="00862FB8"/>
    <w:rsid w:val="008A5035"/>
    <w:rsid w:val="008A6F33"/>
    <w:rsid w:val="008C3912"/>
    <w:rsid w:val="008C6FB4"/>
    <w:rsid w:val="008D0276"/>
    <w:rsid w:val="008D0541"/>
    <w:rsid w:val="008D0EA0"/>
    <w:rsid w:val="008D2006"/>
    <w:rsid w:val="008D575B"/>
    <w:rsid w:val="008D5832"/>
    <w:rsid w:val="008E113C"/>
    <w:rsid w:val="008E5622"/>
    <w:rsid w:val="008F2A00"/>
    <w:rsid w:val="008F34CB"/>
    <w:rsid w:val="008F39CF"/>
    <w:rsid w:val="00901585"/>
    <w:rsid w:val="0091268E"/>
    <w:rsid w:val="009325A9"/>
    <w:rsid w:val="00940AE9"/>
    <w:rsid w:val="00954C10"/>
    <w:rsid w:val="00956781"/>
    <w:rsid w:val="00962C60"/>
    <w:rsid w:val="00982966"/>
    <w:rsid w:val="00983B0F"/>
    <w:rsid w:val="009968A7"/>
    <w:rsid w:val="009A2490"/>
    <w:rsid w:val="009B21A4"/>
    <w:rsid w:val="009B56C3"/>
    <w:rsid w:val="009B5FF5"/>
    <w:rsid w:val="009D691D"/>
    <w:rsid w:val="009D7326"/>
    <w:rsid w:val="009E5F42"/>
    <w:rsid w:val="009F7A70"/>
    <w:rsid w:val="00A01B4B"/>
    <w:rsid w:val="00A03815"/>
    <w:rsid w:val="00A06C10"/>
    <w:rsid w:val="00A137D7"/>
    <w:rsid w:val="00A27539"/>
    <w:rsid w:val="00A35B1F"/>
    <w:rsid w:val="00A36131"/>
    <w:rsid w:val="00A43066"/>
    <w:rsid w:val="00A568CC"/>
    <w:rsid w:val="00A57538"/>
    <w:rsid w:val="00A62A66"/>
    <w:rsid w:val="00A85786"/>
    <w:rsid w:val="00A87D38"/>
    <w:rsid w:val="00AB4A64"/>
    <w:rsid w:val="00AB5353"/>
    <w:rsid w:val="00AB6119"/>
    <w:rsid w:val="00AB649F"/>
    <w:rsid w:val="00AC119B"/>
    <w:rsid w:val="00AC1BCD"/>
    <w:rsid w:val="00AD07B6"/>
    <w:rsid w:val="00AD646A"/>
    <w:rsid w:val="00AF47D9"/>
    <w:rsid w:val="00B01B83"/>
    <w:rsid w:val="00B03D03"/>
    <w:rsid w:val="00B040FC"/>
    <w:rsid w:val="00B04429"/>
    <w:rsid w:val="00B15314"/>
    <w:rsid w:val="00B16521"/>
    <w:rsid w:val="00B16C8B"/>
    <w:rsid w:val="00B25CED"/>
    <w:rsid w:val="00B27BEE"/>
    <w:rsid w:val="00B34650"/>
    <w:rsid w:val="00B45B23"/>
    <w:rsid w:val="00B46E8E"/>
    <w:rsid w:val="00B5273F"/>
    <w:rsid w:val="00B569C1"/>
    <w:rsid w:val="00B569E4"/>
    <w:rsid w:val="00B61518"/>
    <w:rsid w:val="00B65824"/>
    <w:rsid w:val="00B65CC7"/>
    <w:rsid w:val="00B67098"/>
    <w:rsid w:val="00B679D2"/>
    <w:rsid w:val="00B803E8"/>
    <w:rsid w:val="00B817A8"/>
    <w:rsid w:val="00B8408C"/>
    <w:rsid w:val="00B90BF8"/>
    <w:rsid w:val="00BA12EA"/>
    <w:rsid w:val="00BB1623"/>
    <w:rsid w:val="00BB6686"/>
    <w:rsid w:val="00BC7B09"/>
    <w:rsid w:val="00BD5978"/>
    <w:rsid w:val="00BD66AD"/>
    <w:rsid w:val="00BE7854"/>
    <w:rsid w:val="00BF0157"/>
    <w:rsid w:val="00BF1E40"/>
    <w:rsid w:val="00BF2D2F"/>
    <w:rsid w:val="00C03127"/>
    <w:rsid w:val="00C0680F"/>
    <w:rsid w:val="00C2091F"/>
    <w:rsid w:val="00C22DCB"/>
    <w:rsid w:val="00C32D24"/>
    <w:rsid w:val="00C34B65"/>
    <w:rsid w:val="00C43D2B"/>
    <w:rsid w:val="00C54BB6"/>
    <w:rsid w:val="00C628A0"/>
    <w:rsid w:val="00C654A6"/>
    <w:rsid w:val="00C9651C"/>
    <w:rsid w:val="00CA65E5"/>
    <w:rsid w:val="00CB4698"/>
    <w:rsid w:val="00CB6A80"/>
    <w:rsid w:val="00CD6D2F"/>
    <w:rsid w:val="00CE387F"/>
    <w:rsid w:val="00CE4500"/>
    <w:rsid w:val="00CF5D12"/>
    <w:rsid w:val="00CF7C6B"/>
    <w:rsid w:val="00D05049"/>
    <w:rsid w:val="00D138C3"/>
    <w:rsid w:val="00D31404"/>
    <w:rsid w:val="00D44C87"/>
    <w:rsid w:val="00D527EA"/>
    <w:rsid w:val="00D63A33"/>
    <w:rsid w:val="00D63C25"/>
    <w:rsid w:val="00D70163"/>
    <w:rsid w:val="00D80E7E"/>
    <w:rsid w:val="00D83387"/>
    <w:rsid w:val="00D857B9"/>
    <w:rsid w:val="00D86D6F"/>
    <w:rsid w:val="00D90AEB"/>
    <w:rsid w:val="00DA6428"/>
    <w:rsid w:val="00DA6700"/>
    <w:rsid w:val="00DB1B21"/>
    <w:rsid w:val="00DC305C"/>
    <w:rsid w:val="00DC6459"/>
    <w:rsid w:val="00DD389D"/>
    <w:rsid w:val="00DE2FCF"/>
    <w:rsid w:val="00E00A30"/>
    <w:rsid w:val="00E0574E"/>
    <w:rsid w:val="00E05D32"/>
    <w:rsid w:val="00E07DDC"/>
    <w:rsid w:val="00E149BA"/>
    <w:rsid w:val="00E15E1F"/>
    <w:rsid w:val="00E31039"/>
    <w:rsid w:val="00E360CB"/>
    <w:rsid w:val="00E36D1C"/>
    <w:rsid w:val="00E418B5"/>
    <w:rsid w:val="00E453F6"/>
    <w:rsid w:val="00E462DD"/>
    <w:rsid w:val="00E50F10"/>
    <w:rsid w:val="00E67374"/>
    <w:rsid w:val="00E7438C"/>
    <w:rsid w:val="00E74ECF"/>
    <w:rsid w:val="00E81CD4"/>
    <w:rsid w:val="00E82A40"/>
    <w:rsid w:val="00E87C9F"/>
    <w:rsid w:val="00EA57C7"/>
    <w:rsid w:val="00EB7A8B"/>
    <w:rsid w:val="00EC12B3"/>
    <w:rsid w:val="00EC1F98"/>
    <w:rsid w:val="00ED4517"/>
    <w:rsid w:val="00EE0A32"/>
    <w:rsid w:val="00EE1F29"/>
    <w:rsid w:val="00EE5F7E"/>
    <w:rsid w:val="00F0211A"/>
    <w:rsid w:val="00F06CCD"/>
    <w:rsid w:val="00F12324"/>
    <w:rsid w:val="00F12343"/>
    <w:rsid w:val="00F16B3B"/>
    <w:rsid w:val="00F16EA3"/>
    <w:rsid w:val="00F17C44"/>
    <w:rsid w:val="00F255EE"/>
    <w:rsid w:val="00F25FF4"/>
    <w:rsid w:val="00F5010F"/>
    <w:rsid w:val="00F507BA"/>
    <w:rsid w:val="00F535EB"/>
    <w:rsid w:val="00F609A9"/>
    <w:rsid w:val="00F710D1"/>
    <w:rsid w:val="00F73281"/>
    <w:rsid w:val="00F74452"/>
    <w:rsid w:val="00F77334"/>
    <w:rsid w:val="00F978A6"/>
    <w:rsid w:val="00FD25EA"/>
    <w:rsid w:val="00FE61BC"/>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6145">
      <o:colormru v:ext="edit" colors="#3d0073"/>
    </o:shapedefaults>
    <o:shapelayout v:ext="edit">
      <o:idmap v:ext="edit" data="1"/>
    </o:shapelayout>
  </w:shapeDefaults>
  <w:decimalSymbol w:val="."/>
  <w:listSeparator w:val=","/>
  <w15:docId w15:val="{0ED7CC44-37A8-4375-B1C7-917330628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link w:val="Heading1Char"/>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aliases w:val="Heading 2 with number"/>
    <w:basedOn w:val="Normal"/>
    <w:next w:val="BodyText"/>
    <w:link w:val="Heading2Char"/>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aliases w:val="Heading 3-chart,Headi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link w:val="Heading5Char"/>
    <w:qFormat/>
    <w:rsid w:val="00697E92"/>
    <w:pPr>
      <w:spacing w:line="200" w:lineRule="exact"/>
      <w:outlineLvl w:val="4"/>
    </w:pPr>
    <w:rPr>
      <w:i/>
      <w:sz w:val="16"/>
    </w:rPr>
  </w:style>
  <w:style w:type="paragraph" w:styleId="Heading6">
    <w:name w:val="heading 6"/>
    <w:basedOn w:val="Normal"/>
    <w:next w:val="Normal"/>
    <w:link w:val="Heading6Char"/>
    <w:qFormat/>
    <w:rsid w:val="00545050"/>
    <w:pPr>
      <w:spacing w:before="240" w:after="60" w:line="260" w:lineRule="atLeast"/>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45050"/>
    <w:pPr>
      <w:spacing w:before="240" w:after="60" w:line="260" w:lineRule="atLeast"/>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5050"/>
    <w:pPr>
      <w:spacing w:before="240" w:after="60" w:line="260" w:lineRule="atLeast"/>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545050"/>
    <w:pPr>
      <w:spacing w:before="240" w:after="60" w:line="260" w:lineRule="atLeast"/>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aliases w:val="Löptext"/>
    <w:basedOn w:val="Normal"/>
    <w:link w:val="BodyTextChar1"/>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rsid w:val="00697E92"/>
  </w:style>
  <w:style w:type="paragraph" w:styleId="TOC1">
    <w:name w:val="toc 1"/>
    <w:basedOn w:val="Normal"/>
    <w:next w:val="Normal"/>
    <w:autoRedefine/>
    <w:uiPriority w:val="39"/>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uiPriority w:val="39"/>
    <w:rsid w:val="00697E92"/>
    <w:pPr>
      <w:ind w:left="220"/>
    </w:pPr>
  </w:style>
  <w:style w:type="paragraph" w:styleId="TOC3">
    <w:name w:val="toc 3"/>
    <w:basedOn w:val="TOC1"/>
    <w:next w:val="Normal"/>
    <w:autoRedefine/>
    <w:uiPriority w:val="39"/>
    <w:rsid w:val="00697E92"/>
    <w:pPr>
      <w:ind w:left="440"/>
    </w:pPr>
    <w:rPr>
      <w:sz w:val="16"/>
    </w:rPr>
  </w:style>
  <w:style w:type="paragraph" w:styleId="TOC4">
    <w:name w:val="toc 4"/>
    <w:basedOn w:val="TOC1"/>
    <w:next w:val="Normal"/>
    <w:autoRedefine/>
    <w:uiPriority w:val="39"/>
    <w:rsid w:val="00697E92"/>
    <w:pPr>
      <w:ind w:left="660"/>
    </w:pPr>
    <w:rPr>
      <w:sz w:val="16"/>
    </w:rPr>
  </w:style>
  <w:style w:type="paragraph" w:styleId="TOC5">
    <w:name w:val="toc 5"/>
    <w:basedOn w:val="TOC1"/>
    <w:next w:val="Normal"/>
    <w:autoRedefine/>
    <w:uiPriority w:val="39"/>
    <w:rsid w:val="00697E92"/>
    <w:pPr>
      <w:ind w:left="880"/>
    </w:pPr>
    <w:rPr>
      <w:sz w:val="16"/>
    </w:rPr>
  </w:style>
  <w:style w:type="paragraph" w:styleId="TOC6">
    <w:name w:val="toc 6"/>
    <w:basedOn w:val="TOC1"/>
    <w:next w:val="Normal"/>
    <w:autoRedefine/>
    <w:uiPriority w:val="39"/>
    <w:rsid w:val="00697E92"/>
    <w:pPr>
      <w:ind w:left="1100"/>
    </w:pPr>
    <w:rPr>
      <w:sz w:val="16"/>
    </w:rPr>
  </w:style>
  <w:style w:type="paragraph" w:styleId="TOC7">
    <w:name w:val="toc 7"/>
    <w:basedOn w:val="TOC1"/>
    <w:next w:val="Normal"/>
    <w:autoRedefine/>
    <w:uiPriority w:val="39"/>
    <w:rsid w:val="00697E92"/>
    <w:pPr>
      <w:ind w:left="1320"/>
    </w:pPr>
    <w:rPr>
      <w:sz w:val="16"/>
    </w:rPr>
  </w:style>
  <w:style w:type="paragraph" w:styleId="TOC8">
    <w:name w:val="toc 8"/>
    <w:basedOn w:val="TOC1"/>
    <w:next w:val="Normal"/>
    <w:autoRedefine/>
    <w:uiPriority w:val="39"/>
    <w:rsid w:val="00697E92"/>
    <w:pPr>
      <w:ind w:left="1540"/>
    </w:pPr>
    <w:rPr>
      <w:sz w:val="16"/>
    </w:rPr>
  </w:style>
  <w:style w:type="paragraph" w:styleId="TOC9">
    <w:name w:val="toc 9"/>
    <w:basedOn w:val="TOC1"/>
    <w:next w:val="Normal"/>
    <w:autoRedefine/>
    <w:uiPriority w:val="39"/>
    <w:rsid w:val="00697E92"/>
    <w:pPr>
      <w:ind w:left="1760"/>
    </w:pPr>
    <w:rPr>
      <w:sz w:val="16"/>
    </w:rPr>
  </w:style>
  <w:style w:type="paragraph" w:styleId="ListNumber">
    <w:name w:val="List Number"/>
    <w:basedOn w:val="BodyText"/>
    <w:rsid w:val="00F721FB"/>
    <w:pPr>
      <w:numPr>
        <w:numId w:val="3"/>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4"/>
      </w:numPr>
      <w:tabs>
        <w:tab w:val="clear" w:pos="113"/>
        <w:tab w:val="num" w:pos="195"/>
      </w:tabs>
      <w:ind w:left="195" w:hanging="195"/>
    </w:pPr>
  </w:style>
  <w:style w:type="paragraph" w:styleId="Footer">
    <w:name w:val="footer"/>
    <w:basedOn w:val="Normal"/>
    <w:link w:val="FooterChar"/>
    <w:uiPriority w:val="99"/>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link w:val="HeaderCha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1"/>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qFormat/>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styleId="FollowedHyperlink">
    <w:name w:val="FollowedHyperlink"/>
    <w:basedOn w:val="DefaultParagraphFont"/>
    <w:unhideWhenUsed/>
    <w:rsid w:val="00983B0F"/>
    <w:rPr>
      <w:color w:val="800080" w:themeColor="followedHyperlink"/>
      <w:u w:val="single"/>
    </w:rPr>
  </w:style>
  <w:style w:type="paragraph" w:styleId="Revision">
    <w:name w:val="Revision"/>
    <w:hidden/>
    <w:rsid w:val="008471A9"/>
    <w:rPr>
      <w:rFonts w:asciiTheme="minorHAnsi" w:eastAsiaTheme="minorHAnsi" w:hAnsiTheme="minorHAnsi" w:cstheme="minorBidi"/>
      <w:sz w:val="22"/>
      <w:szCs w:val="22"/>
    </w:rPr>
  </w:style>
  <w:style w:type="character" w:customStyle="1" w:styleId="Heading6Char">
    <w:name w:val="Heading 6 Char"/>
    <w:basedOn w:val="DefaultParagraphFont"/>
    <w:link w:val="Heading6"/>
    <w:rsid w:val="00545050"/>
    <w:rPr>
      <w:b/>
      <w:bCs/>
      <w:sz w:val="22"/>
      <w:szCs w:val="22"/>
    </w:rPr>
  </w:style>
  <w:style w:type="character" w:customStyle="1" w:styleId="Heading7Char">
    <w:name w:val="Heading 7 Char"/>
    <w:basedOn w:val="DefaultParagraphFont"/>
    <w:link w:val="Heading7"/>
    <w:rsid w:val="00545050"/>
    <w:rPr>
      <w:sz w:val="24"/>
      <w:szCs w:val="24"/>
    </w:rPr>
  </w:style>
  <w:style w:type="character" w:customStyle="1" w:styleId="Heading8Char">
    <w:name w:val="Heading 8 Char"/>
    <w:basedOn w:val="DefaultParagraphFont"/>
    <w:link w:val="Heading8"/>
    <w:rsid w:val="00545050"/>
    <w:rPr>
      <w:i/>
      <w:iCs/>
      <w:sz w:val="24"/>
      <w:szCs w:val="24"/>
    </w:rPr>
  </w:style>
  <w:style w:type="character" w:customStyle="1" w:styleId="Heading9Char">
    <w:name w:val="Heading 9 Char"/>
    <w:basedOn w:val="DefaultParagraphFont"/>
    <w:link w:val="Heading9"/>
    <w:rsid w:val="00545050"/>
    <w:rPr>
      <w:rFonts w:ascii="Arial" w:hAnsi="Arial" w:cs="Arial"/>
      <w:sz w:val="22"/>
      <w:szCs w:val="22"/>
    </w:rPr>
  </w:style>
  <w:style w:type="character" w:customStyle="1" w:styleId="Heading1Char">
    <w:name w:val="Heading 1 Char"/>
    <w:basedOn w:val="DefaultParagraphFont"/>
    <w:link w:val="Heading1"/>
    <w:locked/>
    <w:rsid w:val="00545050"/>
    <w:rPr>
      <w:rFonts w:ascii="Verdana" w:hAnsi="Verdana"/>
      <w:kern w:val="20"/>
      <w:sz w:val="32"/>
      <w:lang w:eastAsia="sv-SE"/>
    </w:rPr>
  </w:style>
  <w:style w:type="character" w:customStyle="1" w:styleId="Heading2Char">
    <w:name w:val="Heading 2 Char"/>
    <w:aliases w:val="Heading 2 with number Char"/>
    <w:basedOn w:val="DefaultParagraphFont"/>
    <w:link w:val="Heading2"/>
    <w:locked/>
    <w:rsid w:val="00545050"/>
    <w:rPr>
      <w:rFonts w:ascii="Verdana" w:hAnsi="Verdana"/>
      <w:b/>
      <w:kern w:val="20"/>
      <w:sz w:val="22"/>
      <w:lang w:eastAsia="sv-SE"/>
    </w:rPr>
  </w:style>
  <w:style w:type="character" w:customStyle="1" w:styleId="Heading3Char">
    <w:name w:val="Heading 3 Char"/>
    <w:aliases w:val="Heading 3-chart Char,Headi3 Char"/>
    <w:basedOn w:val="DefaultParagraphFont"/>
    <w:link w:val="Heading3"/>
    <w:locked/>
    <w:rsid w:val="00545050"/>
    <w:rPr>
      <w:rFonts w:ascii="Verdana" w:hAnsi="Verdana"/>
      <w:b/>
      <w:kern w:val="20"/>
      <w:sz w:val="18"/>
      <w:lang w:eastAsia="sv-SE"/>
    </w:rPr>
  </w:style>
  <w:style w:type="character" w:customStyle="1" w:styleId="Heading4Char">
    <w:name w:val="Heading 4 Char"/>
    <w:basedOn w:val="DefaultParagraphFont"/>
    <w:link w:val="Heading4"/>
    <w:locked/>
    <w:rsid w:val="00545050"/>
    <w:rPr>
      <w:rFonts w:ascii="Verdana" w:hAnsi="Verdana"/>
      <w:kern w:val="20"/>
      <w:sz w:val="18"/>
      <w:lang w:eastAsia="sv-SE"/>
    </w:rPr>
  </w:style>
  <w:style w:type="character" w:customStyle="1" w:styleId="Heading5Char">
    <w:name w:val="Heading 5 Char"/>
    <w:basedOn w:val="DefaultParagraphFont"/>
    <w:link w:val="Heading5"/>
    <w:locked/>
    <w:rsid w:val="00545050"/>
    <w:rPr>
      <w:rFonts w:ascii="Verdana" w:hAnsi="Verdana"/>
      <w:i/>
      <w:kern w:val="20"/>
      <w:sz w:val="16"/>
      <w:lang w:eastAsia="sv-SE"/>
    </w:rPr>
  </w:style>
  <w:style w:type="character" w:customStyle="1" w:styleId="FooterChar">
    <w:name w:val="Footer Char"/>
    <w:basedOn w:val="DefaultParagraphFont"/>
    <w:link w:val="Footer"/>
    <w:uiPriority w:val="99"/>
    <w:locked/>
    <w:rsid w:val="00545050"/>
    <w:rPr>
      <w:rFonts w:ascii="Arial Narrow" w:hAnsi="Arial Narrow"/>
      <w:sz w:val="22"/>
      <w:lang w:eastAsia="sv-SE"/>
    </w:rPr>
  </w:style>
  <w:style w:type="paragraph" w:customStyle="1" w:styleId="Style1">
    <w:name w:val="Style1"/>
    <w:basedOn w:val="Normal"/>
    <w:uiPriority w:val="99"/>
    <w:rsid w:val="00545050"/>
    <w:pPr>
      <w:tabs>
        <w:tab w:val="num" w:pos="1440"/>
      </w:tabs>
      <w:spacing w:after="0" w:line="260" w:lineRule="atLeast"/>
      <w:ind w:left="1440" w:hanging="360"/>
    </w:pPr>
    <w:rPr>
      <w:rFonts w:ascii="Arial Narrow" w:eastAsia="Times New Roman" w:hAnsi="Arial Narrow" w:cs="Times New Roman"/>
      <w:sz w:val="20"/>
    </w:rPr>
  </w:style>
  <w:style w:type="paragraph" w:customStyle="1" w:styleId="note">
    <w:name w:val="note"/>
    <w:basedOn w:val="Normal"/>
    <w:uiPriority w:val="99"/>
    <w:rsid w:val="00545050"/>
    <w:pPr>
      <w:spacing w:after="40" w:line="180" w:lineRule="atLeast"/>
    </w:pPr>
    <w:rPr>
      <w:rFonts w:ascii="Arial Narrow" w:eastAsia="Times New Roman" w:hAnsi="Arial Narrow" w:cs="Times New Roman"/>
      <w:sz w:val="15"/>
      <w:szCs w:val="24"/>
    </w:rPr>
  </w:style>
  <w:style w:type="paragraph" w:styleId="DocumentMap">
    <w:name w:val="Document Map"/>
    <w:basedOn w:val="Normal"/>
    <w:link w:val="DocumentMapChar"/>
    <w:semiHidden/>
    <w:rsid w:val="00545050"/>
    <w:pPr>
      <w:shd w:val="clear" w:color="auto" w:fill="000080"/>
      <w:spacing w:after="0" w:line="260" w:lineRule="atLeas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545050"/>
    <w:rPr>
      <w:rFonts w:ascii="Tahoma" w:hAnsi="Tahoma" w:cs="Tahoma"/>
      <w:shd w:val="clear" w:color="auto" w:fill="000080"/>
    </w:rPr>
  </w:style>
  <w:style w:type="character" w:customStyle="1" w:styleId="Websiteemail">
    <w:name w:val="Website/email"/>
    <w:basedOn w:val="DefaultParagraphFont"/>
    <w:rsid w:val="00545050"/>
    <w:rPr>
      <w:rFonts w:ascii="Arial Narrow" w:hAnsi="Arial Narrow"/>
      <w:b/>
      <w:color w:val="008CA5"/>
      <w:spacing w:val="8"/>
      <w:sz w:val="18"/>
      <w:u w:val="none"/>
    </w:rPr>
  </w:style>
  <w:style w:type="paragraph" w:customStyle="1" w:styleId="0body">
    <w:name w:val="0 body"/>
    <w:basedOn w:val="ListParagraph"/>
    <w:uiPriority w:val="99"/>
    <w:rsid w:val="00545050"/>
    <w:pPr>
      <w:numPr>
        <w:numId w:val="8"/>
      </w:numPr>
      <w:tabs>
        <w:tab w:val="left" w:pos="630"/>
      </w:tabs>
      <w:spacing w:after="0" w:line="220" w:lineRule="atLeast"/>
    </w:pPr>
    <w:rPr>
      <w:rFonts w:ascii="Arial Narrow" w:eastAsia="Times New Roman" w:hAnsi="Arial Narrow" w:cs="Times New Roman"/>
      <w:sz w:val="18"/>
      <w:szCs w:val="20"/>
      <w:lang w:val="sv-SE"/>
    </w:rPr>
  </w:style>
  <w:style w:type="paragraph" w:customStyle="1" w:styleId="web">
    <w:name w:val="web"/>
    <w:basedOn w:val="Normal"/>
    <w:uiPriority w:val="99"/>
    <w:rsid w:val="00545050"/>
    <w:pPr>
      <w:spacing w:after="0" w:line="260" w:lineRule="atLeast"/>
    </w:pPr>
    <w:rPr>
      <w:rFonts w:ascii="Arial Narrow" w:eastAsia="Times New Roman" w:hAnsi="Arial Narrow" w:cs="Times New Roman"/>
      <w:b/>
      <w:color w:val="008CA6"/>
      <w:sz w:val="18"/>
      <w:szCs w:val="24"/>
      <w:u w:val="single"/>
    </w:rPr>
  </w:style>
  <w:style w:type="paragraph" w:customStyle="1" w:styleId="body">
    <w:name w:val="body"/>
    <w:basedOn w:val="Normal"/>
    <w:uiPriority w:val="99"/>
    <w:rsid w:val="00545050"/>
    <w:pPr>
      <w:numPr>
        <w:numId w:val="6"/>
      </w:numPr>
      <w:spacing w:before="40" w:after="40" w:line="220" w:lineRule="atLeast"/>
    </w:pPr>
    <w:rPr>
      <w:rFonts w:ascii="Arial Narrow" w:eastAsia="Times New Roman" w:hAnsi="Arial Narrow" w:cs="Times New Roman"/>
      <w:sz w:val="18"/>
      <w:szCs w:val="18"/>
    </w:rPr>
  </w:style>
  <w:style w:type="paragraph" w:customStyle="1" w:styleId="chart">
    <w:name w:val="chart"/>
    <w:basedOn w:val="Normal"/>
    <w:uiPriority w:val="99"/>
    <w:rsid w:val="00545050"/>
    <w:pPr>
      <w:spacing w:after="0" w:line="220" w:lineRule="atLeast"/>
    </w:pPr>
    <w:rPr>
      <w:rFonts w:ascii="Arial Narrow" w:eastAsia="Times New Roman" w:hAnsi="Arial Narrow" w:cs="Times New Roman"/>
      <w:color w:val="FFFFFF"/>
      <w:sz w:val="18"/>
      <w:szCs w:val="18"/>
    </w:rPr>
  </w:style>
  <w:style w:type="character" w:customStyle="1" w:styleId="A0">
    <w:name w:val="A0"/>
    <w:uiPriority w:val="99"/>
    <w:rsid w:val="00545050"/>
    <w:rPr>
      <w:color w:val="211D1E"/>
      <w:sz w:val="14"/>
    </w:rPr>
  </w:style>
  <w:style w:type="paragraph" w:customStyle="1" w:styleId="ColorfulList-Accent11">
    <w:name w:val="Colorful List - Accent 11"/>
    <w:basedOn w:val="Normal"/>
    <w:uiPriority w:val="99"/>
    <w:rsid w:val="00545050"/>
    <w:pPr>
      <w:spacing w:after="0" w:line="240" w:lineRule="auto"/>
      <w:ind w:left="720"/>
      <w:contextualSpacing/>
    </w:pPr>
    <w:rPr>
      <w:rFonts w:ascii="Arial Narrow" w:eastAsia="Times New Roman" w:hAnsi="Arial Narrow" w:cs="Times New Roman"/>
      <w:color w:val="131313"/>
      <w:sz w:val="20"/>
      <w:szCs w:val="24"/>
    </w:rPr>
  </w:style>
  <w:style w:type="paragraph" w:customStyle="1" w:styleId="info">
    <w:name w:val="info"/>
    <w:basedOn w:val="Normal"/>
    <w:uiPriority w:val="99"/>
    <w:rsid w:val="00545050"/>
    <w:pPr>
      <w:spacing w:after="120" w:line="220" w:lineRule="atLeast"/>
      <w:ind w:left="720"/>
    </w:pPr>
    <w:rPr>
      <w:rFonts w:ascii="Arial Narrow" w:eastAsia="Times New Roman" w:hAnsi="Arial Narrow" w:cs="Times New Roman"/>
      <w:color w:val="686B6D"/>
      <w:sz w:val="16"/>
      <w:szCs w:val="16"/>
    </w:rPr>
  </w:style>
  <w:style w:type="paragraph" w:customStyle="1" w:styleId="Pa4">
    <w:name w:val="Pa4"/>
    <w:basedOn w:val="Default"/>
    <w:next w:val="Default"/>
    <w:uiPriority w:val="99"/>
    <w:rsid w:val="00545050"/>
    <w:pPr>
      <w:spacing w:line="241" w:lineRule="atLeast"/>
    </w:pPr>
    <w:rPr>
      <w:rFonts w:ascii="New Baskerville" w:hAnsi="New Baskerville"/>
      <w:color w:val="auto"/>
      <w:lang w:eastAsia="zh-CN"/>
    </w:rPr>
  </w:style>
  <w:style w:type="paragraph" w:customStyle="1" w:styleId="Pa2">
    <w:name w:val="Pa2"/>
    <w:basedOn w:val="Default"/>
    <w:next w:val="Default"/>
    <w:uiPriority w:val="99"/>
    <w:rsid w:val="00545050"/>
    <w:pPr>
      <w:spacing w:line="201" w:lineRule="atLeast"/>
    </w:pPr>
    <w:rPr>
      <w:rFonts w:ascii="New Baskerville" w:hAnsi="New Baskerville"/>
      <w:color w:val="auto"/>
      <w:lang w:eastAsia="zh-CN"/>
    </w:rPr>
  </w:style>
  <w:style w:type="paragraph" w:customStyle="1" w:styleId="tablecondtext">
    <w:name w:val="table cond text"/>
    <w:uiPriority w:val="99"/>
    <w:rsid w:val="00545050"/>
    <w:pPr>
      <w:spacing w:before="40" w:line="216" w:lineRule="exact"/>
    </w:pPr>
    <w:rPr>
      <w:rFonts w:ascii="Arial Narrow" w:eastAsia="MS Mincho" w:hAnsi="Arial Narrow"/>
      <w:color w:val="333333"/>
      <w:spacing w:val="-4"/>
      <w:sz w:val="24"/>
      <w:szCs w:val="24"/>
    </w:rPr>
  </w:style>
  <w:style w:type="paragraph" w:customStyle="1" w:styleId="tablebulletcondtext">
    <w:name w:val="table bullet cond text"/>
    <w:uiPriority w:val="99"/>
    <w:rsid w:val="00545050"/>
    <w:pPr>
      <w:ind w:left="360" w:hanging="360"/>
    </w:pPr>
    <w:rPr>
      <w:rFonts w:ascii="Arial Narrow" w:eastAsia="MS Mincho" w:hAnsi="Arial Narrow"/>
      <w:color w:val="333333"/>
      <w:spacing w:val="-4"/>
      <w:sz w:val="24"/>
      <w:szCs w:val="24"/>
    </w:rPr>
  </w:style>
  <w:style w:type="paragraph" w:customStyle="1" w:styleId="HeadersSub">
    <w:name w:val="Header_s.Sub"/>
    <w:qFormat/>
    <w:rsid w:val="00545050"/>
    <w:pPr>
      <w:spacing w:after="120" w:line="260" w:lineRule="atLeast"/>
    </w:pPr>
    <w:rPr>
      <w:rFonts w:ascii="Arial Narrow" w:hAnsi="Arial Narrow" w:cs="Garamond"/>
      <w:b/>
      <w:color w:val="131313"/>
      <w:sz w:val="22"/>
      <w:szCs w:val="24"/>
    </w:rPr>
  </w:style>
  <w:style w:type="paragraph" w:customStyle="1" w:styleId="BodyText1">
    <w:name w:val="Body Text1"/>
    <w:basedOn w:val="Normal"/>
    <w:uiPriority w:val="99"/>
    <w:rsid w:val="00545050"/>
    <w:pPr>
      <w:spacing w:after="0" w:line="260" w:lineRule="atLeast"/>
    </w:pPr>
    <w:rPr>
      <w:rFonts w:ascii="Arial Narrow" w:eastAsia="Times New Roman" w:hAnsi="Arial Narrow" w:cs="Times New Roman"/>
      <w:sz w:val="18"/>
      <w:szCs w:val="20"/>
    </w:rPr>
  </w:style>
  <w:style w:type="character" w:customStyle="1" w:styleId="DocID">
    <w:name w:val="DocID"/>
    <w:basedOn w:val="DefaultParagraphFont"/>
    <w:uiPriority w:val="99"/>
    <w:rsid w:val="00545050"/>
    <w:rPr>
      <w:rFonts w:ascii="Arial" w:hAnsi="Arial" w:cs="Arial"/>
      <w:color w:val="000000"/>
      <w:sz w:val="14"/>
      <w:u w:val="none"/>
    </w:rPr>
  </w:style>
  <w:style w:type="paragraph" w:customStyle="1" w:styleId="HeaderSub">
    <w:name w:val="Header_Sub"/>
    <w:qFormat/>
    <w:rsid w:val="00545050"/>
    <w:pPr>
      <w:keepNext/>
      <w:keepLines/>
      <w:spacing w:before="120" w:after="120" w:line="280" w:lineRule="atLeast"/>
    </w:pPr>
    <w:rPr>
      <w:rFonts w:ascii="Arial Narrow" w:hAnsi="Arial Narrow"/>
      <w:b/>
      <w:sz w:val="28"/>
      <w:szCs w:val="24"/>
    </w:rPr>
  </w:style>
  <w:style w:type="paragraph" w:customStyle="1" w:styleId="Bold">
    <w:name w:val="Bold"/>
    <w:basedOn w:val="Normal"/>
    <w:qFormat/>
    <w:rsid w:val="00545050"/>
    <w:pPr>
      <w:spacing w:after="0" w:line="260" w:lineRule="atLeast"/>
    </w:pPr>
    <w:rPr>
      <w:rFonts w:ascii="Arial Narrow" w:eastAsia="Times New Roman" w:hAnsi="Arial Narrow" w:cs="Times New Roman"/>
      <w:b/>
      <w:color w:val="000000"/>
      <w:sz w:val="18"/>
      <w:szCs w:val="24"/>
    </w:rPr>
  </w:style>
  <w:style w:type="paragraph" w:customStyle="1" w:styleId="BodytextBox">
    <w:name w:val="Body text_Box"/>
    <w:basedOn w:val="Normal"/>
    <w:next w:val="0body"/>
    <w:qFormat/>
    <w:rsid w:val="00545050"/>
    <w:pPr>
      <w:spacing w:after="0" w:line="220" w:lineRule="atLeast"/>
    </w:pPr>
    <w:rPr>
      <w:rFonts w:ascii="Arial Narrow" w:eastAsia="Times New Roman" w:hAnsi="Arial Narrow" w:cs="Times New Roman"/>
      <w:b/>
      <w:sz w:val="18"/>
      <w:szCs w:val="24"/>
    </w:rPr>
  </w:style>
  <w:style w:type="paragraph" w:customStyle="1" w:styleId="body0">
    <w:name w:val="# body"/>
    <w:basedOn w:val="Normal"/>
    <w:qFormat/>
    <w:rsid w:val="00545050"/>
    <w:pPr>
      <w:numPr>
        <w:numId w:val="7"/>
      </w:numPr>
      <w:spacing w:after="0" w:line="260" w:lineRule="atLeast"/>
    </w:pPr>
    <w:rPr>
      <w:rFonts w:ascii="Arial Narrow" w:eastAsia="Times New Roman" w:hAnsi="Arial Narrow" w:cs="Times New Roman"/>
      <w:sz w:val="18"/>
    </w:rPr>
  </w:style>
  <w:style w:type="character" w:customStyle="1" w:styleId="HeaderChar">
    <w:name w:val="Header Char"/>
    <w:basedOn w:val="DefaultParagraphFont"/>
    <w:link w:val="Header"/>
    <w:rsid w:val="00545050"/>
    <w:rPr>
      <w:rFonts w:ascii="Arial Narrow" w:hAnsi="Arial Narrow"/>
      <w:noProof/>
      <w:sz w:val="22"/>
      <w:lang w:eastAsia="sv-SE"/>
    </w:rPr>
  </w:style>
  <w:style w:type="character" w:customStyle="1" w:styleId="phonenumber">
    <w:name w:val="phone number"/>
    <w:rsid w:val="00545050"/>
    <w:rPr>
      <w:rFonts w:ascii="Arial Narrow" w:hAnsi="Arial Narrow"/>
      <w:b/>
      <w:color w:val="000000"/>
      <w:sz w:val="18"/>
    </w:rPr>
  </w:style>
  <w:style w:type="character" w:customStyle="1" w:styleId="BodyTextChar">
    <w:name w:val="Body Text Char"/>
    <w:aliases w:val="Löptext Char"/>
    <w:basedOn w:val="DefaultParagraphFont"/>
    <w:rsid w:val="00545050"/>
    <w:rPr>
      <w:sz w:val="22"/>
      <w:szCs w:val="20"/>
      <w:lang w:eastAsia="ja-JP"/>
    </w:rPr>
  </w:style>
  <w:style w:type="character" w:styleId="Emphasis">
    <w:name w:val="Emphasis"/>
    <w:basedOn w:val="DefaultParagraphFont"/>
    <w:qFormat/>
    <w:rsid w:val="00545050"/>
    <w:rPr>
      <w:i/>
      <w:iCs/>
    </w:rPr>
  </w:style>
  <w:style w:type="character" w:styleId="Strong">
    <w:name w:val="Strong"/>
    <w:basedOn w:val="DefaultParagraphFont"/>
    <w:qFormat/>
    <w:rsid w:val="00545050"/>
    <w:rPr>
      <w:b/>
      <w:bCs/>
    </w:rPr>
  </w:style>
  <w:style w:type="table" w:styleId="ColorfulGrid-Accent1">
    <w:name w:val="Colorful Grid Accent 1"/>
    <w:basedOn w:val="TableNormal"/>
    <w:uiPriority w:val="73"/>
    <w:rsid w:val="00545050"/>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itle2">
    <w:name w:val="Title 2"/>
    <w:basedOn w:val="Normal"/>
    <w:qFormat/>
    <w:rsid w:val="00545050"/>
    <w:pPr>
      <w:spacing w:after="0" w:line="1080" w:lineRule="atLeast"/>
    </w:pPr>
    <w:rPr>
      <w:rFonts w:ascii="Arial Narrow" w:eastAsia="Times New Roman" w:hAnsi="Arial Narrow" w:cs="Times New Roman"/>
      <w:b/>
      <w:caps/>
      <w:color w:val="777877"/>
      <w:sz w:val="104"/>
      <w:szCs w:val="24"/>
    </w:rPr>
  </w:style>
  <w:style w:type="paragraph" w:customStyle="1" w:styleId="Copyright">
    <w:name w:val="Copyright"/>
    <w:autoRedefine/>
    <w:qFormat/>
    <w:rsid w:val="00545050"/>
    <w:pPr>
      <w:jc w:val="center"/>
    </w:pPr>
    <w:rPr>
      <w:rFonts w:ascii="Arial Narrow" w:hAnsi="Arial Narrow"/>
      <w:color w:val="000000" w:themeColor="text1"/>
      <w:sz w:val="16"/>
      <w:szCs w:val="18"/>
    </w:rPr>
  </w:style>
  <w:style w:type="paragraph" w:customStyle="1" w:styleId="Default1">
    <w:name w:val="Default1"/>
    <w:basedOn w:val="Default"/>
    <w:next w:val="Default"/>
    <w:rsid w:val="00545050"/>
    <w:rPr>
      <w:rFonts w:ascii="Arial Black" w:hAnsi="Arial Black"/>
      <w:color w:val="auto"/>
    </w:rPr>
  </w:style>
  <w:style w:type="paragraph" w:customStyle="1" w:styleId="CM9">
    <w:name w:val="CM9"/>
    <w:basedOn w:val="Normal"/>
    <w:next w:val="Normal"/>
    <w:rsid w:val="00545050"/>
    <w:pPr>
      <w:autoSpaceDE w:val="0"/>
      <w:autoSpaceDN w:val="0"/>
      <w:adjustRightInd w:val="0"/>
      <w:spacing w:after="238" w:line="240" w:lineRule="auto"/>
    </w:pPr>
    <w:rPr>
      <w:rFonts w:ascii="Arial Black" w:eastAsia="Times New Roman" w:hAnsi="Arial Black" w:cs="Times New Roman"/>
      <w:sz w:val="24"/>
      <w:szCs w:val="24"/>
    </w:rPr>
  </w:style>
  <w:style w:type="paragraph" w:customStyle="1" w:styleId="TableText">
    <w:name w:val="Table Text"/>
    <w:basedOn w:val="Normal"/>
    <w:rsid w:val="00545050"/>
    <w:pPr>
      <w:spacing w:before="60" w:after="60" w:line="60" w:lineRule="atLeast"/>
    </w:pPr>
    <w:rPr>
      <w:rFonts w:ascii="Times New Roman" w:eastAsia="Times New Roman" w:hAnsi="Times New Roman" w:cs="Times New Roman"/>
      <w:sz w:val="20"/>
      <w:szCs w:val="20"/>
      <w:lang w:val="en-GB"/>
    </w:rPr>
  </w:style>
  <w:style w:type="paragraph" w:styleId="Title">
    <w:name w:val="Title"/>
    <w:basedOn w:val="Heading1"/>
    <w:link w:val="TitleChar"/>
    <w:qFormat/>
    <w:rsid w:val="00545050"/>
    <w:pPr>
      <w:pageBreakBefore/>
      <w:spacing w:before="2480" w:after="120" w:line="340" w:lineRule="atLeast"/>
      <w:ind w:left="432" w:hanging="432"/>
      <w:outlineLvl w:val="9"/>
    </w:pPr>
    <w:rPr>
      <w:b/>
      <w:kern w:val="0"/>
      <w:sz w:val="36"/>
      <w:lang w:eastAsia="en-US"/>
    </w:rPr>
  </w:style>
  <w:style w:type="character" w:customStyle="1" w:styleId="TitleChar">
    <w:name w:val="Title Char"/>
    <w:basedOn w:val="DefaultParagraphFont"/>
    <w:link w:val="Title"/>
    <w:rsid w:val="00545050"/>
    <w:rPr>
      <w:rFonts w:ascii="Verdana" w:hAnsi="Verdana"/>
      <w:b/>
      <w:sz w:val="36"/>
    </w:rPr>
  </w:style>
  <w:style w:type="paragraph" w:customStyle="1" w:styleId="TableofContents">
    <w:name w:val="Table of Contents"/>
    <w:basedOn w:val="Heading1"/>
    <w:rsid w:val="00545050"/>
    <w:pPr>
      <w:pageBreakBefore/>
      <w:spacing w:before="360" w:after="120" w:line="340" w:lineRule="atLeast"/>
      <w:ind w:left="432" w:hanging="432"/>
      <w:outlineLvl w:val="9"/>
    </w:pPr>
    <w:rPr>
      <w:b/>
      <w:kern w:val="0"/>
      <w:sz w:val="48"/>
      <w:lang w:eastAsia="en-US"/>
    </w:rPr>
  </w:style>
  <w:style w:type="paragraph" w:customStyle="1" w:styleId="Result">
    <w:name w:val="Result"/>
    <w:basedOn w:val="Normal"/>
    <w:rsid w:val="00545050"/>
    <w:pPr>
      <w:spacing w:after="120" w:line="240" w:lineRule="auto"/>
      <w:ind w:left="360"/>
    </w:pPr>
    <w:rPr>
      <w:rFonts w:ascii="Times New Roman" w:eastAsia="Times New Roman" w:hAnsi="Times New Roman" w:cs="Times New Roman"/>
      <w:sz w:val="20"/>
      <w:szCs w:val="20"/>
      <w:lang w:val="en-GB"/>
    </w:rPr>
  </w:style>
  <w:style w:type="paragraph" w:customStyle="1" w:styleId="SectionHeading">
    <w:name w:val="Section Heading"/>
    <w:basedOn w:val="Normal"/>
    <w:next w:val="Normal"/>
    <w:rsid w:val="00545050"/>
    <w:pPr>
      <w:spacing w:before="240" w:after="0" w:line="240" w:lineRule="exact"/>
      <w:outlineLvl w:val="0"/>
    </w:pPr>
    <w:rPr>
      <w:rFonts w:ascii="Verdana" w:eastAsia="Times New Roman" w:hAnsi="Verdana" w:cs="Times New Roman"/>
      <w:b/>
      <w:bCs/>
      <w:sz w:val="20"/>
      <w:szCs w:val="20"/>
      <w:lang w:val="en-GB"/>
    </w:rPr>
  </w:style>
  <w:style w:type="paragraph" w:customStyle="1" w:styleId="TableHeading">
    <w:name w:val="Table Heading"/>
    <w:basedOn w:val="TableText"/>
    <w:rsid w:val="00545050"/>
  </w:style>
  <w:style w:type="paragraph" w:customStyle="1" w:styleId="Indented1">
    <w:name w:val="Indented1"/>
    <w:basedOn w:val="Normal"/>
    <w:rsid w:val="00545050"/>
    <w:pPr>
      <w:spacing w:after="120" w:line="240" w:lineRule="auto"/>
      <w:ind w:left="360"/>
    </w:pPr>
    <w:rPr>
      <w:rFonts w:ascii="Arial" w:eastAsia="Times New Roman" w:hAnsi="Arial" w:cs="Times New Roman"/>
      <w:sz w:val="20"/>
      <w:szCs w:val="20"/>
      <w:lang w:val="en-GB"/>
    </w:rPr>
  </w:style>
  <w:style w:type="paragraph" w:customStyle="1" w:styleId="Null">
    <w:name w:val="Null"/>
    <w:basedOn w:val="Normal"/>
    <w:rsid w:val="00545050"/>
    <w:pPr>
      <w:spacing w:after="0" w:line="240" w:lineRule="auto"/>
    </w:pPr>
    <w:rPr>
      <w:rFonts w:ascii="Times New Roman" w:eastAsia="Times New Roman" w:hAnsi="Times New Roman" w:cs="Times New Roman"/>
      <w:sz w:val="20"/>
      <w:szCs w:val="20"/>
      <w:lang w:val="en-GB"/>
    </w:rPr>
  </w:style>
  <w:style w:type="paragraph" w:styleId="NormalIndent">
    <w:name w:val="Normal Indent"/>
    <w:basedOn w:val="Normal"/>
    <w:rsid w:val="00545050"/>
    <w:pPr>
      <w:spacing w:before="60" w:after="120" w:line="240" w:lineRule="auto"/>
      <w:ind w:left="720"/>
    </w:pPr>
    <w:rPr>
      <w:rFonts w:ascii="Times New Roman" w:eastAsia="Times New Roman" w:hAnsi="Times New Roman" w:cs="Times New Roman"/>
      <w:sz w:val="20"/>
      <w:szCs w:val="20"/>
      <w:lang w:val="en-GB"/>
    </w:rPr>
  </w:style>
  <w:style w:type="paragraph" w:styleId="ListBullet2">
    <w:name w:val="List Bullet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customStyle="1" w:styleId="NUMEX">
    <w:name w:val="NUMEX"/>
    <w:basedOn w:val="Normal"/>
    <w:rsid w:val="00545050"/>
    <w:pPr>
      <w:tabs>
        <w:tab w:val="left" w:pos="360"/>
        <w:tab w:val="num" w:pos="720"/>
      </w:tabs>
      <w:spacing w:before="60" w:after="120" w:line="240" w:lineRule="auto"/>
      <w:ind w:left="360" w:hanging="360"/>
    </w:pPr>
    <w:rPr>
      <w:rFonts w:ascii="Times New Roman" w:eastAsia="Times New Roman" w:hAnsi="Times New Roman" w:cs="Times New Roman"/>
      <w:noProof/>
      <w:sz w:val="20"/>
      <w:szCs w:val="20"/>
      <w:lang w:val="en-GB"/>
    </w:rPr>
  </w:style>
  <w:style w:type="paragraph" w:customStyle="1" w:styleId="Indented2">
    <w:name w:val="Indented2"/>
    <w:basedOn w:val="Indented1"/>
    <w:rsid w:val="00545050"/>
    <w:pPr>
      <w:ind w:left="720"/>
    </w:pPr>
  </w:style>
  <w:style w:type="paragraph" w:styleId="MessageHeader">
    <w:name w:val="Message Header"/>
    <w:basedOn w:val="Normal"/>
    <w:link w:val="MessageHeaderChar"/>
    <w:rsid w:val="00545050"/>
    <w:pPr>
      <w:pBdr>
        <w:top w:val="single" w:sz="6" w:space="1" w:color="auto"/>
        <w:left w:val="single" w:sz="6" w:space="1" w:color="auto"/>
        <w:bottom w:val="single" w:sz="6" w:space="1" w:color="auto"/>
        <w:right w:val="single" w:sz="6" w:space="1" w:color="auto"/>
      </w:pBdr>
      <w:shd w:val="pct20" w:color="auto" w:fill="auto"/>
      <w:spacing w:before="60" w:after="120" w:line="240" w:lineRule="auto"/>
      <w:ind w:left="1134" w:hanging="1134"/>
    </w:pPr>
    <w:rPr>
      <w:rFonts w:ascii="Verdana" w:eastAsia="Times New Roman" w:hAnsi="Verdana" w:cs="Arial"/>
      <w:sz w:val="24"/>
      <w:szCs w:val="24"/>
      <w:lang w:val="en-GB"/>
    </w:rPr>
  </w:style>
  <w:style w:type="character" w:customStyle="1" w:styleId="MessageHeaderChar">
    <w:name w:val="Message Header Char"/>
    <w:basedOn w:val="DefaultParagraphFont"/>
    <w:link w:val="MessageHeader"/>
    <w:rsid w:val="00545050"/>
    <w:rPr>
      <w:rFonts w:ascii="Verdana" w:hAnsi="Verdana" w:cs="Arial"/>
      <w:sz w:val="24"/>
      <w:szCs w:val="24"/>
      <w:shd w:val="pct20" w:color="auto" w:fill="auto"/>
      <w:lang w:val="en-GB"/>
    </w:rPr>
  </w:style>
  <w:style w:type="paragraph" w:customStyle="1" w:styleId="Punktadlista">
    <w:name w:val="Punkt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styleId="ListBullet3">
    <w:name w:val="List Bullet 3"/>
    <w:basedOn w:val="Normal"/>
    <w:autoRedefine/>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Bullet4">
    <w:name w:val="List Bullet 4"/>
    <w:basedOn w:val="Normal"/>
    <w:autoRedefine/>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Bullet5">
    <w:name w:val="List Bullet 5"/>
    <w:basedOn w:val="Normal"/>
    <w:autoRedefine/>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styleId="ListNumber2">
    <w:name w:val="List Number 2"/>
    <w:basedOn w:val="Normal"/>
    <w:rsid w:val="00545050"/>
    <w:pPr>
      <w:tabs>
        <w:tab w:val="num" w:pos="643"/>
      </w:tabs>
      <w:spacing w:before="60" w:after="120" w:line="240" w:lineRule="auto"/>
      <w:ind w:left="643" w:hanging="360"/>
    </w:pPr>
    <w:rPr>
      <w:rFonts w:ascii="Times New Roman" w:eastAsia="Times New Roman" w:hAnsi="Times New Roman" w:cs="Times New Roman"/>
      <w:sz w:val="20"/>
      <w:szCs w:val="20"/>
      <w:lang w:val="en-GB"/>
    </w:rPr>
  </w:style>
  <w:style w:type="paragraph" w:styleId="ListNumber3">
    <w:name w:val="List Number 3"/>
    <w:basedOn w:val="Normal"/>
    <w:rsid w:val="00545050"/>
    <w:pPr>
      <w:tabs>
        <w:tab w:val="num" w:pos="926"/>
      </w:tabs>
      <w:spacing w:before="60" w:after="120" w:line="240" w:lineRule="auto"/>
      <w:ind w:left="926" w:hanging="360"/>
    </w:pPr>
    <w:rPr>
      <w:rFonts w:ascii="Times New Roman" w:eastAsia="Times New Roman" w:hAnsi="Times New Roman" w:cs="Times New Roman"/>
      <w:sz w:val="20"/>
      <w:szCs w:val="20"/>
      <w:lang w:val="en-GB"/>
    </w:rPr>
  </w:style>
  <w:style w:type="paragraph" w:styleId="ListNumber4">
    <w:name w:val="List Number 4"/>
    <w:basedOn w:val="Normal"/>
    <w:rsid w:val="00545050"/>
    <w:pPr>
      <w:tabs>
        <w:tab w:val="num" w:pos="1209"/>
      </w:tabs>
      <w:spacing w:before="60" w:after="120" w:line="240" w:lineRule="auto"/>
      <w:ind w:left="1209" w:hanging="360"/>
    </w:pPr>
    <w:rPr>
      <w:rFonts w:ascii="Times New Roman" w:eastAsia="Times New Roman" w:hAnsi="Times New Roman" w:cs="Times New Roman"/>
      <w:sz w:val="20"/>
      <w:szCs w:val="20"/>
      <w:lang w:val="en-GB"/>
    </w:rPr>
  </w:style>
  <w:style w:type="paragraph" w:styleId="ListNumber5">
    <w:name w:val="List Number 5"/>
    <w:basedOn w:val="Normal"/>
    <w:rsid w:val="00545050"/>
    <w:pPr>
      <w:tabs>
        <w:tab w:val="num" w:pos="1492"/>
      </w:tabs>
      <w:spacing w:before="60" w:after="120" w:line="240" w:lineRule="auto"/>
      <w:ind w:left="1492" w:hanging="360"/>
    </w:pPr>
    <w:rPr>
      <w:rFonts w:ascii="Times New Roman" w:eastAsia="Times New Roman" w:hAnsi="Times New Roman" w:cs="Times New Roman"/>
      <w:sz w:val="20"/>
      <w:szCs w:val="20"/>
      <w:lang w:val="en-GB"/>
    </w:rPr>
  </w:style>
  <w:style w:type="paragraph" w:customStyle="1" w:styleId="Numreradlista">
    <w:name w:val="Numrerad lista"/>
    <w:basedOn w:val="Normal"/>
    <w:rsid w:val="00545050"/>
    <w:pPr>
      <w:keepLines/>
      <w:spacing w:before="40" w:after="40" w:line="240" w:lineRule="atLeast"/>
      <w:ind w:left="576" w:hanging="576"/>
    </w:pPr>
    <w:rPr>
      <w:rFonts w:ascii="Times New Roman" w:eastAsia="Times New Roman" w:hAnsi="Times New Roman" w:cs="Times New Roman"/>
      <w:sz w:val="20"/>
      <w:szCs w:val="20"/>
      <w:lang w:val="en-GB"/>
    </w:rPr>
  </w:style>
  <w:style w:type="paragraph" w:customStyle="1" w:styleId="Computertext">
    <w:name w:val="Computer text"/>
    <w:basedOn w:val="Normal"/>
    <w:rsid w:val="00545050"/>
    <w:pPr>
      <w:keepLines/>
      <w:spacing w:after="0" w:line="260" w:lineRule="atLeast"/>
      <w:ind w:left="567"/>
    </w:pPr>
    <w:rPr>
      <w:rFonts w:ascii="Courier" w:eastAsia="Times New Roman" w:hAnsi="Courier" w:cs="Times New Roman"/>
      <w:sz w:val="18"/>
      <w:szCs w:val="20"/>
    </w:rPr>
  </w:style>
  <w:style w:type="paragraph" w:customStyle="1" w:styleId="Preformatted">
    <w:name w:val="Preformatted"/>
    <w:basedOn w:val="Normal"/>
    <w:rsid w:val="00545050"/>
    <w:pPr>
      <w:numPr>
        <w:ilvl w:val="12"/>
      </w:numPr>
      <w:tabs>
        <w:tab w:val="left" w:pos="720"/>
      </w:tabs>
      <w:spacing w:after="0" w:line="240" w:lineRule="auto"/>
    </w:pPr>
    <w:rPr>
      <w:rFonts w:ascii="Courier" w:eastAsia="Times New Roman" w:hAnsi="Courier" w:cs="Times New Roman"/>
      <w:sz w:val="20"/>
      <w:szCs w:val="20"/>
      <w:lang w:val="en-GB"/>
    </w:rPr>
  </w:style>
  <w:style w:type="paragraph" w:customStyle="1" w:styleId="tabletext0">
    <w:name w:val="table text"/>
    <w:basedOn w:val="Normal"/>
    <w:rsid w:val="00545050"/>
    <w:pPr>
      <w:keepLines/>
      <w:spacing w:before="20" w:after="20" w:line="240" w:lineRule="atLeast"/>
    </w:pPr>
    <w:rPr>
      <w:rFonts w:ascii="Times New Roman" w:eastAsia="Times New Roman" w:hAnsi="Times New Roman" w:cs="Times New Roman"/>
      <w:sz w:val="20"/>
      <w:szCs w:val="20"/>
      <w:lang w:val="sv-SE"/>
    </w:rPr>
  </w:style>
  <w:style w:type="paragraph" w:customStyle="1" w:styleId="Reference">
    <w:name w:val="Reference"/>
    <w:basedOn w:val="ListBullet2"/>
    <w:autoRedefine/>
    <w:rsid w:val="00545050"/>
    <w:pPr>
      <w:tabs>
        <w:tab w:val="clear" w:pos="643"/>
      </w:tabs>
      <w:ind w:left="0" w:firstLine="0"/>
    </w:pPr>
    <w:rPr>
      <w:i/>
    </w:rPr>
  </w:style>
  <w:style w:type="paragraph" w:customStyle="1" w:styleId="OM-Bulletlist10p">
    <w:name w:val="OM - Bullet list 10p"/>
    <w:basedOn w:val="Normal"/>
    <w:autoRedefine/>
    <w:rsid w:val="00545050"/>
    <w:pPr>
      <w:tabs>
        <w:tab w:val="num" w:pos="360"/>
      </w:tabs>
      <w:spacing w:before="60" w:after="60" w:line="240" w:lineRule="auto"/>
      <w:ind w:left="360" w:hanging="360"/>
    </w:pPr>
    <w:rPr>
      <w:rFonts w:ascii="Times New Roman" w:eastAsia="Times New Roman" w:hAnsi="Times New Roman" w:cs="Times New Roman"/>
      <w:sz w:val="20"/>
      <w:szCs w:val="20"/>
    </w:rPr>
  </w:style>
  <w:style w:type="paragraph" w:customStyle="1" w:styleId="dt">
    <w:name w:val="dt"/>
    <w:basedOn w:val="Normal"/>
    <w:rsid w:val="00545050"/>
    <w:pPr>
      <w:spacing w:after="60" w:line="240" w:lineRule="auto"/>
      <w:ind w:left="567"/>
    </w:pPr>
    <w:rPr>
      <w:rFonts w:ascii="Times New Roman" w:eastAsia="Times New Roman" w:hAnsi="Times New Roman" w:cs="Times New Roman"/>
      <w:sz w:val="20"/>
      <w:szCs w:val="20"/>
    </w:rPr>
  </w:style>
  <w:style w:type="paragraph" w:customStyle="1" w:styleId="t">
    <w:name w:val="t"/>
    <w:basedOn w:val="Normal"/>
    <w:rsid w:val="00545050"/>
    <w:pPr>
      <w:spacing w:before="60" w:after="0" w:line="240" w:lineRule="auto"/>
    </w:pPr>
    <w:rPr>
      <w:rFonts w:ascii="Times New Roman" w:eastAsia="Times New Roman" w:hAnsi="Times New Roman" w:cs="Times New Roman"/>
      <w:i/>
      <w:sz w:val="20"/>
      <w:szCs w:val="20"/>
    </w:rPr>
  </w:style>
  <w:style w:type="paragraph" w:customStyle="1" w:styleId="OM-bodydense">
    <w:name w:val="OM - bodydense"/>
    <w:basedOn w:val="Normal"/>
    <w:rsid w:val="00545050"/>
    <w:pPr>
      <w:spacing w:after="40" w:line="240" w:lineRule="auto"/>
    </w:pPr>
    <w:rPr>
      <w:rFonts w:ascii="Times New Roman" w:eastAsia="Times New Roman" w:hAnsi="Times New Roman" w:cs="Times New Roman"/>
      <w:szCs w:val="20"/>
    </w:rPr>
  </w:style>
  <w:style w:type="paragraph" w:customStyle="1" w:styleId="OM-pTabletext">
    <w:name w:val="OM - p_Table text"/>
    <w:basedOn w:val="Normal"/>
    <w:autoRedefine/>
    <w:rsid w:val="00545050"/>
    <w:pPr>
      <w:tabs>
        <w:tab w:val="left" w:pos="1138"/>
      </w:tabs>
      <w:spacing w:before="60" w:after="20" w:line="60" w:lineRule="atLeast"/>
    </w:pPr>
    <w:rPr>
      <w:rFonts w:ascii="Times New Roman" w:eastAsia="Times New Roman" w:hAnsi="Times New Roman" w:cs="Times New Roman"/>
      <w:sz w:val="20"/>
      <w:szCs w:val="20"/>
    </w:rPr>
  </w:style>
  <w:style w:type="paragraph" w:customStyle="1" w:styleId="OM-pHeading2">
    <w:name w:val="OM - p_Heading 2"/>
    <w:basedOn w:val="Normal"/>
    <w:next w:val="Normal"/>
    <w:rsid w:val="00545050"/>
    <w:pPr>
      <w:keepNext/>
      <w:keepLines/>
      <w:spacing w:before="360" w:after="120" w:line="360" w:lineRule="atLeast"/>
      <w:outlineLvl w:val="1"/>
    </w:pPr>
    <w:rPr>
      <w:rFonts w:ascii="Verdana" w:eastAsia="Times New Roman" w:hAnsi="Verdana" w:cs="Times New Roman"/>
      <w:b/>
      <w:sz w:val="32"/>
      <w:szCs w:val="20"/>
    </w:rPr>
  </w:style>
  <w:style w:type="paragraph" w:customStyle="1" w:styleId="OM-pHeading3">
    <w:name w:val="OM - p_Heading 3"/>
    <w:basedOn w:val="OM-pHeading2"/>
    <w:next w:val="Normal"/>
    <w:rsid w:val="00545050"/>
    <w:pPr>
      <w:tabs>
        <w:tab w:val="left" w:pos="1009"/>
      </w:tabs>
      <w:spacing w:before="240" w:after="60" w:line="240" w:lineRule="atLeast"/>
      <w:outlineLvl w:val="2"/>
    </w:pPr>
    <w:rPr>
      <w:sz w:val="24"/>
    </w:rPr>
  </w:style>
  <w:style w:type="paragraph" w:customStyle="1" w:styleId="Content">
    <w:name w:val="Content"/>
    <w:basedOn w:val="Normal"/>
    <w:autoRedefine/>
    <w:rsid w:val="00545050"/>
    <w:pPr>
      <w:keepNext/>
      <w:tabs>
        <w:tab w:val="left" w:pos="0"/>
      </w:tabs>
      <w:spacing w:before="60" w:after="240" w:line="240" w:lineRule="auto"/>
      <w:ind w:left="-1701"/>
    </w:pPr>
    <w:rPr>
      <w:rFonts w:ascii="Verdana" w:eastAsia="Times New Roman" w:hAnsi="Verdana" w:cs="Times New Roman"/>
      <w:b/>
      <w:sz w:val="48"/>
      <w:szCs w:val="20"/>
      <w:lang w:val="en-GB"/>
    </w:rPr>
  </w:style>
  <w:style w:type="paragraph" w:styleId="BlockText">
    <w:name w:val="Block Text"/>
    <w:basedOn w:val="Normal"/>
    <w:rsid w:val="00545050"/>
    <w:pPr>
      <w:spacing w:before="60" w:after="120" w:line="240" w:lineRule="auto"/>
      <w:ind w:left="1440" w:right="1440"/>
    </w:pPr>
    <w:rPr>
      <w:rFonts w:ascii="Times New Roman" w:eastAsia="Times New Roman" w:hAnsi="Times New Roman" w:cs="Times New Roman"/>
      <w:sz w:val="20"/>
      <w:szCs w:val="20"/>
      <w:lang w:val="en-GB"/>
    </w:rPr>
  </w:style>
  <w:style w:type="paragraph" w:styleId="BodyText2">
    <w:name w:val="Body Text 2"/>
    <w:basedOn w:val="Normal"/>
    <w:link w:val="BodyText2Char"/>
    <w:rsid w:val="00545050"/>
    <w:pPr>
      <w:spacing w:before="60"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545050"/>
    <w:rPr>
      <w:lang w:val="en-GB"/>
    </w:rPr>
  </w:style>
  <w:style w:type="paragraph" w:styleId="BodyText3">
    <w:name w:val="Body Text 3"/>
    <w:basedOn w:val="Normal"/>
    <w:link w:val="BodyText3Char"/>
    <w:rsid w:val="00545050"/>
    <w:pPr>
      <w:spacing w:before="60"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545050"/>
    <w:rPr>
      <w:sz w:val="16"/>
      <w:szCs w:val="16"/>
      <w:lang w:val="en-GB"/>
    </w:rPr>
  </w:style>
  <w:style w:type="paragraph" w:styleId="BodyTextFirstIndent">
    <w:name w:val="Body Text First Indent"/>
    <w:basedOn w:val="BodyText"/>
    <w:link w:val="BodyTextFirstIndentChar"/>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spacing w:before="60" w:after="120" w:line="240" w:lineRule="auto"/>
    </w:pPr>
    <w:rPr>
      <w:rFonts w:ascii="Times New Roman" w:hAnsi="Times New Roman"/>
      <w:sz w:val="20"/>
      <w:lang w:val="en-GB" w:eastAsia="en-US"/>
    </w:rPr>
  </w:style>
  <w:style w:type="character" w:customStyle="1" w:styleId="BodyTextChar1">
    <w:name w:val="Body Text Char1"/>
    <w:aliases w:val="Löptext Char1"/>
    <w:basedOn w:val="DefaultParagraphFont"/>
    <w:link w:val="BodyText"/>
    <w:rsid w:val="00545050"/>
    <w:rPr>
      <w:rFonts w:ascii="Arial Narrow" w:hAnsi="Arial Narrow"/>
      <w:sz w:val="22"/>
      <w:lang w:eastAsia="sv-SE"/>
    </w:rPr>
  </w:style>
  <w:style w:type="character" w:customStyle="1" w:styleId="BodyTextFirstIndentChar">
    <w:name w:val="Body Text First Indent Char"/>
    <w:basedOn w:val="BodyTextChar1"/>
    <w:link w:val="BodyTextFirstIndent"/>
    <w:rsid w:val="00545050"/>
    <w:rPr>
      <w:rFonts w:ascii="Arial Narrow" w:hAnsi="Arial Narrow"/>
      <w:sz w:val="22"/>
      <w:lang w:val="en-GB" w:eastAsia="sv-SE"/>
    </w:rPr>
  </w:style>
  <w:style w:type="paragraph" w:styleId="BodyTextIndent">
    <w:name w:val="Body Text Indent"/>
    <w:basedOn w:val="Normal"/>
    <w:link w:val="BodyTextIndentChar"/>
    <w:rsid w:val="00545050"/>
    <w:pPr>
      <w:spacing w:before="60" w:after="120" w:line="240" w:lineRule="auto"/>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545050"/>
    <w:rPr>
      <w:lang w:val="en-GB"/>
    </w:rPr>
  </w:style>
  <w:style w:type="paragraph" w:styleId="BodyTextFirstIndent2">
    <w:name w:val="Body Text First Indent 2"/>
    <w:basedOn w:val="BodyTextIndent"/>
    <w:link w:val="BodyTextFirstIndent2Char"/>
    <w:rsid w:val="00545050"/>
    <w:pPr>
      <w:ind w:firstLine="210"/>
    </w:pPr>
  </w:style>
  <w:style w:type="character" w:customStyle="1" w:styleId="BodyTextFirstIndent2Char">
    <w:name w:val="Body Text First Indent 2 Char"/>
    <w:basedOn w:val="BodyTextIndentChar"/>
    <w:link w:val="BodyTextFirstIndent2"/>
    <w:rsid w:val="00545050"/>
    <w:rPr>
      <w:lang w:val="en-GB"/>
    </w:rPr>
  </w:style>
  <w:style w:type="paragraph" w:styleId="BodyTextIndent2">
    <w:name w:val="Body Text Indent 2"/>
    <w:basedOn w:val="Normal"/>
    <w:link w:val="BodyTextIndent2Char"/>
    <w:rsid w:val="00545050"/>
    <w:pPr>
      <w:spacing w:before="60"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545050"/>
    <w:rPr>
      <w:lang w:val="en-GB"/>
    </w:rPr>
  </w:style>
  <w:style w:type="paragraph" w:styleId="BodyTextIndent3">
    <w:name w:val="Body Text Indent 3"/>
    <w:basedOn w:val="Normal"/>
    <w:link w:val="BodyTextIndent3Char"/>
    <w:rsid w:val="00545050"/>
    <w:pPr>
      <w:spacing w:before="60"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545050"/>
    <w:rPr>
      <w:sz w:val="16"/>
      <w:szCs w:val="16"/>
      <w:lang w:val="en-GB"/>
    </w:rPr>
  </w:style>
  <w:style w:type="paragraph" w:styleId="Caption">
    <w:name w:val="caption"/>
    <w:basedOn w:val="Normal"/>
    <w:next w:val="Normal"/>
    <w:qFormat/>
    <w:rsid w:val="00545050"/>
    <w:pPr>
      <w:spacing w:before="120" w:after="120" w:line="240" w:lineRule="auto"/>
    </w:pPr>
    <w:rPr>
      <w:rFonts w:ascii="Times New Roman" w:eastAsia="Times New Roman" w:hAnsi="Times New Roman" w:cs="Times New Roman"/>
      <w:b/>
      <w:bCs/>
      <w:sz w:val="20"/>
      <w:szCs w:val="20"/>
      <w:lang w:val="en-GB"/>
    </w:rPr>
  </w:style>
  <w:style w:type="paragraph" w:styleId="Closing">
    <w:name w:val="Closing"/>
    <w:basedOn w:val="Normal"/>
    <w:link w:val="Closing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rsid w:val="00545050"/>
    <w:rPr>
      <w:lang w:val="en-GB"/>
    </w:rPr>
  </w:style>
  <w:style w:type="paragraph" w:styleId="Date">
    <w:name w:val="Date"/>
    <w:basedOn w:val="Normal"/>
    <w:next w:val="Normal"/>
    <w:link w:val="Dat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rsid w:val="00545050"/>
    <w:rPr>
      <w:lang w:val="en-GB"/>
    </w:rPr>
  </w:style>
  <w:style w:type="paragraph" w:styleId="E-mailSignature">
    <w:name w:val="E-mail Signature"/>
    <w:basedOn w:val="Normal"/>
    <w:link w:val="E-mailSignature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rsid w:val="00545050"/>
    <w:rPr>
      <w:lang w:val="en-GB"/>
    </w:rPr>
  </w:style>
  <w:style w:type="paragraph" w:styleId="EndnoteText">
    <w:name w:val="endnote text"/>
    <w:basedOn w:val="Normal"/>
    <w:link w:val="EndnoteText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545050"/>
    <w:rPr>
      <w:lang w:val="en-GB"/>
    </w:rPr>
  </w:style>
  <w:style w:type="paragraph" w:styleId="EnvelopeAddress">
    <w:name w:val="envelope address"/>
    <w:basedOn w:val="Normal"/>
    <w:rsid w:val="00545050"/>
    <w:pPr>
      <w:framePr w:w="7920" w:h="1980" w:hRule="exact" w:hSpace="180" w:wrap="auto" w:hAnchor="page" w:xAlign="center" w:yAlign="bottom"/>
      <w:spacing w:before="60" w:after="120" w:line="240" w:lineRule="auto"/>
      <w:ind w:left="2880"/>
    </w:pPr>
    <w:rPr>
      <w:rFonts w:ascii="Arial" w:eastAsia="Times New Roman" w:hAnsi="Arial" w:cs="Arial"/>
      <w:sz w:val="24"/>
      <w:szCs w:val="24"/>
      <w:lang w:val="en-GB"/>
    </w:rPr>
  </w:style>
  <w:style w:type="paragraph" w:styleId="EnvelopeReturn">
    <w:name w:val="envelope return"/>
    <w:basedOn w:val="Normal"/>
    <w:rsid w:val="00545050"/>
    <w:pPr>
      <w:spacing w:before="60" w:after="120" w:line="240" w:lineRule="auto"/>
    </w:pPr>
    <w:rPr>
      <w:rFonts w:ascii="Arial" w:eastAsia="Times New Roman" w:hAnsi="Arial" w:cs="Arial"/>
      <w:sz w:val="20"/>
      <w:szCs w:val="20"/>
      <w:lang w:val="en-GB"/>
    </w:rPr>
  </w:style>
  <w:style w:type="paragraph" w:styleId="HTMLAddress">
    <w:name w:val="HTML Address"/>
    <w:basedOn w:val="Normal"/>
    <w:link w:val="HTMLAddressChar"/>
    <w:rsid w:val="00545050"/>
    <w:pPr>
      <w:spacing w:before="60" w:after="120" w:line="240" w:lineRule="auto"/>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rsid w:val="00545050"/>
    <w:rPr>
      <w:i/>
      <w:iCs/>
      <w:lang w:val="en-GB"/>
    </w:rPr>
  </w:style>
  <w:style w:type="paragraph" w:styleId="HTMLPreformatted">
    <w:name w:val="HTML Preformatted"/>
    <w:basedOn w:val="Normal"/>
    <w:link w:val="HTMLPreformattedChar"/>
    <w:rsid w:val="00545050"/>
    <w:pPr>
      <w:spacing w:before="6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545050"/>
    <w:rPr>
      <w:rFonts w:ascii="Courier New" w:hAnsi="Courier New" w:cs="Courier New"/>
      <w:lang w:val="en-GB"/>
    </w:rPr>
  </w:style>
  <w:style w:type="paragraph" w:styleId="Index6">
    <w:name w:val="index 6"/>
    <w:basedOn w:val="Normal"/>
    <w:next w:val="Normal"/>
    <w:autoRedefine/>
    <w:rsid w:val="00545050"/>
    <w:pPr>
      <w:spacing w:before="60" w:after="120" w:line="240" w:lineRule="auto"/>
      <w:ind w:left="1200" w:hanging="200"/>
    </w:pPr>
    <w:rPr>
      <w:rFonts w:ascii="Times New Roman" w:eastAsia="Times New Roman" w:hAnsi="Times New Roman" w:cs="Times New Roman"/>
      <w:sz w:val="20"/>
      <w:szCs w:val="20"/>
      <w:lang w:val="en-GB"/>
    </w:rPr>
  </w:style>
  <w:style w:type="paragraph" w:styleId="Index7">
    <w:name w:val="index 7"/>
    <w:basedOn w:val="Normal"/>
    <w:next w:val="Normal"/>
    <w:autoRedefine/>
    <w:rsid w:val="00545050"/>
    <w:pPr>
      <w:spacing w:before="60" w:after="120" w:line="240" w:lineRule="auto"/>
      <w:ind w:left="1400" w:hanging="200"/>
    </w:pPr>
    <w:rPr>
      <w:rFonts w:ascii="Times New Roman" w:eastAsia="Times New Roman" w:hAnsi="Times New Roman" w:cs="Times New Roman"/>
      <w:sz w:val="20"/>
      <w:szCs w:val="20"/>
      <w:lang w:val="en-GB"/>
    </w:rPr>
  </w:style>
  <w:style w:type="paragraph" w:styleId="Index8">
    <w:name w:val="index 8"/>
    <w:basedOn w:val="Normal"/>
    <w:next w:val="Normal"/>
    <w:autoRedefine/>
    <w:rsid w:val="00545050"/>
    <w:pPr>
      <w:spacing w:before="60" w:after="120" w:line="240" w:lineRule="auto"/>
      <w:ind w:left="1600" w:hanging="200"/>
    </w:pPr>
    <w:rPr>
      <w:rFonts w:ascii="Times New Roman" w:eastAsia="Times New Roman" w:hAnsi="Times New Roman" w:cs="Times New Roman"/>
      <w:sz w:val="20"/>
      <w:szCs w:val="20"/>
      <w:lang w:val="en-GB"/>
    </w:rPr>
  </w:style>
  <w:style w:type="paragraph" w:styleId="Index9">
    <w:name w:val="index 9"/>
    <w:basedOn w:val="Normal"/>
    <w:next w:val="Normal"/>
    <w:autoRedefine/>
    <w:rsid w:val="00545050"/>
    <w:pPr>
      <w:spacing w:before="60" w:after="120" w:line="240" w:lineRule="auto"/>
      <w:ind w:left="1800" w:hanging="200"/>
    </w:pPr>
    <w:rPr>
      <w:rFonts w:ascii="Times New Roman" w:eastAsia="Times New Roman" w:hAnsi="Times New Roman" w:cs="Times New Roman"/>
      <w:sz w:val="20"/>
      <w:szCs w:val="20"/>
      <w:lang w:val="en-GB"/>
    </w:rPr>
  </w:style>
  <w:style w:type="paragraph" w:styleId="List">
    <w:name w:val="List"/>
    <w:basedOn w:val="Normal"/>
    <w:rsid w:val="00545050"/>
    <w:pPr>
      <w:spacing w:before="60" w:after="120" w:line="240" w:lineRule="auto"/>
      <w:ind w:left="283" w:hanging="283"/>
    </w:pPr>
    <w:rPr>
      <w:rFonts w:ascii="Times New Roman" w:eastAsia="Times New Roman" w:hAnsi="Times New Roman" w:cs="Times New Roman"/>
      <w:sz w:val="20"/>
      <w:szCs w:val="20"/>
      <w:lang w:val="en-GB"/>
    </w:rPr>
  </w:style>
  <w:style w:type="paragraph" w:styleId="List2">
    <w:name w:val="List 2"/>
    <w:basedOn w:val="Normal"/>
    <w:rsid w:val="00545050"/>
    <w:pPr>
      <w:spacing w:before="60" w:after="120" w:line="240" w:lineRule="auto"/>
      <w:ind w:left="566" w:hanging="283"/>
    </w:pPr>
    <w:rPr>
      <w:rFonts w:ascii="Times New Roman" w:eastAsia="Times New Roman" w:hAnsi="Times New Roman" w:cs="Times New Roman"/>
      <w:sz w:val="20"/>
      <w:szCs w:val="20"/>
      <w:lang w:val="en-GB"/>
    </w:rPr>
  </w:style>
  <w:style w:type="paragraph" w:styleId="List3">
    <w:name w:val="List 3"/>
    <w:basedOn w:val="Normal"/>
    <w:rsid w:val="00545050"/>
    <w:pPr>
      <w:spacing w:before="60" w:after="120" w:line="240" w:lineRule="auto"/>
      <w:ind w:left="849" w:hanging="283"/>
    </w:pPr>
    <w:rPr>
      <w:rFonts w:ascii="Times New Roman" w:eastAsia="Times New Roman" w:hAnsi="Times New Roman" w:cs="Times New Roman"/>
      <w:sz w:val="20"/>
      <w:szCs w:val="20"/>
      <w:lang w:val="en-GB"/>
    </w:rPr>
  </w:style>
  <w:style w:type="paragraph" w:styleId="List4">
    <w:name w:val="List 4"/>
    <w:basedOn w:val="Normal"/>
    <w:rsid w:val="00545050"/>
    <w:pPr>
      <w:spacing w:before="60" w:after="120" w:line="240" w:lineRule="auto"/>
      <w:ind w:left="1132" w:hanging="283"/>
    </w:pPr>
    <w:rPr>
      <w:rFonts w:ascii="Times New Roman" w:eastAsia="Times New Roman" w:hAnsi="Times New Roman" w:cs="Times New Roman"/>
      <w:sz w:val="20"/>
      <w:szCs w:val="20"/>
      <w:lang w:val="en-GB"/>
    </w:rPr>
  </w:style>
  <w:style w:type="paragraph" w:styleId="List5">
    <w:name w:val="List 5"/>
    <w:basedOn w:val="Normal"/>
    <w:rsid w:val="00545050"/>
    <w:pPr>
      <w:spacing w:before="60" w:after="120" w:line="240" w:lineRule="auto"/>
      <w:ind w:left="1415" w:hanging="283"/>
    </w:pPr>
    <w:rPr>
      <w:rFonts w:ascii="Times New Roman" w:eastAsia="Times New Roman" w:hAnsi="Times New Roman" w:cs="Times New Roman"/>
      <w:sz w:val="20"/>
      <w:szCs w:val="20"/>
      <w:lang w:val="en-GB"/>
    </w:rPr>
  </w:style>
  <w:style w:type="paragraph" w:styleId="ListContinue">
    <w:name w:val="List Continue"/>
    <w:basedOn w:val="Normal"/>
    <w:rsid w:val="00545050"/>
    <w:pPr>
      <w:spacing w:before="60" w:after="120" w:line="240" w:lineRule="auto"/>
      <w:ind w:left="283"/>
    </w:pPr>
    <w:rPr>
      <w:rFonts w:ascii="Times New Roman" w:eastAsia="Times New Roman" w:hAnsi="Times New Roman" w:cs="Times New Roman"/>
      <w:sz w:val="20"/>
      <w:szCs w:val="20"/>
      <w:lang w:val="en-GB"/>
    </w:rPr>
  </w:style>
  <w:style w:type="paragraph" w:styleId="ListContinue2">
    <w:name w:val="List Continue 2"/>
    <w:basedOn w:val="Normal"/>
    <w:rsid w:val="00545050"/>
    <w:pPr>
      <w:spacing w:before="60" w:after="120" w:line="240" w:lineRule="auto"/>
      <w:ind w:left="566"/>
    </w:pPr>
    <w:rPr>
      <w:rFonts w:ascii="Times New Roman" w:eastAsia="Times New Roman" w:hAnsi="Times New Roman" w:cs="Times New Roman"/>
      <w:sz w:val="20"/>
      <w:szCs w:val="20"/>
      <w:lang w:val="en-GB"/>
    </w:rPr>
  </w:style>
  <w:style w:type="paragraph" w:styleId="ListContinue3">
    <w:name w:val="List Continue 3"/>
    <w:basedOn w:val="Normal"/>
    <w:rsid w:val="00545050"/>
    <w:pPr>
      <w:spacing w:before="60" w:after="120" w:line="240" w:lineRule="auto"/>
      <w:ind w:left="849"/>
    </w:pPr>
    <w:rPr>
      <w:rFonts w:ascii="Times New Roman" w:eastAsia="Times New Roman" w:hAnsi="Times New Roman" w:cs="Times New Roman"/>
      <w:sz w:val="20"/>
      <w:szCs w:val="20"/>
      <w:lang w:val="en-GB"/>
    </w:rPr>
  </w:style>
  <w:style w:type="paragraph" w:styleId="ListContinue4">
    <w:name w:val="List Continue 4"/>
    <w:basedOn w:val="Normal"/>
    <w:rsid w:val="00545050"/>
    <w:pPr>
      <w:spacing w:before="60" w:after="120" w:line="240" w:lineRule="auto"/>
      <w:ind w:left="1132"/>
    </w:pPr>
    <w:rPr>
      <w:rFonts w:ascii="Times New Roman" w:eastAsia="Times New Roman" w:hAnsi="Times New Roman" w:cs="Times New Roman"/>
      <w:sz w:val="20"/>
      <w:szCs w:val="20"/>
      <w:lang w:val="en-GB"/>
    </w:rPr>
  </w:style>
  <w:style w:type="paragraph" w:styleId="ListContinue5">
    <w:name w:val="List Continue 5"/>
    <w:basedOn w:val="Normal"/>
    <w:rsid w:val="00545050"/>
    <w:pPr>
      <w:spacing w:before="60" w:after="120" w:line="240" w:lineRule="auto"/>
      <w:ind w:left="1415"/>
    </w:pPr>
    <w:rPr>
      <w:rFonts w:ascii="Times New Roman" w:eastAsia="Times New Roman" w:hAnsi="Times New Roman" w:cs="Times New Roman"/>
      <w:sz w:val="20"/>
      <w:szCs w:val="20"/>
      <w:lang w:val="en-GB"/>
    </w:rPr>
  </w:style>
  <w:style w:type="paragraph" w:styleId="MacroText">
    <w:name w:val="macro"/>
    <w:link w:val="MacroTextChar"/>
    <w:rsid w:val="00545050"/>
    <w:pPr>
      <w:tabs>
        <w:tab w:val="left" w:pos="480"/>
        <w:tab w:val="left" w:pos="960"/>
        <w:tab w:val="left" w:pos="1440"/>
        <w:tab w:val="left" w:pos="1920"/>
        <w:tab w:val="left" w:pos="2400"/>
        <w:tab w:val="left" w:pos="2880"/>
        <w:tab w:val="left" w:pos="3360"/>
        <w:tab w:val="left" w:pos="3840"/>
        <w:tab w:val="left" w:pos="4320"/>
      </w:tabs>
      <w:spacing w:before="60" w:after="120"/>
    </w:pPr>
    <w:rPr>
      <w:rFonts w:ascii="Courier New" w:hAnsi="Courier New" w:cs="Courier New"/>
      <w:lang w:val="en-GB"/>
    </w:rPr>
  </w:style>
  <w:style w:type="character" w:customStyle="1" w:styleId="MacroTextChar">
    <w:name w:val="Macro Text Char"/>
    <w:basedOn w:val="DefaultParagraphFont"/>
    <w:link w:val="MacroText"/>
    <w:rsid w:val="00545050"/>
    <w:rPr>
      <w:rFonts w:ascii="Courier New" w:hAnsi="Courier New" w:cs="Courier New"/>
      <w:lang w:val="en-GB"/>
    </w:rPr>
  </w:style>
  <w:style w:type="paragraph" w:styleId="NoteHeading">
    <w:name w:val="Note Heading"/>
    <w:basedOn w:val="Normal"/>
    <w:next w:val="Normal"/>
    <w:link w:val="NoteHeading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rsid w:val="00545050"/>
    <w:rPr>
      <w:lang w:val="en-GB"/>
    </w:rPr>
  </w:style>
  <w:style w:type="paragraph" w:styleId="Salutation">
    <w:name w:val="Salutation"/>
    <w:basedOn w:val="Normal"/>
    <w:next w:val="Normal"/>
    <w:link w:val="SalutationChar"/>
    <w:rsid w:val="00545050"/>
    <w:pPr>
      <w:spacing w:before="60" w:after="120" w:line="240" w:lineRule="auto"/>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rsid w:val="00545050"/>
    <w:rPr>
      <w:lang w:val="en-GB"/>
    </w:rPr>
  </w:style>
  <w:style w:type="paragraph" w:styleId="Signature">
    <w:name w:val="Signature"/>
    <w:basedOn w:val="Normal"/>
    <w:link w:val="SignatureChar"/>
    <w:rsid w:val="00545050"/>
    <w:pPr>
      <w:spacing w:before="60" w:after="120" w:line="240" w:lineRule="auto"/>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rsid w:val="00545050"/>
    <w:rPr>
      <w:lang w:val="en-GB"/>
    </w:rPr>
  </w:style>
  <w:style w:type="paragraph" w:styleId="Subtitle">
    <w:name w:val="Subtitle"/>
    <w:basedOn w:val="Normal"/>
    <w:link w:val="SubtitleChar"/>
    <w:qFormat/>
    <w:rsid w:val="00545050"/>
    <w:pPr>
      <w:spacing w:before="60" w:after="60" w:line="240" w:lineRule="auto"/>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545050"/>
    <w:rPr>
      <w:rFonts w:ascii="Arial" w:hAnsi="Arial" w:cs="Arial"/>
      <w:sz w:val="24"/>
      <w:szCs w:val="24"/>
      <w:lang w:val="en-GB"/>
    </w:rPr>
  </w:style>
  <w:style w:type="paragraph" w:styleId="TableofAuthorities">
    <w:name w:val="table of authorities"/>
    <w:basedOn w:val="Normal"/>
    <w:next w:val="Normal"/>
    <w:rsid w:val="00545050"/>
    <w:pPr>
      <w:spacing w:before="60" w:after="120" w:line="240" w:lineRule="auto"/>
      <w:ind w:left="200" w:hanging="200"/>
    </w:pPr>
    <w:rPr>
      <w:rFonts w:ascii="Times New Roman" w:eastAsia="Times New Roman" w:hAnsi="Times New Roman" w:cs="Times New Roman"/>
      <w:sz w:val="20"/>
      <w:szCs w:val="20"/>
      <w:lang w:val="en-GB"/>
    </w:rPr>
  </w:style>
  <w:style w:type="paragraph" w:styleId="TableofFigures">
    <w:name w:val="table of figures"/>
    <w:basedOn w:val="Normal"/>
    <w:next w:val="Normal"/>
    <w:rsid w:val="00545050"/>
    <w:pPr>
      <w:spacing w:before="60" w:after="120" w:line="240" w:lineRule="auto"/>
      <w:ind w:left="400" w:hanging="400"/>
    </w:pPr>
    <w:rPr>
      <w:rFonts w:ascii="Times New Roman" w:eastAsia="Times New Roman" w:hAnsi="Times New Roman" w:cs="Times New Roman"/>
      <w:sz w:val="20"/>
      <w:szCs w:val="20"/>
      <w:lang w:val="en-GB"/>
    </w:rPr>
  </w:style>
  <w:style w:type="paragraph" w:styleId="TOAHeading">
    <w:name w:val="toa heading"/>
    <w:basedOn w:val="Normal"/>
    <w:next w:val="Normal"/>
    <w:rsid w:val="00545050"/>
    <w:pPr>
      <w:spacing w:before="120" w:after="120" w:line="240" w:lineRule="auto"/>
    </w:pPr>
    <w:rPr>
      <w:rFonts w:ascii="Arial" w:eastAsia="Times New Roman" w:hAnsi="Arial" w:cs="Arial"/>
      <w:b/>
      <w:bCs/>
      <w:sz w:val="24"/>
      <w:szCs w:val="24"/>
      <w:lang w:val="en-GB"/>
    </w:rPr>
  </w:style>
  <w:style w:type="paragraph" w:customStyle="1" w:styleId="OM-pNote">
    <w:name w:val="OM - p_Note"/>
    <w:basedOn w:val="Normal"/>
    <w:autoRedefine/>
    <w:rsid w:val="00545050"/>
    <w:pPr>
      <w:shd w:val="pct10" w:color="auto" w:fill="auto"/>
      <w:spacing w:before="60" w:after="120" w:line="240" w:lineRule="atLeast"/>
      <w:ind w:right="206"/>
    </w:pPr>
    <w:rPr>
      <w:rFonts w:ascii="Times New Roman" w:eastAsia="Times New Roman" w:hAnsi="Times New Roman" w:cs="Times New Roman"/>
      <w:sz w:val="20"/>
      <w:szCs w:val="20"/>
    </w:rPr>
  </w:style>
  <w:style w:type="paragraph" w:customStyle="1" w:styleId="OM-pBody">
    <w:name w:val="OM - p_Body"/>
    <w:autoRedefine/>
    <w:rsid w:val="00545050"/>
    <w:pPr>
      <w:spacing w:before="60" w:after="120" w:line="240" w:lineRule="atLeast"/>
    </w:pPr>
  </w:style>
  <w:style w:type="paragraph" w:customStyle="1" w:styleId="xl24">
    <w:name w:val="xl24"/>
    <w:basedOn w:val="Normal"/>
    <w:rsid w:val="00545050"/>
    <w:pPr>
      <w:spacing w:before="100" w:beforeAutospacing="1" w:after="100" w:afterAutospacing="1" w:line="240" w:lineRule="auto"/>
    </w:pPr>
    <w:rPr>
      <w:rFonts w:ascii="Arial" w:eastAsia="Times New Roman" w:hAnsi="Arial" w:cs="Arial"/>
      <w:sz w:val="16"/>
      <w:szCs w:val="16"/>
    </w:rPr>
  </w:style>
  <w:style w:type="paragraph" w:customStyle="1" w:styleId="xl25">
    <w:name w:val="xl25"/>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6">
    <w:name w:val="xl26"/>
    <w:basedOn w:val="Normal"/>
    <w:rsid w:val="00545050"/>
    <w:pPr>
      <w:pBdr>
        <w:top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7">
    <w:name w:val="xl27"/>
    <w:basedOn w:val="Normal"/>
    <w:rsid w:val="00545050"/>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8">
    <w:name w:val="xl28"/>
    <w:basedOn w:val="Normal"/>
    <w:rsid w:val="00545050"/>
    <w:pPr>
      <w:pBdr>
        <w:top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9">
    <w:name w:val="xl29"/>
    <w:basedOn w:val="Normal"/>
    <w:rsid w:val="00545050"/>
    <w:pPr>
      <w:pBdr>
        <w:top w:val="single" w:sz="12" w:space="0" w:color="auto"/>
        <w:left w:val="single" w:sz="12"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0">
    <w:name w:val="xl30"/>
    <w:basedOn w:val="Normal"/>
    <w:rsid w:val="00545050"/>
    <w:pPr>
      <w:pBdr>
        <w:top w:val="single" w:sz="12" w:space="0" w:color="auto"/>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1">
    <w:name w:val="xl31"/>
    <w:basedOn w:val="Normal"/>
    <w:rsid w:val="00545050"/>
    <w:pPr>
      <w:pBdr>
        <w:top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2">
    <w:name w:val="xl32"/>
    <w:basedOn w:val="Normal"/>
    <w:rsid w:val="00545050"/>
    <w:pPr>
      <w:pBdr>
        <w:top w:val="single" w:sz="12" w:space="0" w:color="auto"/>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3">
    <w:name w:val="xl33"/>
    <w:basedOn w:val="Normal"/>
    <w:rsid w:val="00545050"/>
    <w:pPr>
      <w:pBdr>
        <w:top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4">
    <w:name w:val="xl34"/>
    <w:basedOn w:val="Normal"/>
    <w:rsid w:val="00545050"/>
    <w:pPr>
      <w:pBdr>
        <w:lef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5">
    <w:name w:val="xl35"/>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xl36">
    <w:name w:val="xl36"/>
    <w:basedOn w:val="Normal"/>
    <w:rsid w:val="00545050"/>
    <w:pPr>
      <w:pBdr>
        <w:left w:val="single" w:sz="12" w:space="0" w:color="auto"/>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7">
    <w:name w:val="xl37"/>
    <w:basedOn w:val="Normal"/>
    <w:rsid w:val="00545050"/>
    <w:pPr>
      <w:pBdr>
        <w:right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8">
    <w:name w:val="xl38"/>
    <w:basedOn w:val="Normal"/>
    <w:rsid w:val="00545050"/>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39">
    <w:name w:val="xl39"/>
    <w:basedOn w:val="Normal"/>
    <w:rsid w:val="00545050"/>
    <w:pPr>
      <w:pBdr>
        <w:top w:val="single" w:sz="12" w:space="0" w:color="auto"/>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0">
    <w:name w:val="xl40"/>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1">
    <w:name w:val="xl41"/>
    <w:basedOn w:val="Normal"/>
    <w:rsid w:val="00545050"/>
    <w:pPr>
      <w:pBdr>
        <w:left w:val="single" w:sz="8"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2">
    <w:name w:val="xl42"/>
    <w:basedOn w:val="Normal"/>
    <w:rsid w:val="00545050"/>
    <w:pPr>
      <w:pBdr>
        <w:lef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3">
    <w:name w:val="xl43"/>
    <w:basedOn w:val="Normal"/>
    <w:rsid w:val="00545050"/>
    <w:pP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4">
    <w:name w:val="xl44"/>
    <w:basedOn w:val="Normal"/>
    <w:rsid w:val="00545050"/>
    <w:pPr>
      <w:pBdr>
        <w:left w:val="single" w:sz="12" w:space="0" w:color="auto"/>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5">
    <w:name w:val="xl45"/>
    <w:basedOn w:val="Normal"/>
    <w:rsid w:val="00545050"/>
    <w:pPr>
      <w:pBdr>
        <w:right w:val="single" w:sz="12" w:space="0" w:color="auto"/>
      </w:pBdr>
      <w:shd w:val="clear" w:color="auto" w:fill="FFFF00"/>
      <w:spacing w:before="100" w:beforeAutospacing="1" w:after="100" w:afterAutospacing="1" w:line="240" w:lineRule="auto"/>
      <w:jc w:val="center"/>
    </w:pPr>
    <w:rPr>
      <w:rFonts w:ascii="Arial" w:eastAsia="Times New Roman" w:hAnsi="Arial" w:cs="Arial"/>
      <w:sz w:val="16"/>
      <w:szCs w:val="16"/>
    </w:rPr>
  </w:style>
  <w:style w:type="paragraph" w:customStyle="1" w:styleId="xl46">
    <w:name w:val="xl46"/>
    <w:basedOn w:val="Normal"/>
    <w:rsid w:val="00545050"/>
    <w:pPr>
      <w:shd w:val="clear" w:color="auto" w:fill="FFFF00"/>
      <w:spacing w:before="100" w:beforeAutospacing="1" w:after="100" w:afterAutospacing="1" w:line="240" w:lineRule="auto"/>
    </w:pPr>
    <w:rPr>
      <w:rFonts w:ascii="Arial" w:eastAsia="Times New Roman" w:hAnsi="Arial" w:cs="Arial"/>
      <w:sz w:val="16"/>
      <w:szCs w:val="16"/>
    </w:rPr>
  </w:style>
  <w:style w:type="paragraph" w:customStyle="1" w:styleId="xl47">
    <w:name w:val="xl47"/>
    <w:basedOn w:val="Normal"/>
    <w:rsid w:val="00545050"/>
    <w:pPr>
      <w:pBdr>
        <w:left w:val="single" w:sz="8"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8">
    <w:name w:val="xl48"/>
    <w:basedOn w:val="Normal"/>
    <w:rsid w:val="00545050"/>
    <w:pPr>
      <w:pBdr>
        <w:left w:val="single" w:sz="8" w:space="0" w:color="auto"/>
        <w:bottom w:val="single" w:sz="12"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9">
    <w:name w:val="xl49"/>
    <w:basedOn w:val="Normal"/>
    <w:rsid w:val="00545050"/>
    <w:pPr>
      <w:spacing w:before="100" w:beforeAutospacing="1" w:after="100" w:afterAutospacing="1" w:line="240" w:lineRule="auto"/>
      <w:jc w:val="center"/>
    </w:pPr>
    <w:rPr>
      <w:rFonts w:ascii="Arial" w:eastAsia="Times New Roman" w:hAnsi="Arial" w:cs="Arial"/>
      <w:sz w:val="16"/>
      <w:szCs w:val="16"/>
    </w:rPr>
  </w:style>
  <w:style w:type="paragraph" w:customStyle="1" w:styleId="BulletedList">
    <w:name w:val="Bulleted List"/>
    <w:basedOn w:val="Normal"/>
    <w:rsid w:val="0054505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bulletedlist0">
    <w:name w:val="bulletedlist"/>
    <w:basedOn w:val="Normal"/>
    <w:rsid w:val="00545050"/>
    <w:pPr>
      <w:spacing w:after="0" w:line="240" w:lineRule="auto"/>
    </w:pPr>
    <w:rPr>
      <w:rFonts w:ascii="Arial" w:eastAsia="Times New Roman" w:hAnsi="Arial" w:cs="Arial"/>
      <w:sz w:val="24"/>
      <w:szCs w:val="24"/>
    </w:rPr>
  </w:style>
  <w:style w:type="paragraph" w:customStyle="1" w:styleId="TriangleList">
    <w:name w:val="Triangle List"/>
    <w:rsid w:val="00545050"/>
    <w:pPr>
      <w:widowControl w:val="0"/>
      <w:autoSpaceDE w:val="0"/>
      <w:autoSpaceDN w:val="0"/>
      <w:adjustRightInd w:val="0"/>
      <w:ind w:left="720" w:hanging="432"/>
    </w:pPr>
    <w:rPr>
      <w:rFonts w:ascii="Arial" w:hAnsi="Arial" w:cs="Arial"/>
      <w:sz w:val="24"/>
      <w:szCs w:val="24"/>
    </w:rPr>
  </w:style>
  <w:style w:type="paragraph" w:customStyle="1" w:styleId="Tabletext1">
    <w:name w:val="Table text"/>
    <w:basedOn w:val="BodyText"/>
    <w:rsid w:val="00545050"/>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autoSpaceDE w:val="0"/>
      <w:autoSpaceDN w:val="0"/>
      <w:adjustRightInd w:val="0"/>
      <w:spacing w:line="240" w:lineRule="auto"/>
    </w:pPr>
    <w:rPr>
      <w:rFonts w:ascii="Arial" w:hAnsi="Arial" w:cs="Arial"/>
      <w:sz w:val="18"/>
      <w:szCs w:val="18"/>
      <w:lang w:eastAsia="en-US"/>
    </w:rPr>
  </w:style>
  <w:style w:type="paragraph" w:customStyle="1" w:styleId="CM8">
    <w:name w:val="CM8"/>
    <w:basedOn w:val="Default"/>
    <w:next w:val="Default"/>
    <w:rsid w:val="00545050"/>
    <w:pPr>
      <w:spacing w:after="68"/>
    </w:pPr>
    <w:rPr>
      <w:rFonts w:ascii="Arial Black" w:hAnsi="Arial Black"/>
      <w:color w:val="auto"/>
    </w:rPr>
  </w:style>
  <w:style w:type="paragraph" w:customStyle="1" w:styleId="CM10">
    <w:name w:val="CM10"/>
    <w:basedOn w:val="Default"/>
    <w:next w:val="Default"/>
    <w:rsid w:val="00545050"/>
    <w:pPr>
      <w:spacing w:after="305"/>
    </w:pPr>
    <w:rPr>
      <w:rFonts w:ascii="Arial Black" w:hAnsi="Arial Black"/>
      <w:color w:val="auto"/>
    </w:rPr>
  </w:style>
  <w:style w:type="paragraph" w:customStyle="1" w:styleId="CM5">
    <w:name w:val="CM5"/>
    <w:basedOn w:val="Default"/>
    <w:next w:val="Default"/>
    <w:rsid w:val="00545050"/>
    <w:rPr>
      <w:rFonts w:ascii="Arial Black" w:hAnsi="Arial Black"/>
      <w:color w:val="auto"/>
    </w:rPr>
  </w:style>
  <w:style w:type="paragraph" w:customStyle="1" w:styleId="TableText-small">
    <w:name w:val="Table Text - small"/>
    <w:basedOn w:val="TableText"/>
    <w:rsid w:val="00545050"/>
    <w:pPr>
      <w:spacing w:after="0" w:line="240" w:lineRule="auto"/>
      <w:ind w:left="57" w:right="57"/>
    </w:pPr>
    <w:rPr>
      <w:rFonts w:ascii="Times" w:hAnsi="Times"/>
      <w:lang w:val="en-US"/>
    </w:rPr>
  </w:style>
  <w:style w:type="paragraph" w:customStyle="1" w:styleId="TableHeader-small">
    <w:name w:val="Table Header - small"/>
    <w:basedOn w:val="Normal"/>
    <w:rsid w:val="00545050"/>
    <w:pPr>
      <w:spacing w:before="60" w:after="0" w:line="240" w:lineRule="auto"/>
      <w:ind w:left="57" w:right="57"/>
    </w:pPr>
    <w:rPr>
      <w:rFonts w:ascii="Verdana" w:eastAsia="Times New Roman" w:hAnsi="Verdana" w:cs="Times New Roman"/>
      <w:b/>
      <w:szCs w:val="20"/>
    </w:rPr>
  </w:style>
  <w:style w:type="character" w:customStyle="1" w:styleId="desctext">
    <w:name w:val="desctext"/>
    <w:basedOn w:val="DefaultParagraphFont"/>
    <w:rsid w:val="00545050"/>
  </w:style>
  <w:style w:type="paragraph" w:customStyle="1" w:styleId="StyleBodyArial">
    <w:name w:val="Style Body + Arial"/>
    <w:basedOn w:val="Normal"/>
    <w:link w:val="StyleBodyArialChar"/>
    <w:rsid w:val="00545050"/>
    <w:pPr>
      <w:overflowPunct w:val="0"/>
      <w:autoSpaceDE w:val="0"/>
      <w:autoSpaceDN w:val="0"/>
      <w:adjustRightInd w:val="0"/>
      <w:spacing w:before="60" w:after="60" w:line="240" w:lineRule="auto"/>
      <w:textAlignment w:val="baseline"/>
    </w:pPr>
    <w:rPr>
      <w:rFonts w:ascii="Arial" w:eastAsia="Times New Roman" w:hAnsi="Arial" w:cs="Times New Roman"/>
      <w:sz w:val="20"/>
      <w:szCs w:val="20"/>
      <w:lang w:val="en-GB"/>
    </w:rPr>
  </w:style>
  <w:style w:type="character" w:customStyle="1" w:styleId="StyleBodyArialChar">
    <w:name w:val="Style Body + Arial Char"/>
    <w:basedOn w:val="DefaultParagraphFont"/>
    <w:link w:val="StyleBodyArial"/>
    <w:rsid w:val="00545050"/>
    <w:rPr>
      <w:rFonts w:ascii="Arial" w:hAnsi="Arial"/>
      <w:lang w:val="en-GB"/>
    </w:rPr>
  </w:style>
  <w:style w:type="character" w:customStyle="1" w:styleId="StyleStyleBodyArialBold">
    <w:name w:val="Style Style Body + Arial + Bold"/>
    <w:basedOn w:val="DefaultParagraphFont"/>
    <w:rsid w:val="00545050"/>
    <w:rPr>
      <w:b/>
    </w:rPr>
  </w:style>
  <w:style w:type="paragraph" w:customStyle="1" w:styleId="TableHead">
    <w:name w:val="TableHead"/>
    <w:basedOn w:val="Normal"/>
    <w:rsid w:val="00545050"/>
    <w:pPr>
      <w:keepNext/>
      <w:spacing w:before="60" w:after="60" w:line="240" w:lineRule="auto"/>
      <w:outlineLvl w:val="0"/>
    </w:pPr>
    <w:rPr>
      <w:rFonts w:ascii="Arial" w:eastAsia="Times New Roman" w:hAnsi="Arial" w:cs="Times New Roman"/>
      <w:b/>
      <w:bCs/>
      <w:sz w:val="18"/>
      <w:szCs w:val="20"/>
    </w:rPr>
  </w:style>
  <w:style w:type="paragraph" w:customStyle="1" w:styleId="Heading3Black">
    <w:name w:val="Heading 3 Black"/>
    <w:basedOn w:val="Heading2"/>
    <w:qFormat/>
    <w:rsid w:val="00545050"/>
    <w:pPr>
      <w:keepLines w:val="0"/>
      <w:numPr>
        <w:ilvl w:val="1"/>
      </w:numPr>
      <w:spacing w:line="320" w:lineRule="atLeast"/>
      <w:ind w:left="576" w:hanging="576"/>
    </w:pPr>
    <w:rPr>
      <w:rFonts w:ascii="Arial Narrow" w:hAnsi="Arial Narrow" w:cs="Arial"/>
      <w:bCs/>
      <w:color w:val="000000" w:themeColor="text1"/>
      <w:kern w:val="32"/>
      <w:sz w:val="24"/>
      <w:szCs w:val="32"/>
      <w:lang w:eastAsia="en-US"/>
    </w:rPr>
  </w:style>
  <w:style w:type="paragraph" w:customStyle="1" w:styleId="Charttop">
    <w:name w:val="Chart_top"/>
    <w:basedOn w:val="Normal"/>
    <w:qFormat/>
    <w:rsid w:val="00545050"/>
    <w:pPr>
      <w:spacing w:after="0" w:line="260" w:lineRule="atLeast"/>
    </w:pPr>
    <w:rPr>
      <w:rFonts w:ascii="Arial Narrow" w:eastAsia="Times New Roman" w:hAnsi="Arial Narrow" w:cs="Times New Roman"/>
      <w:b/>
      <w:caps/>
      <w:color w:val="FFFFFF" w:themeColor="background1"/>
      <w:sz w:val="20"/>
      <w:szCs w:val="24"/>
    </w:rPr>
  </w:style>
  <w:style w:type="paragraph" w:customStyle="1" w:styleId="body1">
    <w:name w:val="• body"/>
    <w:basedOn w:val="BodyText"/>
    <w:qFormat/>
    <w:rsid w:val="0054505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s>
      <w:ind w:right="180"/>
    </w:pPr>
    <w:rPr>
      <w:sz w:val="18"/>
      <w:lang w:eastAsia="en-US"/>
    </w:rPr>
  </w:style>
  <w:style w:type="table" w:customStyle="1" w:styleId="NLXStx">
    <w:name w:val="NLX Stx"/>
    <w:basedOn w:val="TableNormal"/>
    <w:uiPriority w:val="99"/>
    <w:rsid w:val="00545050"/>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table" w:styleId="LightShading">
    <w:name w:val="Light Shading"/>
    <w:basedOn w:val="TableNormal"/>
    <w:uiPriority w:val="60"/>
    <w:rsid w:val="00545050"/>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fidentialtext">
    <w:name w:val="confidential text"/>
    <w:basedOn w:val="Normal"/>
    <w:qFormat/>
    <w:rsid w:val="00545050"/>
    <w:pPr>
      <w:spacing w:after="0" w:line="300" w:lineRule="exact"/>
    </w:pPr>
    <w:rPr>
      <w:rFonts w:ascii="Arial Narrow" w:eastAsia="Times New Roman" w:hAnsi="Arial Narrow" w:cs="Arial"/>
      <w:color w:val="000000"/>
      <w:spacing w:val="-3"/>
      <w:sz w:val="20"/>
      <w:szCs w:val="24"/>
      <w:lang w:eastAsia="sv-SE"/>
    </w:rPr>
  </w:style>
  <w:style w:type="paragraph" w:customStyle="1" w:styleId="QXBodyText">
    <w:name w:val="QX Body Text"/>
    <w:qFormat/>
    <w:rsid w:val="00545050"/>
    <w:pPr>
      <w:spacing w:before="120" w:after="120" w:line="340" w:lineRule="exact"/>
    </w:pPr>
    <w:rPr>
      <w:rFonts w:ascii="Arial" w:eastAsia="Arial" w:hAnsi="Arial"/>
      <w:color w:val="000000"/>
      <w:spacing w:val="-4"/>
      <w:sz w:val="22"/>
      <w:szCs w:val="24"/>
      <w:lang w:eastAsia="sv-SE"/>
    </w:rPr>
  </w:style>
  <w:style w:type="paragraph" w:customStyle="1" w:styleId="QXTableText">
    <w:name w:val="QX Table Text"/>
    <w:basedOn w:val="Normal"/>
    <w:qFormat/>
    <w:rsid w:val="00545050"/>
    <w:pPr>
      <w:spacing w:after="0" w:line="240" w:lineRule="auto"/>
    </w:pPr>
    <w:rPr>
      <w:rFonts w:ascii="Arial" w:eastAsia="Times New Roman" w:hAnsi="Arial" w:cs="Times New Roman"/>
      <w:color w:val="000000"/>
      <w:szCs w:val="18"/>
      <w:lang w:eastAsia="sv-SE"/>
    </w:rPr>
  </w:style>
  <w:style w:type="table" w:customStyle="1" w:styleId="TableGrid1">
    <w:name w:val="Table Grid1"/>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2">
    <w:name w:val="Table Grid2"/>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3">
    <w:name w:val="Table Grid3"/>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 w:type="table" w:customStyle="1" w:styleId="TableGrid4">
    <w:name w:val="Table Grid4"/>
    <w:basedOn w:val="TableNormal"/>
    <w:next w:val="TableGrid"/>
    <w:rsid w:val="00545050"/>
    <w:pPr>
      <w:jc w:val="both"/>
    </w:pPr>
    <w:rPr>
      <w:rFonts w:eastAsiaTheme="minorHAnsi"/>
      <w:sz w:val="24"/>
      <w:szCs w:val="24"/>
    </w:rPr>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tblPr/>
      <w:tcPr>
        <w:shd w:val="clear" w:color="auto" w:fill="4BACC6" w:themeFill="accent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1978795560">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hyperlink" Target="mailto:tradingservices@nasdaqomx.com" TargetMode="External"/><Relationship Id="rId21" Type="http://schemas.microsoft.com/office/2007/relationships/diagramDrawing" Target="diagrams/drawing1.xml"/><Relationship Id="rId34" Type="http://schemas.openxmlformats.org/officeDocument/2006/relationships/footer" Target="footer3.xml"/><Relationship Id="rId42" Type="http://schemas.openxmlformats.org/officeDocument/2006/relationships/hyperlink" Target="mailto:futuresreg@nasdaq.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24" Type="http://schemas.openxmlformats.org/officeDocument/2006/relationships/diagramQuickStyle" Target="diagrams/quickStyle2.xml"/><Relationship Id="rId32" Type="http://schemas.openxmlformats.org/officeDocument/2006/relationships/image" Target="media/image3.png"/><Relationship Id="rId37" Type="http://schemas.openxmlformats.org/officeDocument/2006/relationships/hyperlink" Target="http://www.nasdaqomx.com/transactions/markets/nasdaq-futures" TargetMode="External"/><Relationship Id="rId40" Type="http://schemas.openxmlformats.org/officeDocument/2006/relationships/hyperlink" Target="mailto:sales@nasdaqomx.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eader" Target="header3.xm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ravind.menon@nasdaq.com"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eader" Target="header2.xml"/><Relationship Id="rId38" Type="http://schemas.openxmlformats.org/officeDocument/2006/relationships/hyperlink" Target="mailto:nfxops@nasdaq.com" TargetMode="External"/><Relationship Id="rId46" Type="http://schemas.openxmlformats.org/officeDocument/2006/relationships/customXml" Target="../customXml/item5.xml"/><Relationship Id="rId20" Type="http://schemas.openxmlformats.org/officeDocument/2006/relationships/diagramColors" Target="diagrams/colors1.xml"/><Relationship Id="rId41" Type="http://schemas.openxmlformats.org/officeDocument/2006/relationships/hyperlink" Target="mailto:nfxsales@nasdaq.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426CCB-4EC7-4FAA-B7B7-F3FC8A5974F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9F1ADDA-0DDE-4255-A8D5-B09F7A1ECF67}">
      <dgm:prSet phldrT="[Text]" custT="1"/>
      <dgm:spPr>
        <a:ln>
          <a:solidFill>
            <a:schemeClr val="tx1"/>
          </a:solidFill>
        </a:ln>
      </dgm:spPr>
      <dgm:t>
        <a:bodyPr/>
        <a:lstStyle/>
        <a:p>
          <a:r>
            <a:rPr lang="en-US" sz="1600" b="1"/>
            <a:t>Options on Futures</a:t>
          </a:r>
        </a:p>
      </dgm:t>
    </dgm:pt>
    <dgm:pt modelId="{57F6E9D7-64F3-4619-9D1C-F49E5813A640}" type="parTrans" cxnId="{5DBEEC59-2E8D-42F1-B812-042AE7B22086}">
      <dgm:prSet/>
      <dgm:spPr/>
      <dgm:t>
        <a:bodyPr/>
        <a:lstStyle/>
        <a:p>
          <a:endParaRPr lang="en-US"/>
        </a:p>
      </dgm:t>
    </dgm:pt>
    <dgm:pt modelId="{D66AFCAE-D4DF-4D78-93BA-91EA21B3BDB8}" type="sibTrans" cxnId="{5DBEEC59-2E8D-42F1-B812-042AE7B22086}">
      <dgm:prSet/>
      <dgm:spPr/>
      <dgm:t>
        <a:bodyPr/>
        <a:lstStyle/>
        <a:p>
          <a:endParaRPr lang="en-US"/>
        </a:p>
      </dgm:t>
    </dgm:pt>
    <dgm:pt modelId="{DE922F46-AFFB-4396-BFC5-0D4F50B18ACB}">
      <dgm:prSet phldrT="[Text]" custT="1"/>
      <dgm:spPr>
        <a:ln>
          <a:solidFill>
            <a:schemeClr val="tx1"/>
          </a:solidFill>
        </a:ln>
      </dgm:spPr>
      <dgm:t>
        <a:bodyPr/>
        <a:lstStyle/>
        <a:p>
          <a:r>
            <a:rPr lang="en-US" sz="1600" b="1"/>
            <a:t>Futures</a:t>
          </a:r>
        </a:p>
      </dgm:t>
    </dgm:pt>
    <dgm:pt modelId="{5C493787-B2F5-442C-A038-CDA2D1EA31C0}" type="parTrans" cxnId="{0D06566A-48E2-4272-A588-2FBAD078C81C}">
      <dgm:prSet/>
      <dgm:spPr/>
      <dgm:t>
        <a:bodyPr/>
        <a:lstStyle/>
        <a:p>
          <a:endParaRPr lang="en-US"/>
        </a:p>
      </dgm:t>
    </dgm:pt>
    <dgm:pt modelId="{444F8383-5A76-45D8-B97A-22DB33D40BFA}" type="sibTrans" cxnId="{0D06566A-48E2-4272-A588-2FBAD078C81C}">
      <dgm:prSet/>
      <dgm:spPr/>
      <dgm:t>
        <a:bodyPr/>
        <a:lstStyle/>
        <a:p>
          <a:endParaRPr lang="en-US"/>
        </a:p>
      </dgm:t>
    </dgm:pt>
    <dgm:pt modelId="{7DCF7BC5-6C7F-4A60-A641-0F638FAA61CA}">
      <dgm:prSet custT="1"/>
      <dgm:spPr>
        <a:ln>
          <a:solidFill>
            <a:schemeClr val="tx1"/>
          </a:solidFill>
        </a:ln>
      </dgm:spPr>
      <dgm:t>
        <a:bodyPr/>
        <a:lstStyle/>
        <a:p>
          <a:r>
            <a:rPr lang="en-US" sz="1600" b="1"/>
            <a:t>Underlying </a:t>
          </a:r>
        </a:p>
        <a:p>
          <a:r>
            <a:rPr lang="en-US" sz="1600" b="1"/>
            <a:t>Asset Class</a:t>
          </a:r>
        </a:p>
      </dgm:t>
    </dgm:pt>
    <dgm:pt modelId="{A9747C71-5AEF-4E90-939D-44BB70C04FE0}" type="parTrans" cxnId="{CBF41E07-F4C5-4C7F-BD15-F2E6882D53BE}">
      <dgm:prSet/>
      <dgm:spPr/>
      <dgm:t>
        <a:bodyPr/>
        <a:lstStyle/>
        <a:p>
          <a:endParaRPr lang="en-US"/>
        </a:p>
      </dgm:t>
    </dgm:pt>
    <dgm:pt modelId="{C22DF0B1-D76B-4AA1-B432-126A2C46A972}" type="sibTrans" cxnId="{CBF41E07-F4C5-4C7F-BD15-F2E6882D53BE}">
      <dgm:prSet/>
      <dgm:spPr/>
      <dgm:t>
        <a:bodyPr/>
        <a:lstStyle/>
        <a:p>
          <a:endParaRPr lang="en-US"/>
        </a:p>
      </dgm:t>
    </dgm:pt>
    <dgm:pt modelId="{9BB901CB-7F98-4973-B168-64CA2FD101C6}" type="pres">
      <dgm:prSet presAssocID="{2E426CCB-4EC7-4FAA-B7B7-F3FC8A5974F3}" presName="hierChild1" presStyleCnt="0">
        <dgm:presLayoutVars>
          <dgm:orgChart val="1"/>
          <dgm:chPref val="1"/>
          <dgm:dir/>
          <dgm:animOne val="branch"/>
          <dgm:animLvl val="lvl"/>
          <dgm:resizeHandles/>
        </dgm:presLayoutVars>
      </dgm:prSet>
      <dgm:spPr/>
      <dgm:t>
        <a:bodyPr/>
        <a:lstStyle/>
        <a:p>
          <a:endParaRPr lang="en-US"/>
        </a:p>
      </dgm:t>
    </dgm:pt>
    <dgm:pt modelId="{808B3B99-3A33-4151-8677-A9EE3FD13295}" type="pres">
      <dgm:prSet presAssocID="{39F1ADDA-0DDE-4255-A8D5-B09F7A1ECF67}" presName="hierRoot1" presStyleCnt="0">
        <dgm:presLayoutVars>
          <dgm:hierBranch val="init"/>
        </dgm:presLayoutVars>
      </dgm:prSet>
      <dgm:spPr/>
    </dgm:pt>
    <dgm:pt modelId="{AA40060A-0FAA-47F4-92B7-1358F9FE846A}" type="pres">
      <dgm:prSet presAssocID="{39F1ADDA-0DDE-4255-A8D5-B09F7A1ECF67}" presName="rootComposite1" presStyleCnt="0"/>
      <dgm:spPr/>
    </dgm:pt>
    <dgm:pt modelId="{DEC3D0FD-AC52-4650-9982-422D990DA27C}" type="pres">
      <dgm:prSet presAssocID="{39F1ADDA-0DDE-4255-A8D5-B09F7A1ECF67}" presName="rootText1" presStyleLbl="node0" presStyleIdx="0" presStyleCnt="1">
        <dgm:presLayoutVars>
          <dgm:chPref val="3"/>
        </dgm:presLayoutVars>
      </dgm:prSet>
      <dgm:spPr/>
      <dgm:t>
        <a:bodyPr/>
        <a:lstStyle/>
        <a:p>
          <a:endParaRPr lang="en-US"/>
        </a:p>
      </dgm:t>
    </dgm:pt>
    <dgm:pt modelId="{CD21BED5-9795-4702-960C-F16027F36A32}" type="pres">
      <dgm:prSet presAssocID="{39F1ADDA-0DDE-4255-A8D5-B09F7A1ECF67}" presName="rootConnector1" presStyleLbl="node1" presStyleIdx="0" presStyleCnt="0"/>
      <dgm:spPr/>
      <dgm:t>
        <a:bodyPr/>
        <a:lstStyle/>
        <a:p>
          <a:endParaRPr lang="en-US"/>
        </a:p>
      </dgm:t>
    </dgm:pt>
    <dgm:pt modelId="{F7BC7AD6-7C86-431C-86F7-980BCBDEBB2A}" type="pres">
      <dgm:prSet presAssocID="{39F1ADDA-0DDE-4255-A8D5-B09F7A1ECF67}" presName="hierChild2" presStyleCnt="0"/>
      <dgm:spPr/>
    </dgm:pt>
    <dgm:pt modelId="{C9C3CF6B-6D2F-4E09-A8B5-A30DBBFD666D}" type="pres">
      <dgm:prSet presAssocID="{5C493787-B2F5-442C-A038-CDA2D1EA31C0}" presName="Name37" presStyleLbl="parChTrans1D2" presStyleIdx="0" presStyleCnt="1"/>
      <dgm:spPr/>
      <dgm:t>
        <a:bodyPr/>
        <a:lstStyle/>
        <a:p>
          <a:endParaRPr lang="en-US"/>
        </a:p>
      </dgm:t>
    </dgm:pt>
    <dgm:pt modelId="{96A3BB00-5226-4AE5-A2A5-EE55E4F1584F}" type="pres">
      <dgm:prSet presAssocID="{DE922F46-AFFB-4396-BFC5-0D4F50B18ACB}" presName="hierRoot2" presStyleCnt="0">
        <dgm:presLayoutVars>
          <dgm:hierBranch val="init"/>
        </dgm:presLayoutVars>
      </dgm:prSet>
      <dgm:spPr/>
    </dgm:pt>
    <dgm:pt modelId="{A3FF16AE-F9C3-4E87-865E-5B8457107044}" type="pres">
      <dgm:prSet presAssocID="{DE922F46-AFFB-4396-BFC5-0D4F50B18ACB}" presName="rootComposite" presStyleCnt="0"/>
      <dgm:spPr/>
    </dgm:pt>
    <dgm:pt modelId="{4858F415-98E2-4ED0-884D-6E45621E7884}" type="pres">
      <dgm:prSet presAssocID="{DE922F46-AFFB-4396-BFC5-0D4F50B18ACB}" presName="rootText" presStyleLbl="node2" presStyleIdx="0" presStyleCnt="1">
        <dgm:presLayoutVars>
          <dgm:chPref val="3"/>
        </dgm:presLayoutVars>
      </dgm:prSet>
      <dgm:spPr/>
      <dgm:t>
        <a:bodyPr/>
        <a:lstStyle/>
        <a:p>
          <a:endParaRPr lang="en-US"/>
        </a:p>
      </dgm:t>
    </dgm:pt>
    <dgm:pt modelId="{CE6C688E-ACAB-483C-B469-8350C0C04FEB}" type="pres">
      <dgm:prSet presAssocID="{DE922F46-AFFB-4396-BFC5-0D4F50B18ACB}" presName="rootConnector" presStyleLbl="node2" presStyleIdx="0" presStyleCnt="1"/>
      <dgm:spPr/>
      <dgm:t>
        <a:bodyPr/>
        <a:lstStyle/>
        <a:p>
          <a:endParaRPr lang="en-US"/>
        </a:p>
      </dgm:t>
    </dgm:pt>
    <dgm:pt modelId="{8B10647A-BB35-45AA-A2DC-51EC1C47EA51}" type="pres">
      <dgm:prSet presAssocID="{DE922F46-AFFB-4396-BFC5-0D4F50B18ACB}" presName="hierChild4" presStyleCnt="0"/>
      <dgm:spPr/>
    </dgm:pt>
    <dgm:pt modelId="{122615FD-33E9-4A7B-9F95-F8B8E9F129B3}" type="pres">
      <dgm:prSet presAssocID="{A9747C71-5AEF-4E90-939D-44BB70C04FE0}" presName="Name37" presStyleLbl="parChTrans1D3" presStyleIdx="0" presStyleCnt="1"/>
      <dgm:spPr/>
      <dgm:t>
        <a:bodyPr/>
        <a:lstStyle/>
        <a:p>
          <a:endParaRPr lang="en-US"/>
        </a:p>
      </dgm:t>
    </dgm:pt>
    <dgm:pt modelId="{8CCE793D-FDFE-4DA1-8E2A-CDE71052A34E}" type="pres">
      <dgm:prSet presAssocID="{7DCF7BC5-6C7F-4A60-A641-0F638FAA61CA}" presName="hierRoot2" presStyleCnt="0">
        <dgm:presLayoutVars>
          <dgm:hierBranch val="init"/>
        </dgm:presLayoutVars>
      </dgm:prSet>
      <dgm:spPr/>
    </dgm:pt>
    <dgm:pt modelId="{F1D9E640-F116-465A-8BE1-C133A4BF027C}" type="pres">
      <dgm:prSet presAssocID="{7DCF7BC5-6C7F-4A60-A641-0F638FAA61CA}" presName="rootComposite" presStyleCnt="0"/>
      <dgm:spPr/>
    </dgm:pt>
    <dgm:pt modelId="{EFDC7C6A-7196-403E-B564-C7EEB6DB068C}" type="pres">
      <dgm:prSet presAssocID="{7DCF7BC5-6C7F-4A60-A641-0F638FAA61CA}" presName="rootText" presStyleLbl="node3" presStyleIdx="0" presStyleCnt="1">
        <dgm:presLayoutVars>
          <dgm:chPref val="3"/>
        </dgm:presLayoutVars>
      </dgm:prSet>
      <dgm:spPr/>
      <dgm:t>
        <a:bodyPr/>
        <a:lstStyle/>
        <a:p>
          <a:endParaRPr lang="en-US"/>
        </a:p>
      </dgm:t>
    </dgm:pt>
    <dgm:pt modelId="{A1D0F2D8-E3D8-4CAE-8B5F-D8F82D0919D6}" type="pres">
      <dgm:prSet presAssocID="{7DCF7BC5-6C7F-4A60-A641-0F638FAA61CA}" presName="rootConnector" presStyleLbl="node3" presStyleIdx="0" presStyleCnt="1"/>
      <dgm:spPr/>
      <dgm:t>
        <a:bodyPr/>
        <a:lstStyle/>
        <a:p>
          <a:endParaRPr lang="en-US"/>
        </a:p>
      </dgm:t>
    </dgm:pt>
    <dgm:pt modelId="{0C28B61E-FD5C-4609-B4F9-2841E6082EF4}" type="pres">
      <dgm:prSet presAssocID="{7DCF7BC5-6C7F-4A60-A641-0F638FAA61CA}" presName="hierChild4" presStyleCnt="0"/>
      <dgm:spPr/>
    </dgm:pt>
    <dgm:pt modelId="{008D1318-2733-471C-AB54-92948179B625}" type="pres">
      <dgm:prSet presAssocID="{7DCF7BC5-6C7F-4A60-A641-0F638FAA61CA}" presName="hierChild5" presStyleCnt="0"/>
      <dgm:spPr/>
    </dgm:pt>
    <dgm:pt modelId="{669E05C5-3EA3-4A3A-9E98-A9E3CC91B37E}" type="pres">
      <dgm:prSet presAssocID="{DE922F46-AFFB-4396-BFC5-0D4F50B18ACB}" presName="hierChild5" presStyleCnt="0"/>
      <dgm:spPr/>
    </dgm:pt>
    <dgm:pt modelId="{019BEBCC-4A39-4DF1-86B0-9797C958008E}" type="pres">
      <dgm:prSet presAssocID="{39F1ADDA-0DDE-4255-A8D5-B09F7A1ECF67}" presName="hierChild3" presStyleCnt="0"/>
      <dgm:spPr/>
    </dgm:pt>
  </dgm:ptLst>
  <dgm:cxnLst>
    <dgm:cxn modelId="{E686298D-BD36-4AD5-9C24-599B8C12495A}" type="presOf" srcId="{39F1ADDA-0DDE-4255-A8D5-B09F7A1ECF67}" destId="{DEC3D0FD-AC52-4650-9982-422D990DA27C}" srcOrd="0" destOrd="0" presId="urn:microsoft.com/office/officeart/2005/8/layout/orgChart1"/>
    <dgm:cxn modelId="{2BC526C4-A6DF-4EC9-8AE8-85CF16FED90E}" type="presOf" srcId="{5C493787-B2F5-442C-A038-CDA2D1EA31C0}" destId="{C9C3CF6B-6D2F-4E09-A8B5-A30DBBFD666D}" srcOrd="0" destOrd="0" presId="urn:microsoft.com/office/officeart/2005/8/layout/orgChart1"/>
    <dgm:cxn modelId="{90873E3E-7F2A-4826-BE1A-EFD400A7865E}" type="presOf" srcId="{A9747C71-5AEF-4E90-939D-44BB70C04FE0}" destId="{122615FD-33E9-4A7B-9F95-F8B8E9F129B3}" srcOrd="0" destOrd="0" presId="urn:microsoft.com/office/officeart/2005/8/layout/orgChart1"/>
    <dgm:cxn modelId="{5DBEEC59-2E8D-42F1-B812-042AE7B22086}" srcId="{2E426CCB-4EC7-4FAA-B7B7-F3FC8A5974F3}" destId="{39F1ADDA-0DDE-4255-A8D5-B09F7A1ECF67}" srcOrd="0" destOrd="0" parTransId="{57F6E9D7-64F3-4619-9D1C-F49E5813A640}" sibTransId="{D66AFCAE-D4DF-4D78-93BA-91EA21B3BDB8}"/>
    <dgm:cxn modelId="{B84AE036-3146-4669-8769-E277566C20AB}" type="presOf" srcId="{39F1ADDA-0DDE-4255-A8D5-B09F7A1ECF67}" destId="{CD21BED5-9795-4702-960C-F16027F36A32}" srcOrd="1" destOrd="0" presId="urn:microsoft.com/office/officeart/2005/8/layout/orgChart1"/>
    <dgm:cxn modelId="{05E08B86-C8B5-46C2-ABF5-222990A70B09}" type="presOf" srcId="{DE922F46-AFFB-4396-BFC5-0D4F50B18ACB}" destId="{4858F415-98E2-4ED0-884D-6E45621E7884}" srcOrd="0" destOrd="0" presId="urn:microsoft.com/office/officeart/2005/8/layout/orgChart1"/>
    <dgm:cxn modelId="{80C32B61-ABBF-46EB-B7CE-585904A030AD}" type="presOf" srcId="{2E426CCB-4EC7-4FAA-B7B7-F3FC8A5974F3}" destId="{9BB901CB-7F98-4973-B168-64CA2FD101C6}" srcOrd="0" destOrd="0" presId="urn:microsoft.com/office/officeart/2005/8/layout/orgChart1"/>
    <dgm:cxn modelId="{0D06566A-48E2-4272-A588-2FBAD078C81C}" srcId="{39F1ADDA-0DDE-4255-A8D5-B09F7A1ECF67}" destId="{DE922F46-AFFB-4396-BFC5-0D4F50B18ACB}" srcOrd="0" destOrd="0" parTransId="{5C493787-B2F5-442C-A038-CDA2D1EA31C0}" sibTransId="{444F8383-5A76-45D8-B97A-22DB33D40BFA}"/>
    <dgm:cxn modelId="{CBF41E07-F4C5-4C7F-BD15-F2E6882D53BE}" srcId="{DE922F46-AFFB-4396-BFC5-0D4F50B18ACB}" destId="{7DCF7BC5-6C7F-4A60-A641-0F638FAA61CA}" srcOrd="0" destOrd="0" parTransId="{A9747C71-5AEF-4E90-939D-44BB70C04FE0}" sibTransId="{C22DF0B1-D76B-4AA1-B432-126A2C46A972}"/>
    <dgm:cxn modelId="{B56D6E66-E09A-4B21-9FBD-AF6C602E5EE6}" type="presOf" srcId="{7DCF7BC5-6C7F-4A60-A641-0F638FAA61CA}" destId="{EFDC7C6A-7196-403E-B564-C7EEB6DB068C}" srcOrd="0" destOrd="0" presId="urn:microsoft.com/office/officeart/2005/8/layout/orgChart1"/>
    <dgm:cxn modelId="{A32DF5B8-42A5-4AA8-AA04-D02E05918CD4}" type="presOf" srcId="{7DCF7BC5-6C7F-4A60-A641-0F638FAA61CA}" destId="{A1D0F2D8-E3D8-4CAE-8B5F-D8F82D0919D6}" srcOrd="1" destOrd="0" presId="urn:microsoft.com/office/officeart/2005/8/layout/orgChart1"/>
    <dgm:cxn modelId="{06D6379E-2EA2-4398-8C41-5BD100DB6E1E}" type="presOf" srcId="{DE922F46-AFFB-4396-BFC5-0D4F50B18ACB}" destId="{CE6C688E-ACAB-483C-B469-8350C0C04FEB}" srcOrd="1" destOrd="0" presId="urn:microsoft.com/office/officeart/2005/8/layout/orgChart1"/>
    <dgm:cxn modelId="{C35E866C-2B5D-4761-AB1B-C8392E0F7080}" type="presParOf" srcId="{9BB901CB-7F98-4973-B168-64CA2FD101C6}" destId="{808B3B99-3A33-4151-8677-A9EE3FD13295}" srcOrd="0" destOrd="0" presId="urn:microsoft.com/office/officeart/2005/8/layout/orgChart1"/>
    <dgm:cxn modelId="{85C0AE4D-7CD8-4E2B-92E5-796E967AE5D8}" type="presParOf" srcId="{808B3B99-3A33-4151-8677-A9EE3FD13295}" destId="{AA40060A-0FAA-47F4-92B7-1358F9FE846A}" srcOrd="0" destOrd="0" presId="urn:microsoft.com/office/officeart/2005/8/layout/orgChart1"/>
    <dgm:cxn modelId="{5AA66B69-BED3-48EB-BE5E-6BD3CF1D713F}" type="presParOf" srcId="{AA40060A-0FAA-47F4-92B7-1358F9FE846A}" destId="{DEC3D0FD-AC52-4650-9982-422D990DA27C}" srcOrd="0" destOrd="0" presId="urn:microsoft.com/office/officeart/2005/8/layout/orgChart1"/>
    <dgm:cxn modelId="{A7E2E432-F698-4039-A36C-E596B8EEEDA3}" type="presParOf" srcId="{AA40060A-0FAA-47F4-92B7-1358F9FE846A}" destId="{CD21BED5-9795-4702-960C-F16027F36A32}" srcOrd="1" destOrd="0" presId="urn:microsoft.com/office/officeart/2005/8/layout/orgChart1"/>
    <dgm:cxn modelId="{BB863D6E-7C42-4B7E-872E-F84E7E6F8E53}" type="presParOf" srcId="{808B3B99-3A33-4151-8677-A9EE3FD13295}" destId="{F7BC7AD6-7C86-431C-86F7-980BCBDEBB2A}" srcOrd="1" destOrd="0" presId="urn:microsoft.com/office/officeart/2005/8/layout/orgChart1"/>
    <dgm:cxn modelId="{79D399F0-CFBB-40FF-AF3E-CB16D21A26C1}" type="presParOf" srcId="{F7BC7AD6-7C86-431C-86F7-980BCBDEBB2A}" destId="{C9C3CF6B-6D2F-4E09-A8B5-A30DBBFD666D}" srcOrd="0" destOrd="0" presId="urn:microsoft.com/office/officeart/2005/8/layout/orgChart1"/>
    <dgm:cxn modelId="{8E350AF6-A99B-40CD-A52B-0AC64D4E17D6}" type="presParOf" srcId="{F7BC7AD6-7C86-431C-86F7-980BCBDEBB2A}" destId="{96A3BB00-5226-4AE5-A2A5-EE55E4F1584F}" srcOrd="1" destOrd="0" presId="urn:microsoft.com/office/officeart/2005/8/layout/orgChart1"/>
    <dgm:cxn modelId="{4EF84B05-93AE-47F0-8E21-8142B4ED7089}" type="presParOf" srcId="{96A3BB00-5226-4AE5-A2A5-EE55E4F1584F}" destId="{A3FF16AE-F9C3-4E87-865E-5B8457107044}" srcOrd="0" destOrd="0" presId="urn:microsoft.com/office/officeart/2005/8/layout/orgChart1"/>
    <dgm:cxn modelId="{D1A3BB4A-0AD9-4A16-8BC2-A46324C068D7}" type="presParOf" srcId="{A3FF16AE-F9C3-4E87-865E-5B8457107044}" destId="{4858F415-98E2-4ED0-884D-6E45621E7884}" srcOrd="0" destOrd="0" presId="urn:microsoft.com/office/officeart/2005/8/layout/orgChart1"/>
    <dgm:cxn modelId="{93E73377-5F9E-44E5-80F4-73A557689103}" type="presParOf" srcId="{A3FF16AE-F9C3-4E87-865E-5B8457107044}" destId="{CE6C688E-ACAB-483C-B469-8350C0C04FEB}" srcOrd="1" destOrd="0" presId="urn:microsoft.com/office/officeart/2005/8/layout/orgChart1"/>
    <dgm:cxn modelId="{7FBFB59D-B8F7-43FE-B6DF-58570CADFEA6}" type="presParOf" srcId="{96A3BB00-5226-4AE5-A2A5-EE55E4F1584F}" destId="{8B10647A-BB35-45AA-A2DC-51EC1C47EA51}" srcOrd="1" destOrd="0" presId="urn:microsoft.com/office/officeart/2005/8/layout/orgChart1"/>
    <dgm:cxn modelId="{1FADD44D-180D-4297-B953-1EBDD03A34C6}" type="presParOf" srcId="{8B10647A-BB35-45AA-A2DC-51EC1C47EA51}" destId="{122615FD-33E9-4A7B-9F95-F8B8E9F129B3}" srcOrd="0" destOrd="0" presId="urn:microsoft.com/office/officeart/2005/8/layout/orgChart1"/>
    <dgm:cxn modelId="{9AE07103-606A-4D6F-963F-91E9C31B3CC1}" type="presParOf" srcId="{8B10647A-BB35-45AA-A2DC-51EC1C47EA51}" destId="{8CCE793D-FDFE-4DA1-8E2A-CDE71052A34E}" srcOrd="1" destOrd="0" presId="urn:microsoft.com/office/officeart/2005/8/layout/orgChart1"/>
    <dgm:cxn modelId="{F91408CD-F738-4C76-8342-567C9E635289}" type="presParOf" srcId="{8CCE793D-FDFE-4DA1-8E2A-CDE71052A34E}" destId="{F1D9E640-F116-465A-8BE1-C133A4BF027C}" srcOrd="0" destOrd="0" presId="urn:microsoft.com/office/officeart/2005/8/layout/orgChart1"/>
    <dgm:cxn modelId="{E62FE167-7458-4D87-959B-50B48F33ADF4}" type="presParOf" srcId="{F1D9E640-F116-465A-8BE1-C133A4BF027C}" destId="{EFDC7C6A-7196-403E-B564-C7EEB6DB068C}" srcOrd="0" destOrd="0" presId="urn:microsoft.com/office/officeart/2005/8/layout/orgChart1"/>
    <dgm:cxn modelId="{DFF893F2-AD1A-4D9B-B1E8-414C6B28F49F}" type="presParOf" srcId="{F1D9E640-F116-465A-8BE1-C133A4BF027C}" destId="{A1D0F2D8-E3D8-4CAE-8B5F-D8F82D0919D6}" srcOrd="1" destOrd="0" presId="urn:microsoft.com/office/officeart/2005/8/layout/orgChart1"/>
    <dgm:cxn modelId="{0B8515FE-DDFA-40DA-B023-C1EF6C2A646F}" type="presParOf" srcId="{8CCE793D-FDFE-4DA1-8E2A-CDE71052A34E}" destId="{0C28B61E-FD5C-4609-B4F9-2841E6082EF4}" srcOrd="1" destOrd="0" presId="urn:microsoft.com/office/officeart/2005/8/layout/orgChart1"/>
    <dgm:cxn modelId="{48FCA6F8-1C2D-4E10-97F5-977006D5DF51}" type="presParOf" srcId="{8CCE793D-FDFE-4DA1-8E2A-CDE71052A34E}" destId="{008D1318-2733-471C-AB54-92948179B625}" srcOrd="2" destOrd="0" presId="urn:microsoft.com/office/officeart/2005/8/layout/orgChart1"/>
    <dgm:cxn modelId="{E81BEC29-7CFD-4D91-ADB3-1C3DD81994B7}" type="presParOf" srcId="{96A3BB00-5226-4AE5-A2A5-EE55E4F1584F}" destId="{669E05C5-3EA3-4A3A-9E98-A9E3CC91B37E}" srcOrd="2" destOrd="0" presId="urn:microsoft.com/office/officeart/2005/8/layout/orgChart1"/>
    <dgm:cxn modelId="{6D10D2CD-C33B-4302-806B-BD9FF403821A}" type="presParOf" srcId="{808B3B99-3A33-4151-8677-A9EE3FD13295}" destId="{019BEBCC-4A39-4DF1-86B0-9797C958008E}"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426CCB-4EC7-4FAA-B7B7-F3FC8A5974F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9F1ADDA-0DDE-4255-A8D5-B09F7A1ECF67}">
      <dgm:prSet phldrT="[Text]" custT="1"/>
      <dgm:spPr>
        <a:ln>
          <a:solidFill>
            <a:schemeClr val="tx1"/>
          </a:solidFill>
        </a:ln>
      </dgm:spPr>
      <dgm:t>
        <a:bodyPr/>
        <a:lstStyle/>
        <a:p>
          <a:pPr algn="ctr"/>
          <a:r>
            <a:rPr lang="en-US" sz="1600" b="1"/>
            <a:t>Options on WTI Crude Futures</a:t>
          </a:r>
        </a:p>
      </dgm:t>
    </dgm:pt>
    <dgm:pt modelId="{57F6E9D7-64F3-4619-9D1C-F49E5813A640}" type="parTrans" cxnId="{5DBEEC59-2E8D-42F1-B812-042AE7B22086}">
      <dgm:prSet/>
      <dgm:spPr/>
      <dgm:t>
        <a:bodyPr/>
        <a:lstStyle/>
        <a:p>
          <a:endParaRPr lang="en-US"/>
        </a:p>
      </dgm:t>
    </dgm:pt>
    <dgm:pt modelId="{D66AFCAE-D4DF-4D78-93BA-91EA21B3BDB8}" type="sibTrans" cxnId="{5DBEEC59-2E8D-42F1-B812-042AE7B22086}">
      <dgm:prSet/>
      <dgm:spPr/>
      <dgm:t>
        <a:bodyPr/>
        <a:lstStyle/>
        <a:p>
          <a:endParaRPr lang="en-US"/>
        </a:p>
      </dgm:t>
    </dgm:pt>
    <dgm:pt modelId="{DE922F46-AFFB-4396-BFC5-0D4F50B18ACB}">
      <dgm:prSet phldrT="[Text]" custT="1"/>
      <dgm:spPr>
        <a:ln>
          <a:solidFill>
            <a:schemeClr val="tx1"/>
          </a:solidFill>
        </a:ln>
      </dgm:spPr>
      <dgm:t>
        <a:bodyPr/>
        <a:lstStyle/>
        <a:p>
          <a:r>
            <a:rPr lang="en-US" sz="1600" b="1"/>
            <a:t>WTI Crude Futures</a:t>
          </a:r>
        </a:p>
      </dgm:t>
    </dgm:pt>
    <dgm:pt modelId="{5C493787-B2F5-442C-A038-CDA2D1EA31C0}" type="parTrans" cxnId="{0D06566A-48E2-4272-A588-2FBAD078C81C}">
      <dgm:prSet/>
      <dgm:spPr/>
      <dgm:t>
        <a:bodyPr/>
        <a:lstStyle/>
        <a:p>
          <a:endParaRPr lang="en-US"/>
        </a:p>
      </dgm:t>
    </dgm:pt>
    <dgm:pt modelId="{444F8383-5A76-45D8-B97A-22DB33D40BFA}" type="sibTrans" cxnId="{0D06566A-48E2-4272-A588-2FBAD078C81C}">
      <dgm:prSet/>
      <dgm:spPr/>
      <dgm:t>
        <a:bodyPr/>
        <a:lstStyle/>
        <a:p>
          <a:endParaRPr lang="en-US"/>
        </a:p>
      </dgm:t>
    </dgm:pt>
    <dgm:pt modelId="{7DCF7BC5-6C7F-4A60-A641-0F638FAA61CA}">
      <dgm:prSet custT="1"/>
      <dgm:spPr>
        <a:ln>
          <a:solidFill>
            <a:schemeClr val="tx1"/>
          </a:solidFill>
        </a:ln>
      </dgm:spPr>
      <dgm:t>
        <a:bodyPr/>
        <a:lstStyle/>
        <a:p>
          <a:r>
            <a:rPr lang="en-US" sz="1600" b="1"/>
            <a:t>WTI Crude</a:t>
          </a:r>
        </a:p>
        <a:p>
          <a:r>
            <a:rPr lang="en-US" sz="1600" b="1"/>
            <a:t>Asset Class</a:t>
          </a:r>
        </a:p>
      </dgm:t>
    </dgm:pt>
    <dgm:pt modelId="{A9747C71-5AEF-4E90-939D-44BB70C04FE0}" type="parTrans" cxnId="{CBF41E07-F4C5-4C7F-BD15-F2E6882D53BE}">
      <dgm:prSet/>
      <dgm:spPr/>
      <dgm:t>
        <a:bodyPr/>
        <a:lstStyle/>
        <a:p>
          <a:endParaRPr lang="en-US"/>
        </a:p>
      </dgm:t>
    </dgm:pt>
    <dgm:pt modelId="{C22DF0B1-D76B-4AA1-B432-126A2C46A972}" type="sibTrans" cxnId="{CBF41E07-F4C5-4C7F-BD15-F2E6882D53BE}">
      <dgm:prSet/>
      <dgm:spPr/>
      <dgm:t>
        <a:bodyPr/>
        <a:lstStyle/>
        <a:p>
          <a:endParaRPr lang="en-US"/>
        </a:p>
      </dgm:t>
    </dgm:pt>
    <dgm:pt modelId="{9BB901CB-7F98-4973-B168-64CA2FD101C6}" type="pres">
      <dgm:prSet presAssocID="{2E426CCB-4EC7-4FAA-B7B7-F3FC8A5974F3}" presName="hierChild1" presStyleCnt="0">
        <dgm:presLayoutVars>
          <dgm:orgChart val="1"/>
          <dgm:chPref val="1"/>
          <dgm:dir/>
          <dgm:animOne val="branch"/>
          <dgm:animLvl val="lvl"/>
          <dgm:resizeHandles/>
        </dgm:presLayoutVars>
      </dgm:prSet>
      <dgm:spPr/>
      <dgm:t>
        <a:bodyPr/>
        <a:lstStyle/>
        <a:p>
          <a:endParaRPr lang="en-US"/>
        </a:p>
      </dgm:t>
    </dgm:pt>
    <dgm:pt modelId="{808B3B99-3A33-4151-8677-A9EE3FD13295}" type="pres">
      <dgm:prSet presAssocID="{39F1ADDA-0DDE-4255-A8D5-B09F7A1ECF67}" presName="hierRoot1" presStyleCnt="0">
        <dgm:presLayoutVars>
          <dgm:hierBranch val="init"/>
        </dgm:presLayoutVars>
      </dgm:prSet>
      <dgm:spPr/>
    </dgm:pt>
    <dgm:pt modelId="{AA40060A-0FAA-47F4-92B7-1358F9FE846A}" type="pres">
      <dgm:prSet presAssocID="{39F1ADDA-0DDE-4255-A8D5-B09F7A1ECF67}" presName="rootComposite1" presStyleCnt="0"/>
      <dgm:spPr/>
    </dgm:pt>
    <dgm:pt modelId="{DEC3D0FD-AC52-4650-9982-422D990DA27C}" type="pres">
      <dgm:prSet presAssocID="{39F1ADDA-0DDE-4255-A8D5-B09F7A1ECF67}" presName="rootText1" presStyleLbl="node0" presStyleIdx="0" presStyleCnt="1">
        <dgm:presLayoutVars>
          <dgm:chPref val="3"/>
        </dgm:presLayoutVars>
      </dgm:prSet>
      <dgm:spPr/>
      <dgm:t>
        <a:bodyPr/>
        <a:lstStyle/>
        <a:p>
          <a:endParaRPr lang="en-US"/>
        </a:p>
      </dgm:t>
    </dgm:pt>
    <dgm:pt modelId="{CD21BED5-9795-4702-960C-F16027F36A32}" type="pres">
      <dgm:prSet presAssocID="{39F1ADDA-0DDE-4255-A8D5-B09F7A1ECF67}" presName="rootConnector1" presStyleLbl="node1" presStyleIdx="0" presStyleCnt="0"/>
      <dgm:spPr/>
      <dgm:t>
        <a:bodyPr/>
        <a:lstStyle/>
        <a:p>
          <a:endParaRPr lang="en-US"/>
        </a:p>
      </dgm:t>
    </dgm:pt>
    <dgm:pt modelId="{F7BC7AD6-7C86-431C-86F7-980BCBDEBB2A}" type="pres">
      <dgm:prSet presAssocID="{39F1ADDA-0DDE-4255-A8D5-B09F7A1ECF67}" presName="hierChild2" presStyleCnt="0"/>
      <dgm:spPr/>
    </dgm:pt>
    <dgm:pt modelId="{C9C3CF6B-6D2F-4E09-A8B5-A30DBBFD666D}" type="pres">
      <dgm:prSet presAssocID="{5C493787-B2F5-442C-A038-CDA2D1EA31C0}" presName="Name37" presStyleLbl="parChTrans1D2" presStyleIdx="0" presStyleCnt="1"/>
      <dgm:spPr/>
      <dgm:t>
        <a:bodyPr/>
        <a:lstStyle/>
        <a:p>
          <a:endParaRPr lang="en-US"/>
        </a:p>
      </dgm:t>
    </dgm:pt>
    <dgm:pt modelId="{96A3BB00-5226-4AE5-A2A5-EE55E4F1584F}" type="pres">
      <dgm:prSet presAssocID="{DE922F46-AFFB-4396-BFC5-0D4F50B18ACB}" presName="hierRoot2" presStyleCnt="0">
        <dgm:presLayoutVars>
          <dgm:hierBranch val="init"/>
        </dgm:presLayoutVars>
      </dgm:prSet>
      <dgm:spPr/>
    </dgm:pt>
    <dgm:pt modelId="{A3FF16AE-F9C3-4E87-865E-5B8457107044}" type="pres">
      <dgm:prSet presAssocID="{DE922F46-AFFB-4396-BFC5-0D4F50B18ACB}" presName="rootComposite" presStyleCnt="0"/>
      <dgm:spPr/>
    </dgm:pt>
    <dgm:pt modelId="{4858F415-98E2-4ED0-884D-6E45621E7884}" type="pres">
      <dgm:prSet presAssocID="{DE922F46-AFFB-4396-BFC5-0D4F50B18ACB}" presName="rootText" presStyleLbl="node2" presStyleIdx="0" presStyleCnt="1">
        <dgm:presLayoutVars>
          <dgm:chPref val="3"/>
        </dgm:presLayoutVars>
      </dgm:prSet>
      <dgm:spPr/>
      <dgm:t>
        <a:bodyPr/>
        <a:lstStyle/>
        <a:p>
          <a:endParaRPr lang="en-US"/>
        </a:p>
      </dgm:t>
    </dgm:pt>
    <dgm:pt modelId="{CE6C688E-ACAB-483C-B469-8350C0C04FEB}" type="pres">
      <dgm:prSet presAssocID="{DE922F46-AFFB-4396-BFC5-0D4F50B18ACB}" presName="rootConnector" presStyleLbl="node2" presStyleIdx="0" presStyleCnt="1"/>
      <dgm:spPr/>
      <dgm:t>
        <a:bodyPr/>
        <a:lstStyle/>
        <a:p>
          <a:endParaRPr lang="en-US"/>
        </a:p>
      </dgm:t>
    </dgm:pt>
    <dgm:pt modelId="{8B10647A-BB35-45AA-A2DC-51EC1C47EA51}" type="pres">
      <dgm:prSet presAssocID="{DE922F46-AFFB-4396-BFC5-0D4F50B18ACB}" presName="hierChild4" presStyleCnt="0"/>
      <dgm:spPr/>
    </dgm:pt>
    <dgm:pt modelId="{122615FD-33E9-4A7B-9F95-F8B8E9F129B3}" type="pres">
      <dgm:prSet presAssocID="{A9747C71-5AEF-4E90-939D-44BB70C04FE0}" presName="Name37" presStyleLbl="parChTrans1D3" presStyleIdx="0" presStyleCnt="1"/>
      <dgm:spPr/>
      <dgm:t>
        <a:bodyPr/>
        <a:lstStyle/>
        <a:p>
          <a:endParaRPr lang="en-US"/>
        </a:p>
      </dgm:t>
    </dgm:pt>
    <dgm:pt modelId="{8CCE793D-FDFE-4DA1-8E2A-CDE71052A34E}" type="pres">
      <dgm:prSet presAssocID="{7DCF7BC5-6C7F-4A60-A641-0F638FAA61CA}" presName="hierRoot2" presStyleCnt="0">
        <dgm:presLayoutVars>
          <dgm:hierBranch val="init"/>
        </dgm:presLayoutVars>
      </dgm:prSet>
      <dgm:spPr/>
    </dgm:pt>
    <dgm:pt modelId="{F1D9E640-F116-465A-8BE1-C133A4BF027C}" type="pres">
      <dgm:prSet presAssocID="{7DCF7BC5-6C7F-4A60-A641-0F638FAA61CA}" presName="rootComposite" presStyleCnt="0"/>
      <dgm:spPr/>
    </dgm:pt>
    <dgm:pt modelId="{EFDC7C6A-7196-403E-B564-C7EEB6DB068C}" type="pres">
      <dgm:prSet presAssocID="{7DCF7BC5-6C7F-4A60-A641-0F638FAA61CA}" presName="rootText" presStyleLbl="node3" presStyleIdx="0" presStyleCnt="1">
        <dgm:presLayoutVars>
          <dgm:chPref val="3"/>
        </dgm:presLayoutVars>
      </dgm:prSet>
      <dgm:spPr/>
      <dgm:t>
        <a:bodyPr/>
        <a:lstStyle/>
        <a:p>
          <a:endParaRPr lang="en-US"/>
        </a:p>
      </dgm:t>
    </dgm:pt>
    <dgm:pt modelId="{A1D0F2D8-E3D8-4CAE-8B5F-D8F82D0919D6}" type="pres">
      <dgm:prSet presAssocID="{7DCF7BC5-6C7F-4A60-A641-0F638FAA61CA}" presName="rootConnector" presStyleLbl="node3" presStyleIdx="0" presStyleCnt="1"/>
      <dgm:spPr/>
      <dgm:t>
        <a:bodyPr/>
        <a:lstStyle/>
        <a:p>
          <a:endParaRPr lang="en-US"/>
        </a:p>
      </dgm:t>
    </dgm:pt>
    <dgm:pt modelId="{0C28B61E-FD5C-4609-B4F9-2841E6082EF4}" type="pres">
      <dgm:prSet presAssocID="{7DCF7BC5-6C7F-4A60-A641-0F638FAA61CA}" presName="hierChild4" presStyleCnt="0"/>
      <dgm:spPr/>
    </dgm:pt>
    <dgm:pt modelId="{008D1318-2733-471C-AB54-92948179B625}" type="pres">
      <dgm:prSet presAssocID="{7DCF7BC5-6C7F-4A60-A641-0F638FAA61CA}" presName="hierChild5" presStyleCnt="0"/>
      <dgm:spPr/>
    </dgm:pt>
    <dgm:pt modelId="{669E05C5-3EA3-4A3A-9E98-A9E3CC91B37E}" type="pres">
      <dgm:prSet presAssocID="{DE922F46-AFFB-4396-BFC5-0D4F50B18ACB}" presName="hierChild5" presStyleCnt="0"/>
      <dgm:spPr/>
    </dgm:pt>
    <dgm:pt modelId="{019BEBCC-4A39-4DF1-86B0-9797C958008E}" type="pres">
      <dgm:prSet presAssocID="{39F1ADDA-0DDE-4255-A8D5-B09F7A1ECF67}" presName="hierChild3" presStyleCnt="0"/>
      <dgm:spPr/>
    </dgm:pt>
  </dgm:ptLst>
  <dgm:cxnLst>
    <dgm:cxn modelId="{B6491834-7EED-4F03-8910-FDA3496CE641}" type="presOf" srcId="{A9747C71-5AEF-4E90-939D-44BB70C04FE0}" destId="{122615FD-33E9-4A7B-9F95-F8B8E9F129B3}" srcOrd="0" destOrd="0" presId="urn:microsoft.com/office/officeart/2005/8/layout/orgChart1"/>
    <dgm:cxn modelId="{16B50CD6-F603-4AE0-B7B5-79E90750928B}" type="presOf" srcId="{7DCF7BC5-6C7F-4A60-A641-0F638FAA61CA}" destId="{EFDC7C6A-7196-403E-B564-C7EEB6DB068C}" srcOrd="0" destOrd="0" presId="urn:microsoft.com/office/officeart/2005/8/layout/orgChart1"/>
    <dgm:cxn modelId="{0A35FD7C-EA2C-40C8-AAD6-8E3154A12D67}" type="presOf" srcId="{5C493787-B2F5-442C-A038-CDA2D1EA31C0}" destId="{C9C3CF6B-6D2F-4E09-A8B5-A30DBBFD666D}" srcOrd="0" destOrd="0" presId="urn:microsoft.com/office/officeart/2005/8/layout/orgChart1"/>
    <dgm:cxn modelId="{96870A01-FB74-418E-8B3A-1C2DF1F13508}" type="presOf" srcId="{39F1ADDA-0DDE-4255-A8D5-B09F7A1ECF67}" destId="{DEC3D0FD-AC52-4650-9982-422D990DA27C}" srcOrd="0" destOrd="0" presId="urn:microsoft.com/office/officeart/2005/8/layout/orgChart1"/>
    <dgm:cxn modelId="{9A9EB1BE-1C50-4301-AE62-AF7D4BF5AF3B}" type="presOf" srcId="{2E426CCB-4EC7-4FAA-B7B7-F3FC8A5974F3}" destId="{9BB901CB-7F98-4973-B168-64CA2FD101C6}" srcOrd="0" destOrd="0" presId="urn:microsoft.com/office/officeart/2005/8/layout/orgChart1"/>
    <dgm:cxn modelId="{BB9EC0E8-3FED-4A65-BB59-F73EB721AA24}" type="presOf" srcId="{39F1ADDA-0DDE-4255-A8D5-B09F7A1ECF67}" destId="{CD21BED5-9795-4702-960C-F16027F36A32}" srcOrd="1" destOrd="0" presId="urn:microsoft.com/office/officeart/2005/8/layout/orgChart1"/>
    <dgm:cxn modelId="{2DC3E5E2-F7C5-47DE-89A1-A2B84964BDD5}" type="presOf" srcId="{DE922F46-AFFB-4396-BFC5-0D4F50B18ACB}" destId="{CE6C688E-ACAB-483C-B469-8350C0C04FEB}" srcOrd="1" destOrd="0" presId="urn:microsoft.com/office/officeart/2005/8/layout/orgChart1"/>
    <dgm:cxn modelId="{4ED051BB-27E8-4627-96CB-6E0C96E1482B}" type="presOf" srcId="{DE922F46-AFFB-4396-BFC5-0D4F50B18ACB}" destId="{4858F415-98E2-4ED0-884D-6E45621E7884}" srcOrd="0" destOrd="0" presId="urn:microsoft.com/office/officeart/2005/8/layout/orgChart1"/>
    <dgm:cxn modelId="{5DBEEC59-2E8D-42F1-B812-042AE7B22086}" srcId="{2E426CCB-4EC7-4FAA-B7B7-F3FC8A5974F3}" destId="{39F1ADDA-0DDE-4255-A8D5-B09F7A1ECF67}" srcOrd="0" destOrd="0" parTransId="{57F6E9D7-64F3-4619-9D1C-F49E5813A640}" sibTransId="{D66AFCAE-D4DF-4D78-93BA-91EA21B3BDB8}"/>
    <dgm:cxn modelId="{674B11EA-54C4-4BCE-B56E-DAD957A692C7}" type="presOf" srcId="{7DCF7BC5-6C7F-4A60-A641-0F638FAA61CA}" destId="{A1D0F2D8-E3D8-4CAE-8B5F-D8F82D0919D6}" srcOrd="1" destOrd="0" presId="urn:microsoft.com/office/officeart/2005/8/layout/orgChart1"/>
    <dgm:cxn modelId="{0D06566A-48E2-4272-A588-2FBAD078C81C}" srcId="{39F1ADDA-0DDE-4255-A8D5-B09F7A1ECF67}" destId="{DE922F46-AFFB-4396-BFC5-0D4F50B18ACB}" srcOrd="0" destOrd="0" parTransId="{5C493787-B2F5-442C-A038-CDA2D1EA31C0}" sibTransId="{444F8383-5A76-45D8-B97A-22DB33D40BFA}"/>
    <dgm:cxn modelId="{CBF41E07-F4C5-4C7F-BD15-F2E6882D53BE}" srcId="{DE922F46-AFFB-4396-BFC5-0D4F50B18ACB}" destId="{7DCF7BC5-6C7F-4A60-A641-0F638FAA61CA}" srcOrd="0" destOrd="0" parTransId="{A9747C71-5AEF-4E90-939D-44BB70C04FE0}" sibTransId="{C22DF0B1-D76B-4AA1-B432-126A2C46A972}"/>
    <dgm:cxn modelId="{ED208B90-D040-437D-AA70-363E6DB58291}" type="presParOf" srcId="{9BB901CB-7F98-4973-B168-64CA2FD101C6}" destId="{808B3B99-3A33-4151-8677-A9EE3FD13295}" srcOrd="0" destOrd="0" presId="urn:microsoft.com/office/officeart/2005/8/layout/orgChart1"/>
    <dgm:cxn modelId="{C691CABF-53A7-4F00-8035-226FF4CF5641}" type="presParOf" srcId="{808B3B99-3A33-4151-8677-A9EE3FD13295}" destId="{AA40060A-0FAA-47F4-92B7-1358F9FE846A}" srcOrd="0" destOrd="0" presId="urn:microsoft.com/office/officeart/2005/8/layout/orgChart1"/>
    <dgm:cxn modelId="{F6DB118E-B363-47D1-A1B3-52755F8BB3C0}" type="presParOf" srcId="{AA40060A-0FAA-47F4-92B7-1358F9FE846A}" destId="{DEC3D0FD-AC52-4650-9982-422D990DA27C}" srcOrd="0" destOrd="0" presId="urn:microsoft.com/office/officeart/2005/8/layout/orgChart1"/>
    <dgm:cxn modelId="{567E31C4-D104-4EEB-A8B7-5B42E6759C3B}" type="presParOf" srcId="{AA40060A-0FAA-47F4-92B7-1358F9FE846A}" destId="{CD21BED5-9795-4702-960C-F16027F36A32}" srcOrd="1" destOrd="0" presId="urn:microsoft.com/office/officeart/2005/8/layout/orgChart1"/>
    <dgm:cxn modelId="{834F578C-E6AB-4A6B-B6CA-5727514FF140}" type="presParOf" srcId="{808B3B99-3A33-4151-8677-A9EE3FD13295}" destId="{F7BC7AD6-7C86-431C-86F7-980BCBDEBB2A}" srcOrd="1" destOrd="0" presId="urn:microsoft.com/office/officeart/2005/8/layout/orgChart1"/>
    <dgm:cxn modelId="{D05F7AC0-2A5E-46BF-8C01-06493DC47E6B}" type="presParOf" srcId="{F7BC7AD6-7C86-431C-86F7-980BCBDEBB2A}" destId="{C9C3CF6B-6D2F-4E09-A8B5-A30DBBFD666D}" srcOrd="0" destOrd="0" presId="urn:microsoft.com/office/officeart/2005/8/layout/orgChart1"/>
    <dgm:cxn modelId="{22B69A92-0F4B-4C00-BDFC-BEBA5B9391CF}" type="presParOf" srcId="{F7BC7AD6-7C86-431C-86F7-980BCBDEBB2A}" destId="{96A3BB00-5226-4AE5-A2A5-EE55E4F1584F}" srcOrd="1" destOrd="0" presId="urn:microsoft.com/office/officeart/2005/8/layout/orgChart1"/>
    <dgm:cxn modelId="{5AE5CE23-7620-4EE7-B3CA-224B83970097}" type="presParOf" srcId="{96A3BB00-5226-4AE5-A2A5-EE55E4F1584F}" destId="{A3FF16AE-F9C3-4E87-865E-5B8457107044}" srcOrd="0" destOrd="0" presId="urn:microsoft.com/office/officeart/2005/8/layout/orgChart1"/>
    <dgm:cxn modelId="{B6DC77E7-CFBE-47F5-99BF-4B92C09E062E}" type="presParOf" srcId="{A3FF16AE-F9C3-4E87-865E-5B8457107044}" destId="{4858F415-98E2-4ED0-884D-6E45621E7884}" srcOrd="0" destOrd="0" presId="urn:microsoft.com/office/officeart/2005/8/layout/orgChart1"/>
    <dgm:cxn modelId="{6934B62B-463D-47A3-8F5E-542E2151943F}" type="presParOf" srcId="{A3FF16AE-F9C3-4E87-865E-5B8457107044}" destId="{CE6C688E-ACAB-483C-B469-8350C0C04FEB}" srcOrd="1" destOrd="0" presId="urn:microsoft.com/office/officeart/2005/8/layout/orgChart1"/>
    <dgm:cxn modelId="{7E47F6B5-FD04-4696-BAAE-231D94D155C1}" type="presParOf" srcId="{96A3BB00-5226-4AE5-A2A5-EE55E4F1584F}" destId="{8B10647A-BB35-45AA-A2DC-51EC1C47EA51}" srcOrd="1" destOrd="0" presId="urn:microsoft.com/office/officeart/2005/8/layout/orgChart1"/>
    <dgm:cxn modelId="{93D19946-DB47-47BE-8845-EBE391554FC8}" type="presParOf" srcId="{8B10647A-BB35-45AA-A2DC-51EC1C47EA51}" destId="{122615FD-33E9-4A7B-9F95-F8B8E9F129B3}" srcOrd="0" destOrd="0" presId="urn:microsoft.com/office/officeart/2005/8/layout/orgChart1"/>
    <dgm:cxn modelId="{70567DCC-306A-41F9-8C3C-2965209E6A16}" type="presParOf" srcId="{8B10647A-BB35-45AA-A2DC-51EC1C47EA51}" destId="{8CCE793D-FDFE-4DA1-8E2A-CDE71052A34E}" srcOrd="1" destOrd="0" presId="urn:microsoft.com/office/officeart/2005/8/layout/orgChart1"/>
    <dgm:cxn modelId="{62128A10-A499-4D25-AA9A-06F0E3FE68DA}" type="presParOf" srcId="{8CCE793D-FDFE-4DA1-8E2A-CDE71052A34E}" destId="{F1D9E640-F116-465A-8BE1-C133A4BF027C}" srcOrd="0" destOrd="0" presId="urn:microsoft.com/office/officeart/2005/8/layout/orgChart1"/>
    <dgm:cxn modelId="{35660E51-0245-4968-90CD-440CC47220B1}" type="presParOf" srcId="{F1D9E640-F116-465A-8BE1-C133A4BF027C}" destId="{EFDC7C6A-7196-403E-B564-C7EEB6DB068C}" srcOrd="0" destOrd="0" presId="urn:microsoft.com/office/officeart/2005/8/layout/orgChart1"/>
    <dgm:cxn modelId="{0A660A0E-E3E4-4D76-AA0D-74E89C736ABD}" type="presParOf" srcId="{F1D9E640-F116-465A-8BE1-C133A4BF027C}" destId="{A1D0F2D8-E3D8-4CAE-8B5F-D8F82D0919D6}" srcOrd="1" destOrd="0" presId="urn:microsoft.com/office/officeart/2005/8/layout/orgChart1"/>
    <dgm:cxn modelId="{E01B9F06-1ECC-4EA1-A41E-FA3846D5220E}" type="presParOf" srcId="{8CCE793D-FDFE-4DA1-8E2A-CDE71052A34E}" destId="{0C28B61E-FD5C-4609-B4F9-2841E6082EF4}" srcOrd="1" destOrd="0" presId="urn:microsoft.com/office/officeart/2005/8/layout/orgChart1"/>
    <dgm:cxn modelId="{E37AFFA8-47E5-4890-BD40-4C7D1D6F6958}" type="presParOf" srcId="{8CCE793D-FDFE-4DA1-8E2A-CDE71052A34E}" destId="{008D1318-2733-471C-AB54-92948179B625}" srcOrd="2" destOrd="0" presId="urn:microsoft.com/office/officeart/2005/8/layout/orgChart1"/>
    <dgm:cxn modelId="{164F7389-0D7E-4EB4-B252-B96841413F9F}" type="presParOf" srcId="{96A3BB00-5226-4AE5-A2A5-EE55E4F1584F}" destId="{669E05C5-3EA3-4A3A-9E98-A9E3CC91B37E}" srcOrd="2" destOrd="0" presId="urn:microsoft.com/office/officeart/2005/8/layout/orgChart1"/>
    <dgm:cxn modelId="{E25357A6-BBFA-4C26-9841-9786AD4118BA}" type="presParOf" srcId="{808B3B99-3A33-4151-8677-A9EE3FD13295}" destId="{019BEBCC-4A39-4DF1-86B0-9797C958008E}"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426CCB-4EC7-4FAA-B7B7-F3FC8A5974F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9F1ADDA-0DDE-4255-A8D5-B09F7A1ECF67}">
      <dgm:prSet phldrT="[Text]" custT="1"/>
      <dgm:spPr>
        <a:solidFill>
          <a:schemeClr val="bg1"/>
        </a:solidFill>
        <a:ln>
          <a:noFill/>
        </a:ln>
      </dgm:spPr>
      <dgm:t>
        <a:bodyPr/>
        <a:lstStyle/>
        <a:p>
          <a:pPr algn="ctr"/>
          <a:r>
            <a:rPr lang="en-US" sz="1600" b="1"/>
            <a:t>Options on WTI Crude Futures</a:t>
          </a:r>
        </a:p>
      </dgm:t>
    </dgm:pt>
    <dgm:pt modelId="{57F6E9D7-64F3-4619-9D1C-F49E5813A640}" type="parTrans" cxnId="{5DBEEC59-2E8D-42F1-B812-042AE7B22086}">
      <dgm:prSet/>
      <dgm:spPr/>
      <dgm:t>
        <a:bodyPr/>
        <a:lstStyle/>
        <a:p>
          <a:endParaRPr lang="en-US"/>
        </a:p>
      </dgm:t>
    </dgm:pt>
    <dgm:pt modelId="{D66AFCAE-D4DF-4D78-93BA-91EA21B3BDB8}" type="sibTrans" cxnId="{5DBEEC59-2E8D-42F1-B812-042AE7B22086}">
      <dgm:prSet/>
      <dgm:spPr/>
      <dgm:t>
        <a:bodyPr/>
        <a:lstStyle/>
        <a:p>
          <a:endParaRPr lang="en-US"/>
        </a:p>
      </dgm:t>
    </dgm:pt>
    <dgm:pt modelId="{DE922F46-AFFB-4396-BFC5-0D4F50B18ACB}">
      <dgm:prSet phldrT="[Text]" custT="1"/>
      <dgm:spPr>
        <a:ln>
          <a:solidFill>
            <a:schemeClr val="tx1"/>
          </a:solidFill>
        </a:ln>
      </dgm:spPr>
      <dgm:t>
        <a:bodyPr/>
        <a:lstStyle/>
        <a:p>
          <a:r>
            <a:rPr lang="en-US" sz="1600" b="1"/>
            <a:t>Heating Oil Futures</a:t>
          </a:r>
        </a:p>
      </dgm:t>
    </dgm:pt>
    <dgm:pt modelId="{5C493787-B2F5-442C-A038-CDA2D1EA31C0}" type="parTrans" cxnId="{0D06566A-48E2-4272-A588-2FBAD078C81C}">
      <dgm:prSet/>
      <dgm:spPr>
        <a:ln>
          <a:solidFill>
            <a:schemeClr val="bg1"/>
          </a:solidFill>
        </a:ln>
      </dgm:spPr>
      <dgm:t>
        <a:bodyPr/>
        <a:lstStyle/>
        <a:p>
          <a:endParaRPr lang="en-US"/>
        </a:p>
      </dgm:t>
    </dgm:pt>
    <dgm:pt modelId="{444F8383-5A76-45D8-B97A-22DB33D40BFA}" type="sibTrans" cxnId="{0D06566A-48E2-4272-A588-2FBAD078C81C}">
      <dgm:prSet/>
      <dgm:spPr/>
      <dgm:t>
        <a:bodyPr/>
        <a:lstStyle/>
        <a:p>
          <a:endParaRPr lang="en-US"/>
        </a:p>
      </dgm:t>
    </dgm:pt>
    <dgm:pt modelId="{7DCF7BC5-6C7F-4A60-A641-0F638FAA61CA}">
      <dgm:prSet custT="1"/>
      <dgm:spPr>
        <a:ln>
          <a:solidFill>
            <a:schemeClr val="tx1"/>
          </a:solidFill>
        </a:ln>
      </dgm:spPr>
      <dgm:t>
        <a:bodyPr/>
        <a:lstStyle/>
        <a:p>
          <a:r>
            <a:rPr lang="en-US" sz="1600" b="1"/>
            <a:t>Heating Oil     Asset Class</a:t>
          </a:r>
        </a:p>
      </dgm:t>
    </dgm:pt>
    <dgm:pt modelId="{A9747C71-5AEF-4E90-939D-44BB70C04FE0}" type="parTrans" cxnId="{CBF41E07-F4C5-4C7F-BD15-F2E6882D53BE}">
      <dgm:prSet/>
      <dgm:spPr/>
      <dgm:t>
        <a:bodyPr/>
        <a:lstStyle/>
        <a:p>
          <a:endParaRPr lang="en-US"/>
        </a:p>
      </dgm:t>
    </dgm:pt>
    <dgm:pt modelId="{C22DF0B1-D76B-4AA1-B432-126A2C46A972}" type="sibTrans" cxnId="{CBF41E07-F4C5-4C7F-BD15-F2E6882D53BE}">
      <dgm:prSet/>
      <dgm:spPr/>
      <dgm:t>
        <a:bodyPr/>
        <a:lstStyle/>
        <a:p>
          <a:endParaRPr lang="en-US"/>
        </a:p>
      </dgm:t>
    </dgm:pt>
    <dgm:pt modelId="{9BB901CB-7F98-4973-B168-64CA2FD101C6}" type="pres">
      <dgm:prSet presAssocID="{2E426CCB-4EC7-4FAA-B7B7-F3FC8A5974F3}" presName="hierChild1" presStyleCnt="0">
        <dgm:presLayoutVars>
          <dgm:orgChart val="1"/>
          <dgm:chPref val="1"/>
          <dgm:dir/>
          <dgm:animOne val="branch"/>
          <dgm:animLvl val="lvl"/>
          <dgm:resizeHandles/>
        </dgm:presLayoutVars>
      </dgm:prSet>
      <dgm:spPr/>
      <dgm:t>
        <a:bodyPr/>
        <a:lstStyle/>
        <a:p>
          <a:endParaRPr lang="en-US"/>
        </a:p>
      </dgm:t>
    </dgm:pt>
    <dgm:pt modelId="{808B3B99-3A33-4151-8677-A9EE3FD13295}" type="pres">
      <dgm:prSet presAssocID="{39F1ADDA-0DDE-4255-A8D5-B09F7A1ECF67}" presName="hierRoot1" presStyleCnt="0">
        <dgm:presLayoutVars>
          <dgm:hierBranch val="init"/>
        </dgm:presLayoutVars>
      </dgm:prSet>
      <dgm:spPr/>
    </dgm:pt>
    <dgm:pt modelId="{AA40060A-0FAA-47F4-92B7-1358F9FE846A}" type="pres">
      <dgm:prSet presAssocID="{39F1ADDA-0DDE-4255-A8D5-B09F7A1ECF67}" presName="rootComposite1" presStyleCnt="0"/>
      <dgm:spPr/>
    </dgm:pt>
    <dgm:pt modelId="{DEC3D0FD-AC52-4650-9982-422D990DA27C}" type="pres">
      <dgm:prSet presAssocID="{39F1ADDA-0DDE-4255-A8D5-B09F7A1ECF67}" presName="rootText1" presStyleLbl="node0" presStyleIdx="0" presStyleCnt="1">
        <dgm:presLayoutVars>
          <dgm:chPref val="3"/>
        </dgm:presLayoutVars>
      </dgm:prSet>
      <dgm:spPr/>
      <dgm:t>
        <a:bodyPr/>
        <a:lstStyle/>
        <a:p>
          <a:endParaRPr lang="en-US"/>
        </a:p>
      </dgm:t>
    </dgm:pt>
    <dgm:pt modelId="{CD21BED5-9795-4702-960C-F16027F36A32}" type="pres">
      <dgm:prSet presAssocID="{39F1ADDA-0DDE-4255-A8D5-B09F7A1ECF67}" presName="rootConnector1" presStyleLbl="node1" presStyleIdx="0" presStyleCnt="0"/>
      <dgm:spPr/>
      <dgm:t>
        <a:bodyPr/>
        <a:lstStyle/>
        <a:p>
          <a:endParaRPr lang="en-US"/>
        </a:p>
      </dgm:t>
    </dgm:pt>
    <dgm:pt modelId="{F7BC7AD6-7C86-431C-86F7-980BCBDEBB2A}" type="pres">
      <dgm:prSet presAssocID="{39F1ADDA-0DDE-4255-A8D5-B09F7A1ECF67}" presName="hierChild2" presStyleCnt="0"/>
      <dgm:spPr/>
    </dgm:pt>
    <dgm:pt modelId="{C9C3CF6B-6D2F-4E09-A8B5-A30DBBFD666D}" type="pres">
      <dgm:prSet presAssocID="{5C493787-B2F5-442C-A038-CDA2D1EA31C0}" presName="Name37" presStyleLbl="parChTrans1D2" presStyleIdx="0" presStyleCnt="1"/>
      <dgm:spPr/>
      <dgm:t>
        <a:bodyPr/>
        <a:lstStyle/>
        <a:p>
          <a:endParaRPr lang="en-US"/>
        </a:p>
      </dgm:t>
    </dgm:pt>
    <dgm:pt modelId="{96A3BB00-5226-4AE5-A2A5-EE55E4F1584F}" type="pres">
      <dgm:prSet presAssocID="{DE922F46-AFFB-4396-BFC5-0D4F50B18ACB}" presName="hierRoot2" presStyleCnt="0">
        <dgm:presLayoutVars>
          <dgm:hierBranch val="init"/>
        </dgm:presLayoutVars>
      </dgm:prSet>
      <dgm:spPr/>
    </dgm:pt>
    <dgm:pt modelId="{A3FF16AE-F9C3-4E87-865E-5B8457107044}" type="pres">
      <dgm:prSet presAssocID="{DE922F46-AFFB-4396-BFC5-0D4F50B18ACB}" presName="rootComposite" presStyleCnt="0"/>
      <dgm:spPr/>
    </dgm:pt>
    <dgm:pt modelId="{4858F415-98E2-4ED0-884D-6E45621E7884}" type="pres">
      <dgm:prSet presAssocID="{DE922F46-AFFB-4396-BFC5-0D4F50B18ACB}" presName="rootText" presStyleLbl="node2" presStyleIdx="0" presStyleCnt="1">
        <dgm:presLayoutVars>
          <dgm:chPref val="3"/>
        </dgm:presLayoutVars>
      </dgm:prSet>
      <dgm:spPr/>
      <dgm:t>
        <a:bodyPr/>
        <a:lstStyle/>
        <a:p>
          <a:endParaRPr lang="en-US"/>
        </a:p>
      </dgm:t>
    </dgm:pt>
    <dgm:pt modelId="{CE6C688E-ACAB-483C-B469-8350C0C04FEB}" type="pres">
      <dgm:prSet presAssocID="{DE922F46-AFFB-4396-BFC5-0D4F50B18ACB}" presName="rootConnector" presStyleLbl="node2" presStyleIdx="0" presStyleCnt="1"/>
      <dgm:spPr/>
      <dgm:t>
        <a:bodyPr/>
        <a:lstStyle/>
        <a:p>
          <a:endParaRPr lang="en-US"/>
        </a:p>
      </dgm:t>
    </dgm:pt>
    <dgm:pt modelId="{8B10647A-BB35-45AA-A2DC-51EC1C47EA51}" type="pres">
      <dgm:prSet presAssocID="{DE922F46-AFFB-4396-BFC5-0D4F50B18ACB}" presName="hierChild4" presStyleCnt="0"/>
      <dgm:spPr/>
    </dgm:pt>
    <dgm:pt modelId="{122615FD-33E9-4A7B-9F95-F8B8E9F129B3}" type="pres">
      <dgm:prSet presAssocID="{A9747C71-5AEF-4E90-939D-44BB70C04FE0}" presName="Name37" presStyleLbl="parChTrans1D3" presStyleIdx="0" presStyleCnt="1"/>
      <dgm:spPr/>
      <dgm:t>
        <a:bodyPr/>
        <a:lstStyle/>
        <a:p>
          <a:endParaRPr lang="en-US"/>
        </a:p>
      </dgm:t>
    </dgm:pt>
    <dgm:pt modelId="{8CCE793D-FDFE-4DA1-8E2A-CDE71052A34E}" type="pres">
      <dgm:prSet presAssocID="{7DCF7BC5-6C7F-4A60-A641-0F638FAA61CA}" presName="hierRoot2" presStyleCnt="0">
        <dgm:presLayoutVars>
          <dgm:hierBranch val="init"/>
        </dgm:presLayoutVars>
      </dgm:prSet>
      <dgm:spPr/>
    </dgm:pt>
    <dgm:pt modelId="{F1D9E640-F116-465A-8BE1-C133A4BF027C}" type="pres">
      <dgm:prSet presAssocID="{7DCF7BC5-6C7F-4A60-A641-0F638FAA61CA}" presName="rootComposite" presStyleCnt="0"/>
      <dgm:spPr/>
    </dgm:pt>
    <dgm:pt modelId="{EFDC7C6A-7196-403E-B564-C7EEB6DB068C}" type="pres">
      <dgm:prSet presAssocID="{7DCF7BC5-6C7F-4A60-A641-0F638FAA61CA}" presName="rootText" presStyleLbl="node3" presStyleIdx="0" presStyleCnt="1">
        <dgm:presLayoutVars>
          <dgm:chPref val="3"/>
        </dgm:presLayoutVars>
      </dgm:prSet>
      <dgm:spPr/>
      <dgm:t>
        <a:bodyPr/>
        <a:lstStyle/>
        <a:p>
          <a:endParaRPr lang="en-US"/>
        </a:p>
      </dgm:t>
    </dgm:pt>
    <dgm:pt modelId="{A1D0F2D8-E3D8-4CAE-8B5F-D8F82D0919D6}" type="pres">
      <dgm:prSet presAssocID="{7DCF7BC5-6C7F-4A60-A641-0F638FAA61CA}" presName="rootConnector" presStyleLbl="node3" presStyleIdx="0" presStyleCnt="1"/>
      <dgm:spPr/>
      <dgm:t>
        <a:bodyPr/>
        <a:lstStyle/>
        <a:p>
          <a:endParaRPr lang="en-US"/>
        </a:p>
      </dgm:t>
    </dgm:pt>
    <dgm:pt modelId="{0C28B61E-FD5C-4609-B4F9-2841E6082EF4}" type="pres">
      <dgm:prSet presAssocID="{7DCF7BC5-6C7F-4A60-A641-0F638FAA61CA}" presName="hierChild4" presStyleCnt="0"/>
      <dgm:spPr/>
    </dgm:pt>
    <dgm:pt modelId="{008D1318-2733-471C-AB54-92948179B625}" type="pres">
      <dgm:prSet presAssocID="{7DCF7BC5-6C7F-4A60-A641-0F638FAA61CA}" presName="hierChild5" presStyleCnt="0"/>
      <dgm:spPr/>
    </dgm:pt>
    <dgm:pt modelId="{669E05C5-3EA3-4A3A-9E98-A9E3CC91B37E}" type="pres">
      <dgm:prSet presAssocID="{DE922F46-AFFB-4396-BFC5-0D4F50B18ACB}" presName="hierChild5" presStyleCnt="0"/>
      <dgm:spPr/>
    </dgm:pt>
    <dgm:pt modelId="{019BEBCC-4A39-4DF1-86B0-9797C958008E}" type="pres">
      <dgm:prSet presAssocID="{39F1ADDA-0DDE-4255-A8D5-B09F7A1ECF67}" presName="hierChild3" presStyleCnt="0"/>
      <dgm:spPr/>
    </dgm:pt>
  </dgm:ptLst>
  <dgm:cxnLst>
    <dgm:cxn modelId="{0635DBBC-6C77-45D8-B20A-82DBBD568522}" type="presOf" srcId="{DE922F46-AFFB-4396-BFC5-0D4F50B18ACB}" destId="{CE6C688E-ACAB-483C-B469-8350C0C04FEB}" srcOrd="1" destOrd="0" presId="urn:microsoft.com/office/officeart/2005/8/layout/orgChart1"/>
    <dgm:cxn modelId="{AD6A2457-144E-483C-B150-853AC38EC53E}" type="presOf" srcId="{39F1ADDA-0DDE-4255-A8D5-B09F7A1ECF67}" destId="{CD21BED5-9795-4702-960C-F16027F36A32}" srcOrd="1" destOrd="0" presId="urn:microsoft.com/office/officeart/2005/8/layout/orgChart1"/>
    <dgm:cxn modelId="{40FD9108-D436-4482-8179-3C7D826C3572}" type="presOf" srcId="{2E426CCB-4EC7-4FAA-B7B7-F3FC8A5974F3}" destId="{9BB901CB-7F98-4973-B168-64CA2FD101C6}" srcOrd="0" destOrd="0" presId="urn:microsoft.com/office/officeart/2005/8/layout/orgChart1"/>
    <dgm:cxn modelId="{E146064C-8DFF-4B69-905F-A9C4FD798287}" type="presOf" srcId="{5C493787-B2F5-442C-A038-CDA2D1EA31C0}" destId="{C9C3CF6B-6D2F-4E09-A8B5-A30DBBFD666D}" srcOrd="0" destOrd="0" presId="urn:microsoft.com/office/officeart/2005/8/layout/orgChart1"/>
    <dgm:cxn modelId="{4EBDD78C-B777-4AC5-A9A1-430E69876F9F}" type="presOf" srcId="{DE922F46-AFFB-4396-BFC5-0D4F50B18ACB}" destId="{4858F415-98E2-4ED0-884D-6E45621E7884}" srcOrd="0" destOrd="0" presId="urn:microsoft.com/office/officeart/2005/8/layout/orgChart1"/>
    <dgm:cxn modelId="{5DBEEC59-2E8D-42F1-B812-042AE7B22086}" srcId="{2E426CCB-4EC7-4FAA-B7B7-F3FC8A5974F3}" destId="{39F1ADDA-0DDE-4255-A8D5-B09F7A1ECF67}" srcOrd="0" destOrd="0" parTransId="{57F6E9D7-64F3-4619-9D1C-F49E5813A640}" sibTransId="{D66AFCAE-D4DF-4D78-93BA-91EA21B3BDB8}"/>
    <dgm:cxn modelId="{D5C0502E-A29D-4DB4-8527-78CBF5595A21}" type="presOf" srcId="{A9747C71-5AEF-4E90-939D-44BB70C04FE0}" destId="{122615FD-33E9-4A7B-9F95-F8B8E9F129B3}" srcOrd="0" destOrd="0" presId="urn:microsoft.com/office/officeart/2005/8/layout/orgChart1"/>
    <dgm:cxn modelId="{0D06566A-48E2-4272-A588-2FBAD078C81C}" srcId="{39F1ADDA-0DDE-4255-A8D5-B09F7A1ECF67}" destId="{DE922F46-AFFB-4396-BFC5-0D4F50B18ACB}" srcOrd="0" destOrd="0" parTransId="{5C493787-B2F5-442C-A038-CDA2D1EA31C0}" sibTransId="{444F8383-5A76-45D8-B97A-22DB33D40BFA}"/>
    <dgm:cxn modelId="{CBF41E07-F4C5-4C7F-BD15-F2E6882D53BE}" srcId="{DE922F46-AFFB-4396-BFC5-0D4F50B18ACB}" destId="{7DCF7BC5-6C7F-4A60-A641-0F638FAA61CA}" srcOrd="0" destOrd="0" parTransId="{A9747C71-5AEF-4E90-939D-44BB70C04FE0}" sibTransId="{C22DF0B1-D76B-4AA1-B432-126A2C46A972}"/>
    <dgm:cxn modelId="{26D93E45-B56B-415A-90B4-0A9969DB6619}" type="presOf" srcId="{39F1ADDA-0DDE-4255-A8D5-B09F7A1ECF67}" destId="{DEC3D0FD-AC52-4650-9982-422D990DA27C}" srcOrd="0" destOrd="0" presId="urn:microsoft.com/office/officeart/2005/8/layout/orgChart1"/>
    <dgm:cxn modelId="{D62F8974-D495-4B5E-A2D6-EC3DF1CC84CD}" type="presOf" srcId="{7DCF7BC5-6C7F-4A60-A641-0F638FAA61CA}" destId="{EFDC7C6A-7196-403E-B564-C7EEB6DB068C}" srcOrd="0" destOrd="0" presId="urn:microsoft.com/office/officeart/2005/8/layout/orgChart1"/>
    <dgm:cxn modelId="{B7B30773-3E7A-41BA-9B49-DDE31B01D285}" type="presOf" srcId="{7DCF7BC5-6C7F-4A60-A641-0F638FAA61CA}" destId="{A1D0F2D8-E3D8-4CAE-8B5F-D8F82D0919D6}" srcOrd="1" destOrd="0" presId="urn:microsoft.com/office/officeart/2005/8/layout/orgChart1"/>
    <dgm:cxn modelId="{3D82FD82-AA69-4433-99DF-E9C48B4C3683}" type="presParOf" srcId="{9BB901CB-7F98-4973-B168-64CA2FD101C6}" destId="{808B3B99-3A33-4151-8677-A9EE3FD13295}" srcOrd="0" destOrd="0" presId="urn:microsoft.com/office/officeart/2005/8/layout/orgChart1"/>
    <dgm:cxn modelId="{FF5F15BA-073B-4C5C-AFF3-3145E887C89D}" type="presParOf" srcId="{808B3B99-3A33-4151-8677-A9EE3FD13295}" destId="{AA40060A-0FAA-47F4-92B7-1358F9FE846A}" srcOrd="0" destOrd="0" presId="urn:microsoft.com/office/officeart/2005/8/layout/orgChart1"/>
    <dgm:cxn modelId="{2DEC4D59-7FBB-425F-A420-E1F63A2C32C1}" type="presParOf" srcId="{AA40060A-0FAA-47F4-92B7-1358F9FE846A}" destId="{DEC3D0FD-AC52-4650-9982-422D990DA27C}" srcOrd="0" destOrd="0" presId="urn:microsoft.com/office/officeart/2005/8/layout/orgChart1"/>
    <dgm:cxn modelId="{306359FA-7108-4542-8851-7282A914D79B}" type="presParOf" srcId="{AA40060A-0FAA-47F4-92B7-1358F9FE846A}" destId="{CD21BED5-9795-4702-960C-F16027F36A32}" srcOrd="1" destOrd="0" presId="urn:microsoft.com/office/officeart/2005/8/layout/orgChart1"/>
    <dgm:cxn modelId="{DA7E8738-D151-4496-A6E3-0791DB104582}" type="presParOf" srcId="{808B3B99-3A33-4151-8677-A9EE3FD13295}" destId="{F7BC7AD6-7C86-431C-86F7-980BCBDEBB2A}" srcOrd="1" destOrd="0" presId="urn:microsoft.com/office/officeart/2005/8/layout/orgChart1"/>
    <dgm:cxn modelId="{F02A615A-F37E-4960-B4C2-98B8F3A6A9AF}" type="presParOf" srcId="{F7BC7AD6-7C86-431C-86F7-980BCBDEBB2A}" destId="{C9C3CF6B-6D2F-4E09-A8B5-A30DBBFD666D}" srcOrd="0" destOrd="0" presId="urn:microsoft.com/office/officeart/2005/8/layout/orgChart1"/>
    <dgm:cxn modelId="{59348E35-E2C9-43D4-96CC-4D1A519D312E}" type="presParOf" srcId="{F7BC7AD6-7C86-431C-86F7-980BCBDEBB2A}" destId="{96A3BB00-5226-4AE5-A2A5-EE55E4F1584F}" srcOrd="1" destOrd="0" presId="urn:microsoft.com/office/officeart/2005/8/layout/orgChart1"/>
    <dgm:cxn modelId="{DCA6E2E3-4E8F-46BA-8D7B-0991C9BB61A6}" type="presParOf" srcId="{96A3BB00-5226-4AE5-A2A5-EE55E4F1584F}" destId="{A3FF16AE-F9C3-4E87-865E-5B8457107044}" srcOrd="0" destOrd="0" presId="urn:microsoft.com/office/officeart/2005/8/layout/orgChart1"/>
    <dgm:cxn modelId="{5CB7C700-A800-406D-9EAA-78955708A875}" type="presParOf" srcId="{A3FF16AE-F9C3-4E87-865E-5B8457107044}" destId="{4858F415-98E2-4ED0-884D-6E45621E7884}" srcOrd="0" destOrd="0" presId="urn:microsoft.com/office/officeart/2005/8/layout/orgChart1"/>
    <dgm:cxn modelId="{BA7A7A8E-A273-4363-8C8F-97F311BBBE2F}" type="presParOf" srcId="{A3FF16AE-F9C3-4E87-865E-5B8457107044}" destId="{CE6C688E-ACAB-483C-B469-8350C0C04FEB}" srcOrd="1" destOrd="0" presId="urn:microsoft.com/office/officeart/2005/8/layout/orgChart1"/>
    <dgm:cxn modelId="{0B090253-3FD0-4D78-BFB5-8D480168C937}" type="presParOf" srcId="{96A3BB00-5226-4AE5-A2A5-EE55E4F1584F}" destId="{8B10647A-BB35-45AA-A2DC-51EC1C47EA51}" srcOrd="1" destOrd="0" presId="urn:microsoft.com/office/officeart/2005/8/layout/orgChart1"/>
    <dgm:cxn modelId="{4C19843C-451B-4F15-9429-A177D45636AB}" type="presParOf" srcId="{8B10647A-BB35-45AA-A2DC-51EC1C47EA51}" destId="{122615FD-33E9-4A7B-9F95-F8B8E9F129B3}" srcOrd="0" destOrd="0" presId="urn:microsoft.com/office/officeart/2005/8/layout/orgChart1"/>
    <dgm:cxn modelId="{A5FB9BC0-BADA-4077-A213-D04016716F25}" type="presParOf" srcId="{8B10647A-BB35-45AA-A2DC-51EC1C47EA51}" destId="{8CCE793D-FDFE-4DA1-8E2A-CDE71052A34E}" srcOrd="1" destOrd="0" presId="urn:microsoft.com/office/officeart/2005/8/layout/orgChart1"/>
    <dgm:cxn modelId="{BA0E3C04-89DB-453A-B5FE-475F8ABAA2F4}" type="presParOf" srcId="{8CCE793D-FDFE-4DA1-8E2A-CDE71052A34E}" destId="{F1D9E640-F116-465A-8BE1-C133A4BF027C}" srcOrd="0" destOrd="0" presId="urn:microsoft.com/office/officeart/2005/8/layout/orgChart1"/>
    <dgm:cxn modelId="{51F3A6CC-ED03-4134-B059-620C756D9A4D}" type="presParOf" srcId="{F1D9E640-F116-465A-8BE1-C133A4BF027C}" destId="{EFDC7C6A-7196-403E-B564-C7EEB6DB068C}" srcOrd="0" destOrd="0" presId="urn:microsoft.com/office/officeart/2005/8/layout/orgChart1"/>
    <dgm:cxn modelId="{21F92A8E-787E-4CD7-B66E-D15B8C35FB13}" type="presParOf" srcId="{F1D9E640-F116-465A-8BE1-C133A4BF027C}" destId="{A1D0F2D8-E3D8-4CAE-8B5F-D8F82D0919D6}" srcOrd="1" destOrd="0" presId="urn:microsoft.com/office/officeart/2005/8/layout/orgChart1"/>
    <dgm:cxn modelId="{CDFFA4D9-0F8A-483F-AE50-2F454218A1F1}" type="presParOf" srcId="{8CCE793D-FDFE-4DA1-8E2A-CDE71052A34E}" destId="{0C28B61E-FD5C-4609-B4F9-2841E6082EF4}" srcOrd="1" destOrd="0" presId="urn:microsoft.com/office/officeart/2005/8/layout/orgChart1"/>
    <dgm:cxn modelId="{A8CB9B3E-4DA6-4EAA-B04B-448863AB7225}" type="presParOf" srcId="{8CCE793D-FDFE-4DA1-8E2A-CDE71052A34E}" destId="{008D1318-2733-471C-AB54-92948179B625}" srcOrd="2" destOrd="0" presId="urn:microsoft.com/office/officeart/2005/8/layout/orgChart1"/>
    <dgm:cxn modelId="{BD99AB25-C9EF-48B1-B69A-4F9B7D2FCEAE}" type="presParOf" srcId="{96A3BB00-5226-4AE5-A2A5-EE55E4F1584F}" destId="{669E05C5-3EA3-4A3A-9E98-A9E3CC91B37E}" srcOrd="2" destOrd="0" presId="urn:microsoft.com/office/officeart/2005/8/layout/orgChart1"/>
    <dgm:cxn modelId="{ACC1A32C-7CC8-4E8D-BDD2-FE0B55902903}" type="presParOf" srcId="{808B3B99-3A33-4151-8677-A9EE3FD13295}" destId="{019BEBCC-4A39-4DF1-86B0-9797C958008E}"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2615FD-33E9-4A7B-9F95-F8B8E9F129B3}">
      <dsp:nvSpPr>
        <dsp:cNvPr id="0" name=""/>
        <dsp:cNvSpPr/>
      </dsp:nvSpPr>
      <dsp:spPr>
        <a:xfrm>
          <a:off x="152839" y="2052428"/>
          <a:ext cx="228474" cy="700654"/>
        </a:xfrm>
        <a:custGeom>
          <a:avLst/>
          <a:gdLst/>
          <a:ahLst/>
          <a:cxnLst/>
          <a:rect l="0" t="0" r="0" b="0"/>
          <a:pathLst>
            <a:path>
              <a:moveTo>
                <a:pt x="0" y="0"/>
              </a:moveTo>
              <a:lnTo>
                <a:pt x="0" y="700654"/>
              </a:lnTo>
              <a:lnTo>
                <a:pt x="228474" y="700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C3CF6B-6D2F-4E09-A8B5-A30DBBFD666D}">
      <dsp:nvSpPr>
        <dsp:cNvPr id="0" name=""/>
        <dsp:cNvSpPr/>
      </dsp:nvSpPr>
      <dsp:spPr>
        <a:xfrm>
          <a:off x="716384" y="970982"/>
          <a:ext cx="91440" cy="319864"/>
        </a:xfrm>
        <a:custGeom>
          <a:avLst/>
          <a:gdLst/>
          <a:ahLst/>
          <a:cxnLst/>
          <a:rect l="0" t="0" r="0" b="0"/>
          <a:pathLst>
            <a:path>
              <a:moveTo>
                <a:pt x="45720" y="0"/>
              </a:moveTo>
              <a:lnTo>
                <a:pt x="45720" y="3198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3D0FD-AC52-4650-9982-422D990DA27C}">
      <dsp:nvSpPr>
        <dsp:cNvPr id="0" name=""/>
        <dsp:cNvSpPr/>
      </dsp:nvSpPr>
      <dsp:spPr>
        <a:xfrm>
          <a:off x="523" y="209401"/>
          <a:ext cx="1523162" cy="761581"/>
        </a:xfrm>
        <a:prstGeom prst="rect">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Options on Futures</a:t>
          </a:r>
        </a:p>
      </dsp:txBody>
      <dsp:txXfrm>
        <a:off x="523" y="209401"/>
        <a:ext cx="1523162" cy="761581"/>
      </dsp:txXfrm>
    </dsp:sp>
    <dsp:sp modelId="{4858F415-98E2-4ED0-884D-6E45621E7884}">
      <dsp:nvSpPr>
        <dsp:cNvPr id="0" name=""/>
        <dsp:cNvSpPr/>
      </dsp:nvSpPr>
      <dsp:spPr>
        <a:xfrm>
          <a:off x="523" y="1290846"/>
          <a:ext cx="1523162" cy="761581"/>
        </a:xfrm>
        <a:prstGeom prst="rect">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Futures</a:t>
          </a:r>
        </a:p>
      </dsp:txBody>
      <dsp:txXfrm>
        <a:off x="523" y="1290846"/>
        <a:ext cx="1523162" cy="761581"/>
      </dsp:txXfrm>
    </dsp:sp>
    <dsp:sp modelId="{EFDC7C6A-7196-403E-B564-C7EEB6DB068C}">
      <dsp:nvSpPr>
        <dsp:cNvPr id="0" name=""/>
        <dsp:cNvSpPr/>
      </dsp:nvSpPr>
      <dsp:spPr>
        <a:xfrm>
          <a:off x="381313" y="2372292"/>
          <a:ext cx="1523162" cy="761581"/>
        </a:xfrm>
        <a:prstGeom prst="rect">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Underlying </a:t>
          </a:r>
        </a:p>
        <a:p>
          <a:pPr lvl="0" algn="ctr" defTabSz="711200">
            <a:lnSpc>
              <a:spcPct val="90000"/>
            </a:lnSpc>
            <a:spcBef>
              <a:spcPct val="0"/>
            </a:spcBef>
            <a:spcAft>
              <a:spcPct val="35000"/>
            </a:spcAft>
          </a:pPr>
          <a:r>
            <a:rPr lang="en-US" sz="1600" b="1" kern="1200"/>
            <a:t>Asset Class</a:t>
          </a:r>
        </a:p>
      </dsp:txBody>
      <dsp:txXfrm>
        <a:off x="381313" y="2372292"/>
        <a:ext cx="1523162" cy="7615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2615FD-33E9-4A7B-9F95-F8B8E9F129B3}">
      <dsp:nvSpPr>
        <dsp:cNvPr id="0" name=""/>
        <dsp:cNvSpPr/>
      </dsp:nvSpPr>
      <dsp:spPr>
        <a:xfrm>
          <a:off x="152839" y="2052428"/>
          <a:ext cx="228474" cy="700654"/>
        </a:xfrm>
        <a:custGeom>
          <a:avLst/>
          <a:gdLst/>
          <a:ahLst/>
          <a:cxnLst/>
          <a:rect l="0" t="0" r="0" b="0"/>
          <a:pathLst>
            <a:path>
              <a:moveTo>
                <a:pt x="0" y="0"/>
              </a:moveTo>
              <a:lnTo>
                <a:pt x="0" y="700654"/>
              </a:lnTo>
              <a:lnTo>
                <a:pt x="228474" y="700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C3CF6B-6D2F-4E09-A8B5-A30DBBFD666D}">
      <dsp:nvSpPr>
        <dsp:cNvPr id="0" name=""/>
        <dsp:cNvSpPr/>
      </dsp:nvSpPr>
      <dsp:spPr>
        <a:xfrm>
          <a:off x="716384" y="970982"/>
          <a:ext cx="91440" cy="319864"/>
        </a:xfrm>
        <a:custGeom>
          <a:avLst/>
          <a:gdLst/>
          <a:ahLst/>
          <a:cxnLst/>
          <a:rect l="0" t="0" r="0" b="0"/>
          <a:pathLst>
            <a:path>
              <a:moveTo>
                <a:pt x="45720" y="0"/>
              </a:moveTo>
              <a:lnTo>
                <a:pt x="45720" y="3198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3D0FD-AC52-4650-9982-422D990DA27C}">
      <dsp:nvSpPr>
        <dsp:cNvPr id="0" name=""/>
        <dsp:cNvSpPr/>
      </dsp:nvSpPr>
      <dsp:spPr>
        <a:xfrm>
          <a:off x="523" y="209401"/>
          <a:ext cx="1523162" cy="761581"/>
        </a:xfrm>
        <a:prstGeom prst="rect">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Options on WTI Crude Futures</a:t>
          </a:r>
        </a:p>
      </dsp:txBody>
      <dsp:txXfrm>
        <a:off x="523" y="209401"/>
        <a:ext cx="1523162" cy="761581"/>
      </dsp:txXfrm>
    </dsp:sp>
    <dsp:sp modelId="{4858F415-98E2-4ED0-884D-6E45621E7884}">
      <dsp:nvSpPr>
        <dsp:cNvPr id="0" name=""/>
        <dsp:cNvSpPr/>
      </dsp:nvSpPr>
      <dsp:spPr>
        <a:xfrm>
          <a:off x="523" y="1290846"/>
          <a:ext cx="1523162" cy="761581"/>
        </a:xfrm>
        <a:prstGeom prst="rect">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WTI Crude Futures</a:t>
          </a:r>
        </a:p>
      </dsp:txBody>
      <dsp:txXfrm>
        <a:off x="523" y="1290846"/>
        <a:ext cx="1523162" cy="761581"/>
      </dsp:txXfrm>
    </dsp:sp>
    <dsp:sp modelId="{EFDC7C6A-7196-403E-B564-C7EEB6DB068C}">
      <dsp:nvSpPr>
        <dsp:cNvPr id="0" name=""/>
        <dsp:cNvSpPr/>
      </dsp:nvSpPr>
      <dsp:spPr>
        <a:xfrm>
          <a:off x="381313" y="2372292"/>
          <a:ext cx="1523162" cy="761581"/>
        </a:xfrm>
        <a:prstGeom prst="rect">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WTI Crude</a:t>
          </a:r>
        </a:p>
        <a:p>
          <a:pPr lvl="0" algn="ctr" defTabSz="711200">
            <a:lnSpc>
              <a:spcPct val="90000"/>
            </a:lnSpc>
            <a:spcBef>
              <a:spcPct val="0"/>
            </a:spcBef>
            <a:spcAft>
              <a:spcPct val="35000"/>
            </a:spcAft>
          </a:pPr>
          <a:r>
            <a:rPr lang="en-US" sz="1600" b="1" kern="1200"/>
            <a:t>Asset Class</a:t>
          </a:r>
        </a:p>
      </dsp:txBody>
      <dsp:txXfrm>
        <a:off x="381313" y="2372292"/>
        <a:ext cx="1523162" cy="7615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2615FD-33E9-4A7B-9F95-F8B8E9F129B3}">
      <dsp:nvSpPr>
        <dsp:cNvPr id="0" name=""/>
        <dsp:cNvSpPr/>
      </dsp:nvSpPr>
      <dsp:spPr>
        <a:xfrm>
          <a:off x="152839" y="2052428"/>
          <a:ext cx="228474" cy="700654"/>
        </a:xfrm>
        <a:custGeom>
          <a:avLst/>
          <a:gdLst/>
          <a:ahLst/>
          <a:cxnLst/>
          <a:rect l="0" t="0" r="0" b="0"/>
          <a:pathLst>
            <a:path>
              <a:moveTo>
                <a:pt x="0" y="0"/>
              </a:moveTo>
              <a:lnTo>
                <a:pt x="0" y="700654"/>
              </a:lnTo>
              <a:lnTo>
                <a:pt x="228474" y="700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C3CF6B-6D2F-4E09-A8B5-A30DBBFD666D}">
      <dsp:nvSpPr>
        <dsp:cNvPr id="0" name=""/>
        <dsp:cNvSpPr/>
      </dsp:nvSpPr>
      <dsp:spPr>
        <a:xfrm>
          <a:off x="716384" y="970982"/>
          <a:ext cx="91440" cy="319864"/>
        </a:xfrm>
        <a:custGeom>
          <a:avLst/>
          <a:gdLst/>
          <a:ahLst/>
          <a:cxnLst/>
          <a:rect l="0" t="0" r="0" b="0"/>
          <a:pathLst>
            <a:path>
              <a:moveTo>
                <a:pt x="45720" y="0"/>
              </a:moveTo>
              <a:lnTo>
                <a:pt x="45720" y="319864"/>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DEC3D0FD-AC52-4650-9982-422D990DA27C}">
      <dsp:nvSpPr>
        <dsp:cNvPr id="0" name=""/>
        <dsp:cNvSpPr/>
      </dsp:nvSpPr>
      <dsp:spPr>
        <a:xfrm>
          <a:off x="523" y="209401"/>
          <a:ext cx="1523162" cy="761581"/>
        </a:xfrm>
        <a:prstGeom prst="rect">
          <a:avLst/>
        </a:prstGeom>
        <a:solidFill>
          <a:schemeClr val="bg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Options on WTI Crude Futures</a:t>
          </a:r>
        </a:p>
      </dsp:txBody>
      <dsp:txXfrm>
        <a:off x="523" y="209401"/>
        <a:ext cx="1523162" cy="761581"/>
      </dsp:txXfrm>
    </dsp:sp>
    <dsp:sp modelId="{4858F415-98E2-4ED0-884D-6E45621E7884}">
      <dsp:nvSpPr>
        <dsp:cNvPr id="0" name=""/>
        <dsp:cNvSpPr/>
      </dsp:nvSpPr>
      <dsp:spPr>
        <a:xfrm>
          <a:off x="523" y="1290846"/>
          <a:ext cx="1523162" cy="761581"/>
        </a:xfrm>
        <a:prstGeom prst="rect">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Heating Oil Futures</a:t>
          </a:r>
        </a:p>
      </dsp:txBody>
      <dsp:txXfrm>
        <a:off x="523" y="1290846"/>
        <a:ext cx="1523162" cy="761581"/>
      </dsp:txXfrm>
    </dsp:sp>
    <dsp:sp modelId="{EFDC7C6A-7196-403E-B564-C7EEB6DB068C}">
      <dsp:nvSpPr>
        <dsp:cNvPr id="0" name=""/>
        <dsp:cNvSpPr/>
      </dsp:nvSpPr>
      <dsp:spPr>
        <a:xfrm>
          <a:off x="381313" y="2372292"/>
          <a:ext cx="1523162" cy="761581"/>
        </a:xfrm>
        <a:prstGeom prst="rect">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Heating Oil     Asset Class</a:t>
          </a:r>
        </a:p>
      </dsp:txBody>
      <dsp:txXfrm>
        <a:off x="381313" y="2372292"/>
        <a:ext cx="1523162" cy="7615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RCT xmlns="4b47aac5-4c46-444f-8595-ce09b406fc61">false</RCT>
    <DocGuid xmlns="4b47aac5-4c46-444f-8595-ce09b406fc61">dc588340-bccd-48c1-bf9d-3dbb4254879d</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2016-10-17T18:24:27+00:00</Document_x0020_Date>
    <Document_x0020_No xmlns="4b47aac5-4c46-444f-8595-ce09b406fc61">26885</Document_x0020_No>
  </documentManagement>
</p:properties>
</file>

<file path=customXml/item5.xml><?xml version="1.0" encoding="utf-8"?>
<?mso-contentType ?>
<SharedContentType xmlns="Microsoft.SharePoint.Taxonomy.ContentTypeSync" SourceId="f8ddc925-75d6-4761-96b6-1b97e4890734" ContentTypeId="0x01010045B0BEB1BCDC4B408D1662109AEB4638" PreviousValue="false"/>
</file>

<file path=customXml/itemProps1.xml><?xml version="1.0" encoding="utf-8"?>
<ds:datastoreItem xmlns:ds="http://schemas.openxmlformats.org/officeDocument/2006/customXml" ds:itemID="{71DB0D43-5655-435D-8D83-E4489576DE54}"/>
</file>

<file path=customXml/itemProps2.xml><?xml version="1.0" encoding="utf-8"?>
<ds:datastoreItem xmlns:ds="http://schemas.openxmlformats.org/officeDocument/2006/customXml" ds:itemID="{B184A8EE-3483-42B9-B39C-FFC6B1B9097D}"/>
</file>

<file path=customXml/itemProps3.xml><?xml version="1.0" encoding="utf-8"?>
<ds:datastoreItem xmlns:ds="http://schemas.openxmlformats.org/officeDocument/2006/customXml" ds:itemID="{9024D9CB-A63F-4052-9782-FF4B80CE9DAF}"/>
</file>

<file path=customXml/itemProps4.xml><?xml version="1.0" encoding="utf-8"?>
<ds:datastoreItem xmlns:ds="http://schemas.openxmlformats.org/officeDocument/2006/customXml" ds:itemID="{EF15CA83-F73B-409E-94A8-CA292E015980}"/>
</file>

<file path=customXml/itemProps5.xml><?xml version="1.0" encoding="utf-8"?>
<ds:datastoreItem xmlns:ds="http://schemas.openxmlformats.org/officeDocument/2006/customXml" ds:itemID="{090B294B-BE0F-4889-B3DE-FC525D54D09B}"/>
</file>

<file path=docProps/app.xml><?xml version="1.0" encoding="utf-8"?>
<Properties xmlns="http://schemas.openxmlformats.org/officeDocument/2006/extended-properties" xmlns:vt="http://schemas.openxmlformats.org/officeDocument/2006/docPropsVTypes">
  <Template>NASDAQ Futures NFX_Philadelphia letterhead</Template>
  <TotalTime>1</TotalTime>
  <Pages>26</Pages>
  <Words>7320</Words>
  <Characters>41727</Characters>
  <Application>Microsoft Office Word</Application>
  <DocSecurity>6</DocSecurity>
  <Lines>347</Lines>
  <Paragraphs>97</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48950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2</cp:revision>
  <cp:lastPrinted>2016-10-06T16:25:00Z</cp:lastPrinted>
  <dcterms:created xsi:type="dcterms:W3CDTF">2016-10-17T18:10:00Z</dcterms:created>
  <dcterms:modified xsi:type="dcterms:W3CDTF">2016-10-17T18:10:00Z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3034200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