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0230" w14:textId="77777777" w:rsidR="00D57781" w:rsidRPr="00B027D1" w:rsidRDefault="00E64C6A" w:rsidP="00D57781">
      <w:pPr>
        <w:jc w:val="both"/>
        <w:rPr>
          <w:rFonts w:ascii="Calibri" w:hAnsi="Calibri" w:cs="Arial"/>
          <w:b/>
          <w:sz w:val="22"/>
          <w:szCs w:val="22"/>
          <w:u w:val="single"/>
        </w:rPr>
      </w:pPr>
      <w:r w:rsidRPr="00E64C6A">
        <w:rPr>
          <w:rFonts w:ascii="Calibri" w:hAnsi="Calibri" w:cs="Arial"/>
          <w:b/>
          <w:sz w:val="22"/>
          <w:szCs w:val="22"/>
          <w:u w:val="single"/>
        </w:rPr>
        <w:t>Via CFTC Portal</w:t>
      </w:r>
    </w:p>
    <w:p w14:paraId="270CC0DC" w14:textId="37862B5A" w:rsidR="00D57781" w:rsidRPr="00B027D1" w:rsidRDefault="008F39AF" w:rsidP="00D57781">
      <w:pPr>
        <w:jc w:val="both"/>
        <w:rPr>
          <w:rFonts w:ascii="Calibri" w:hAnsi="Calibri" w:cs="Arial"/>
          <w:sz w:val="22"/>
          <w:szCs w:val="22"/>
        </w:rPr>
      </w:pPr>
      <w:r w:rsidRPr="00CF1105">
        <w:rPr>
          <w:rFonts w:ascii="Calibri" w:hAnsi="Calibri" w:cs="Arial"/>
          <w:sz w:val="22"/>
          <w:szCs w:val="22"/>
        </w:rPr>
        <w:t>1</w:t>
      </w:r>
      <w:r w:rsidR="00CF1105" w:rsidRPr="00CF1105">
        <w:rPr>
          <w:rFonts w:ascii="Calibri" w:hAnsi="Calibri" w:cs="Arial"/>
          <w:sz w:val="22"/>
          <w:szCs w:val="22"/>
        </w:rPr>
        <w:t>7</w:t>
      </w:r>
      <w:r w:rsidR="00431DA1">
        <w:rPr>
          <w:rFonts w:ascii="Calibri" w:hAnsi="Calibri" w:cs="Arial"/>
          <w:sz w:val="22"/>
          <w:szCs w:val="22"/>
        </w:rPr>
        <w:t xml:space="preserve"> </w:t>
      </w:r>
      <w:r w:rsidR="0098603E">
        <w:rPr>
          <w:rFonts w:ascii="Calibri" w:hAnsi="Calibri" w:cs="Arial"/>
          <w:sz w:val="22"/>
          <w:szCs w:val="22"/>
        </w:rPr>
        <w:t xml:space="preserve">October </w:t>
      </w:r>
      <w:r w:rsidR="00431DA1">
        <w:rPr>
          <w:rFonts w:ascii="Calibri" w:hAnsi="Calibri" w:cs="Arial"/>
          <w:sz w:val="22"/>
          <w:szCs w:val="22"/>
        </w:rPr>
        <w:t>2</w:t>
      </w:r>
      <w:r w:rsidR="00330309">
        <w:rPr>
          <w:rFonts w:ascii="Calibri" w:hAnsi="Calibri" w:cs="Arial"/>
          <w:sz w:val="22"/>
          <w:szCs w:val="22"/>
        </w:rPr>
        <w:t>019</w:t>
      </w:r>
    </w:p>
    <w:p w14:paraId="2F4F6E19" w14:textId="77777777" w:rsidR="00D57781" w:rsidRPr="009431E9" w:rsidRDefault="00D57781" w:rsidP="00D57781">
      <w:pPr>
        <w:pStyle w:val="NormalNoSpace"/>
        <w:jc w:val="both"/>
        <w:rPr>
          <w:rFonts w:ascii="Calibri" w:hAnsi="Calibri" w:cs="Calibri"/>
          <w:sz w:val="22"/>
          <w:szCs w:val="22"/>
        </w:rPr>
      </w:pPr>
    </w:p>
    <w:p w14:paraId="153F7513" w14:textId="34001443" w:rsidR="00D57781" w:rsidRPr="002C337D" w:rsidRDefault="00F461EA" w:rsidP="001A7C8C">
      <w:pPr>
        <w:pStyle w:val="NormalNoSpace"/>
        <w:jc w:val="both"/>
        <w:rPr>
          <w:rFonts w:ascii="Calibri" w:hAnsi="Calibri" w:cs="Calibri"/>
          <w:b/>
          <w:strike/>
          <w:sz w:val="22"/>
          <w:szCs w:val="22"/>
        </w:rPr>
      </w:pPr>
      <w:r w:rsidRPr="002C337D">
        <w:rPr>
          <w:rFonts w:ascii="Calibri" w:hAnsi="Calibri" w:cs="Calibri"/>
          <w:b/>
          <w:bCs/>
          <w:sz w:val="22"/>
          <w:szCs w:val="22"/>
        </w:rPr>
        <w:t>Mr Christopher J. Kirkpatrick</w:t>
      </w:r>
    </w:p>
    <w:p w14:paraId="4AE23D70" w14:textId="77777777" w:rsidR="00F461EA" w:rsidRPr="002C337D" w:rsidRDefault="00F461EA" w:rsidP="00F461EA">
      <w:pPr>
        <w:pStyle w:val="NormalNoSpace"/>
        <w:jc w:val="both"/>
        <w:rPr>
          <w:rFonts w:ascii="Calibri" w:hAnsi="Calibri" w:cs="Calibri"/>
          <w:b/>
          <w:sz w:val="22"/>
          <w:szCs w:val="22"/>
        </w:rPr>
      </w:pPr>
      <w:r w:rsidRPr="002C337D">
        <w:rPr>
          <w:rFonts w:ascii="Calibri" w:hAnsi="Calibri" w:cs="Calibri"/>
          <w:b/>
          <w:bCs/>
          <w:sz w:val="22"/>
          <w:szCs w:val="22"/>
        </w:rPr>
        <w:t>Office of the Secretariat</w:t>
      </w:r>
    </w:p>
    <w:p w14:paraId="3E7B1206" w14:textId="77777777" w:rsidR="00D57781" w:rsidRPr="002C337D" w:rsidRDefault="00E64C6A" w:rsidP="00D57781">
      <w:pPr>
        <w:pStyle w:val="NormalNoSpace"/>
        <w:jc w:val="both"/>
        <w:rPr>
          <w:rFonts w:ascii="Calibri" w:hAnsi="Calibri" w:cs="Calibri"/>
          <w:b/>
          <w:sz w:val="22"/>
          <w:szCs w:val="22"/>
        </w:rPr>
      </w:pPr>
      <w:r w:rsidRPr="002C337D">
        <w:rPr>
          <w:rFonts w:ascii="Calibri" w:hAnsi="Calibri" w:cs="Calibri"/>
          <w:b/>
          <w:sz w:val="22"/>
          <w:szCs w:val="22"/>
        </w:rPr>
        <w:t>Commodity Futures Trading Commission</w:t>
      </w:r>
    </w:p>
    <w:p w14:paraId="13BCB1E3" w14:textId="77777777" w:rsidR="00F461EA" w:rsidRPr="002C337D" w:rsidRDefault="00F461EA" w:rsidP="00F461EA">
      <w:pPr>
        <w:pStyle w:val="NormalNoSpace"/>
        <w:jc w:val="both"/>
        <w:rPr>
          <w:rFonts w:ascii="Calibri" w:hAnsi="Calibri" w:cs="Calibri"/>
          <w:b/>
          <w:sz w:val="22"/>
          <w:szCs w:val="22"/>
        </w:rPr>
      </w:pPr>
      <w:r w:rsidRPr="002C337D">
        <w:rPr>
          <w:rFonts w:ascii="Calibri" w:hAnsi="Calibri" w:cs="Calibri"/>
          <w:b/>
          <w:sz w:val="22"/>
          <w:szCs w:val="22"/>
        </w:rPr>
        <w:t>Three Lafayette Centre</w:t>
      </w:r>
    </w:p>
    <w:p w14:paraId="126F4BE5" w14:textId="77777777" w:rsidR="00D57781" w:rsidRPr="002C337D" w:rsidRDefault="00E64C6A" w:rsidP="00D57781">
      <w:pPr>
        <w:pStyle w:val="NormalNoSpace"/>
        <w:jc w:val="both"/>
        <w:rPr>
          <w:rFonts w:ascii="Calibri" w:hAnsi="Calibri" w:cs="Calibri"/>
          <w:b/>
          <w:sz w:val="22"/>
          <w:szCs w:val="22"/>
        </w:rPr>
      </w:pPr>
      <w:r w:rsidRPr="002C337D">
        <w:rPr>
          <w:rFonts w:ascii="Calibri" w:hAnsi="Calibri" w:cs="Calibri"/>
          <w:b/>
          <w:sz w:val="22"/>
          <w:szCs w:val="22"/>
        </w:rPr>
        <w:t>1155 21</w:t>
      </w:r>
      <w:r w:rsidRPr="002C337D">
        <w:rPr>
          <w:rFonts w:ascii="Calibri" w:hAnsi="Calibri" w:cs="Calibri"/>
          <w:b/>
          <w:sz w:val="22"/>
          <w:szCs w:val="22"/>
          <w:vertAlign w:val="superscript"/>
        </w:rPr>
        <w:t xml:space="preserve">st </w:t>
      </w:r>
      <w:r w:rsidRPr="002C337D">
        <w:rPr>
          <w:rFonts w:ascii="Calibri" w:hAnsi="Calibri" w:cs="Calibri"/>
          <w:b/>
          <w:sz w:val="22"/>
          <w:szCs w:val="22"/>
        </w:rPr>
        <w:t>Street NW</w:t>
      </w:r>
    </w:p>
    <w:p w14:paraId="1076B312" w14:textId="77777777" w:rsidR="00D57781" w:rsidRPr="002C337D" w:rsidRDefault="00E64C6A" w:rsidP="00AD75AE">
      <w:pPr>
        <w:pStyle w:val="NormalNoSpace"/>
        <w:spacing w:line="240" w:lineRule="auto"/>
        <w:jc w:val="both"/>
        <w:rPr>
          <w:rFonts w:ascii="Calibri" w:hAnsi="Calibri" w:cs="Calibri"/>
          <w:b/>
          <w:sz w:val="22"/>
          <w:szCs w:val="22"/>
        </w:rPr>
      </w:pPr>
      <w:r w:rsidRPr="002C337D">
        <w:rPr>
          <w:rFonts w:ascii="Calibri" w:hAnsi="Calibri" w:cs="Calibri"/>
          <w:b/>
          <w:sz w:val="22"/>
          <w:szCs w:val="22"/>
        </w:rPr>
        <w:t>Washington</w:t>
      </w:r>
      <w:r w:rsidR="00BF5296" w:rsidRPr="002C337D">
        <w:rPr>
          <w:rFonts w:ascii="Calibri" w:hAnsi="Calibri" w:cs="Calibri"/>
          <w:b/>
          <w:sz w:val="22"/>
          <w:szCs w:val="22"/>
        </w:rPr>
        <w:t>,</w:t>
      </w:r>
      <w:r w:rsidRPr="002C337D">
        <w:rPr>
          <w:rFonts w:ascii="Calibri" w:hAnsi="Calibri" w:cs="Calibri"/>
          <w:b/>
          <w:sz w:val="22"/>
          <w:szCs w:val="22"/>
        </w:rPr>
        <w:t xml:space="preserve"> DC 20581</w:t>
      </w:r>
    </w:p>
    <w:p w14:paraId="34C06AC5" w14:textId="1D6CEE12" w:rsidR="00D57781" w:rsidRPr="009431E9" w:rsidRDefault="00D57781" w:rsidP="00AD75AE">
      <w:pPr>
        <w:spacing w:after="0" w:line="240" w:lineRule="auto"/>
        <w:rPr>
          <w:rFonts w:ascii="Calibri" w:hAnsi="Calibri" w:cs="Calibri"/>
          <w:sz w:val="22"/>
          <w:szCs w:val="22"/>
        </w:rPr>
      </w:pPr>
    </w:p>
    <w:p w14:paraId="76F5E3E1" w14:textId="504B89DF" w:rsidR="00854F35" w:rsidRDefault="00854F35" w:rsidP="00AD75AE">
      <w:pPr>
        <w:spacing w:after="0" w:line="240" w:lineRule="auto"/>
        <w:rPr>
          <w:rFonts w:ascii="Calibri" w:hAnsi="Calibri" w:cs="Calibri"/>
          <w:sz w:val="22"/>
          <w:szCs w:val="22"/>
        </w:rPr>
      </w:pPr>
    </w:p>
    <w:p w14:paraId="7CF51F94" w14:textId="77777777" w:rsidR="006A305B" w:rsidRPr="009431E9" w:rsidRDefault="006A305B" w:rsidP="00AD75AE">
      <w:pPr>
        <w:spacing w:after="0" w:line="240" w:lineRule="auto"/>
        <w:rPr>
          <w:rFonts w:ascii="Calibri" w:hAnsi="Calibri" w:cs="Calibri"/>
          <w:sz w:val="22"/>
          <w:szCs w:val="22"/>
        </w:rPr>
      </w:pPr>
    </w:p>
    <w:p w14:paraId="54CCC801" w14:textId="3DCB86F1" w:rsidR="00DC39BE" w:rsidRPr="009431E9" w:rsidRDefault="0013166F" w:rsidP="00AD75AE">
      <w:pPr>
        <w:spacing w:after="0" w:line="240" w:lineRule="auto"/>
        <w:rPr>
          <w:rFonts w:ascii="Calibri" w:hAnsi="Calibri" w:cs="Calibri"/>
          <w:sz w:val="22"/>
          <w:szCs w:val="22"/>
        </w:rPr>
      </w:pPr>
      <w:r w:rsidRPr="009431E9">
        <w:rPr>
          <w:rFonts w:ascii="Calibri" w:hAnsi="Calibri" w:cs="Calibri"/>
          <w:b/>
          <w:sz w:val="22"/>
          <w:szCs w:val="22"/>
        </w:rPr>
        <w:t>Re:</w:t>
      </w:r>
      <w:r w:rsidRPr="009431E9">
        <w:rPr>
          <w:rFonts w:ascii="Calibri" w:hAnsi="Calibri" w:cs="Calibri"/>
          <w:sz w:val="22"/>
          <w:szCs w:val="22"/>
        </w:rPr>
        <w:t xml:space="preserve"> </w:t>
      </w:r>
      <w:r w:rsidR="00F461EA" w:rsidRPr="009431E9">
        <w:rPr>
          <w:rFonts w:ascii="Calibri" w:hAnsi="Calibri" w:cs="Calibri"/>
          <w:sz w:val="22"/>
          <w:szCs w:val="22"/>
        </w:rPr>
        <w:t xml:space="preserve">Proposed LCH SA </w:t>
      </w:r>
      <w:r w:rsidR="00F7644C" w:rsidRPr="009431E9">
        <w:rPr>
          <w:rFonts w:ascii="Calibri" w:hAnsi="Calibri" w:cs="Calibri"/>
          <w:sz w:val="22"/>
          <w:szCs w:val="22"/>
        </w:rPr>
        <w:t xml:space="preserve">Extension of Eligible Collateral and New </w:t>
      </w:r>
      <w:r w:rsidR="003A7364" w:rsidRPr="009431E9">
        <w:rPr>
          <w:rFonts w:ascii="Calibri" w:hAnsi="Calibri" w:cs="Calibri"/>
          <w:sz w:val="22"/>
          <w:szCs w:val="22"/>
        </w:rPr>
        <w:t>Fee</w:t>
      </w:r>
      <w:r w:rsidR="00F7644C" w:rsidRPr="009431E9">
        <w:rPr>
          <w:rFonts w:ascii="Calibri" w:hAnsi="Calibri" w:cs="Calibri"/>
          <w:sz w:val="22"/>
          <w:szCs w:val="22"/>
        </w:rPr>
        <w:t xml:space="preserve"> Grid</w:t>
      </w:r>
    </w:p>
    <w:p w14:paraId="4F21B04B" w14:textId="1C71E4C7" w:rsidR="0013166F" w:rsidRPr="009431E9" w:rsidRDefault="0013166F" w:rsidP="00AD75AE">
      <w:pPr>
        <w:spacing w:after="0" w:line="240" w:lineRule="auto"/>
        <w:rPr>
          <w:rFonts w:ascii="Calibri" w:hAnsi="Calibri" w:cs="Calibri"/>
          <w:sz w:val="22"/>
          <w:szCs w:val="22"/>
        </w:rPr>
      </w:pPr>
    </w:p>
    <w:p w14:paraId="58625B7E" w14:textId="77777777" w:rsidR="00854F35" w:rsidRPr="009431E9" w:rsidRDefault="00854F35" w:rsidP="00AD75AE">
      <w:pPr>
        <w:spacing w:after="0" w:line="240" w:lineRule="auto"/>
        <w:rPr>
          <w:rFonts w:ascii="Calibri" w:hAnsi="Calibri" w:cs="Calibri"/>
          <w:sz w:val="22"/>
          <w:szCs w:val="22"/>
        </w:rPr>
      </w:pPr>
    </w:p>
    <w:p w14:paraId="5A751698" w14:textId="35121A21" w:rsidR="00D57781" w:rsidRPr="009431E9" w:rsidRDefault="00E64C6A" w:rsidP="00AD75AE">
      <w:pPr>
        <w:pStyle w:val="NormalNoSpace"/>
        <w:spacing w:line="240" w:lineRule="auto"/>
        <w:rPr>
          <w:rFonts w:ascii="Calibri" w:eastAsia="Times New Roman" w:hAnsi="Calibri" w:cs="Calibri"/>
          <w:sz w:val="22"/>
          <w:szCs w:val="22"/>
          <w:lang w:eastAsia="fr-FR"/>
        </w:rPr>
      </w:pPr>
      <w:r w:rsidRPr="009431E9">
        <w:rPr>
          <w:rFonts w:ascii="Calibri" w:hAnsi="Calibri" w:cs="Calibri"/>
          <w:sz w:val="22"/>
          <w:szCs w:val="22"/>
        </w:rPr>
        <w:t xml:space="preserve">Dear </w:t>
      </w:r>
      <w:r w:rsidR="00C70B75" w:rsidRPr="009431E9">
        <w:rPr>
          <w:rFonts w:ascii="Calibri" w:hAnsi="Calibri" w:cs="Calibri"/>
          <w:bCs/>
          <w:sz w:val="22"/>
          <w:szCs w:val="22"/>
          <w:lang w:val="en-US"/>
        </w:rPr>
        <w:t xml:space="preserve">Mr. </w:t>
      </w:r>
      <w:r w:rsidR="00F461EA" w:rsidRPr="009431E9">
        <w:rPr>
          <w:rFonts w:ascii="Calibri" w:hAnsi="Calibri" w:cs="Calibri"/>
          <w:sz w:val="22"/>
          <w:szCs w:val="22"/>
          <w:lang w:val="en-US"/>
        </w:rPr>
        <w:t>Kirkpatrick</w:t>
      </w:r>
      <w:r w:rsidRPr="009431E9">
        <w:rPr>
          <w:rFonts w:ascii="Calibri" w:hAnsi="Calibri" w:cs="Calibri"/>
          <w:sz w:val="22"/>
          <w:szCs w:val="22"/>
        </w:rPr>
        <w:t>,</w:t>
      </w:r>
    </w:p>
    <w:p w14:paraId="58F0ADE4" w14:textId="77777777" w:rsidR="00FC66E0" w:rsidRPr="009431E9" w:rsidRDefault="00FC66E0" w:rsidP="00AD75AE">
      <w:pPr>
        <w:spacing w:after="0" w:line="240" w:lineRule="auto"/>
        <w:jc w:val="both"/>
        <w:rPr>
          <w:rFonts w:ascii="Calibri" w:eastAsia="Times New Roman" w:hAnsi="Calibri" w:cs="Calibri"/>
          <w:sz w:val="22"/>
          <w:szCs w:val="22"/>
          <w:lang w:val="en-US" w:eastAsia="fr-FR"/>
        </w:rPr>
      </w:pPr>
    </w:p>
    <w:p w14:paraId="1B82EF42" w14:textId="5465B974" w:rsidR="00AE5016" w:rsidRPr="009431E9" w:rsidRDefault="00E64C6A" w:rsidP="00286232">
      <w:pPr>
        <w:spacing w:after="200"/>
        <w:jc w:val="both"/>
        <w:rPr>
          <w:rFonts w:ascii="Calibri" w:eastAsia="Times New Roman" w:hAnsi="Calibri" w:cs="Calibri"/>
          <w:sz w:val="22"/>
          <w:szCs w:val="22"/>
          <w:lang w:val="en-US" w:eastAsia="fr-FR"/>
        </w:rPr>
      </w:pPr>
      <w:r w:rsidRPr="009431E9">
        <w:rPr>
          <w:rFonts w:ascii="Calibri" w:eastAsia="Times New Roman" w:hAnsi="Calibri" w:cs="Calibri"/>
          <w:sz w:val="22"/>
          <w:szCs w:val="22"/>
          <w:lang w:val="en-US" w:eastAsia="fr-FR"/>
        </w:rPr>
        <w:t>Pursuant to CFTC regulation §40.6(a), LCH SA (“</w:t>
      </w:r>
      <w:r w:rsidRPr="009431E9">
        <w:rPr>
          <w:rFonts w:ascii="Calibri" w:eastAsia="Times New Roman" w:hAnsi="Calibri" w:cs="Calibri"/>
          <w:b/>
          <w:sz w:val="22"/>
          <w:szCs w:val="22"/>
          <w:lang w:val="en-US" w:eastAsia="fr-FR"/>
        </w:rPr>
        <w:t>LCH</w:t>
      </w:r>
      <w:r w:rsidR="007C5B8E" w:rsidRPr="009431E9">
        <w:rPr>
          <w:rFonts w:ascii="Calibri" w:eastAsia="Times New Roman" w:hAnsi="Calibri" w:cs="Calibri"/>
          <w:b/>
          <w:sz w:val="22"/>
          <w:szCs w:val="22"/>
          <w:lang w:val="en-US" w:eastAsia="fr-FR"/>
        </w:rPr>
        <w:t xml:space="preserve"> SA</w:t>
      </w:r>
      <w:r w:rsidRPr="009431E9">
        <w:rPr>
          <w:rFonts w:ascii="Calibri" w:eastAsia="Times New Roman" w:hAnsi="Calibri" w:cs="Calibri"/>
          <w:sz w:val="22"/>
          <w:szCs w:val="22"/>
          <w:lang w:val="en-US" w:eastAsia="fr-FR"/>
        </w:rPr>
        <w:t xml:space="preserve">”), a derivatives clearing organization </w:t>
      </w:r>
      <w:r w:rsidR="00F461EA" w:rsidRPr="009431E9">
        <w:rPr>
          <w:rFonts w:ascii="Calibri" w:eastAsia="Times New Roman" w:hAnsi="Calibri" w:cs="Calibri"/>
          <w:sz w:val="22"/>
          <w:szCs w:val="22"/>
          <w:lang w:val="en-US" w:eastAsia="fr-FR"/>
        </w:rPr>
        <w:t>(“</w:t>
      </w:r>
      <w:r w:rsidR="00F461EA" w:rsidRPr="009431E9">
        <w:rPr>
          <w:rFonts w:ascii="Calibri" w:eastAsia="Times New Roman" w:hAnsi="Calibri" w:cs="Calibri"/>
          <w:b/>
          <w:sz w:val="22"/>
          <w:szCs w:val="22"/>
          <w:lang w:val="en-US" w:eastAsia="fr-FR"/>
        </w:rPr>
        <w:t>DCO</w:t>
      </w:r>
      <w:r w:rsidR="00F461EA" w:rsidRPr="009431E9">
        <w:rPr>
          <w:rFonts w:ascii="Calibri" w:eastAsia="Times New Roman" w:hAnsi="Calibri" w:cs="Calibri"/>
          <w:sz w:val="22"/>
          <w:szCs w:val="22"/>
          <w:lang w:val="en-US" w:eastAsia="fr-FR"/>
        </w:rPr>
        <w:t xml:space="preserve">”) </w:t>
      </w:r>
      <w:r w:rsidRPr="009431E9">
        <w:rPr>
          <w:rFonts w:ascii="Calibri" w:eastAsia="Times New Roman" w:hAnsi="Calibri" w:cs="Calibri"/>
          <w:sz w:val="22"/>
          <w:szCs w:val="22"/>
          <w:lang w:val="en-US" w:eastAsia="fr-FR"/>
        </w:rPr>
        <w:t>registered with the Commodity Futures Trading Commission (the “</w:t>
      </w:r>
      <w:r w:rsidRPr="009431E9">
        <w:rPr>
          <w:rFonts w:ascii="Calibri" w:eastAsia="Times New Roman" w:hAnsi="Calibri" w:cs="Calibri"/>
          <w:b/>
          <w:sz w:val="22"/>
          <w:szCs w:val="22"/>
          <w:lang w:val="en-US" w:eastAsia="fr-FR"/>
        </w:rPr>
        <w:t>CFTC</w:t>
      </w:r>
      <w:r w:rsidRPr="009431E9">
        <w:rPr>
          <w:rFonts w:ascii="Calibri" w:eastAsia="Times New Roman" w:hAnsi="Calibri" w:cs="Calibri"/>
          <w:sz w:val="22"/>
          <w:szCs w:val="22"/>
          <w:lang w:val="en-US" w:eastAsia="fr-FR"/>
        </w:rPr>
        <w:t>”), is submitting for self-cer</w:t>
      </w:r>
      <w:r w:rsidR="00AB4555" w:rsidRPr="009431E9">
        <w:rPr>
          <w:rFonts w:ascii="Calibri" w:eastAsia="Times New Roman" w:hAnsi="Calibri" w:cs="Calibri"/>
          <w:sz w:val="22"/>
          <w:szCs w:val="22"/>
          <w:lang w:val="en-US" w:eastAsia="fr-FR"/>
        </w:rPr>
        <w:t xml:space="preserve">tification the </w:t>
      </w:r>
      <w:r w:rsidR="00654236" w:rsidRPr="0098603E">
        <w:rPr>
          <w:rFonts w:ascii="Calibri" w:eastAsia="Times New Roman" w:hAnsi="Calibri" w:cs="Calibri"/>
          <w:sz w:val="22"/>
          <w:szCs w:val="22"/>
          <w:lang w:val="en-US" w:eastAsia="fr-FR"/>
        </w:rPr>
        <w:t xml:space="preserve">amendments to its Liquidity Risk Modelling Framework </w:t>
      </w:r>
      <w:r w:rsidR="002F20B0">
        <w:rPr>
          <w:rFonts w:ascii="Calibri" w:eastAsia="Times New Roman" w:hAnsi="Calibri" w:cs="Calibri"/>
          <w:sz w:val="22"/>
          <w:szCs w:val="22"/>
          <w:lang w:val="en-US" w:eastAsia="fr-FR"/>
        </w:rPr>
        <w:t xml:space="preserve"> </w:t>
      </w:r>
      <w:r w:rsidR="00654236" w:rsidRPr="009431E9">
        <w:rPr>
          <w:rFonts w:ascii="Calibri" w:eastAsia="Times New Roman" w:hAnsi="Calibri" w:cs="Calibri"/>
          <w:sz w:val="22"/>
          <w:szCs w:val="22"/>
          <w:lang w:val="en-US" w:eastAsia="fr-FR"/>
        </w:rPr>
        <w:t xml:space="preserve">in order </w:t>
      </w:r>
      <w:r w:rsidR="00AE5016" w:rsidRPr="009431E9">
        <w:rPr>
          <w:rFonts w:ascii="Calibri" w:eastAsia="Times New Roman" w:hAnsi="Calibri" w:cs="Calibri"/>
          <w:sz w:val="22"/>
          <w:szCs w:val="22"/>
          <w:lang w:val="en-US" w:eastAsia="fr-FR"/>
        </w:rPr>
        <w:t>to extend the scope of instruments eligible to margin collateral to EUR bonds issued by a number of S</w:t>
      </w:r>
      <w:r w:rsidR="00831C0A" w:rsidRPr="009431E9">
        <w:rPr>
          <w:rFonts w:ascii="Calibri" w:eastAsia="Times New Roman" w:hAnsi="Calibri" w:cs="Calibri"/>
          <w:sz w:val="22"/>
          <w:szCs w:val="22"/>
          <w:lang w:val="en-US" w:eastAsia="fr-FR"/>
        </w:rPr>
        <w:t>upranational</w:t>
      </w:r>
      <w:r w:rsidR="00AE5016" w:rsidRPr="009431E9">
        <w:rPr>
          <w:rFonts w:ascii="Calibri" w:eastAsia="Times New Roman" w:hAnsi="Calibri" w:cs="Calibri"/>
          <w:sz w:val="22"/>
          <w:szCs w:val="22"/>
          <w:lang w:val="en-US" w:eastAsia="fr-FR"/>
        </w:rPr>
        <w:t xml:space="preserve"> and Agenc</w:t>
      </w:r>
      <w:r w:rsidR="00831C0A" w:rsidRPr="009431E9">
        <w:rPr>
          <w:rFonts w:ascii="Calibri" w:eastAsia="Times New Roman" w:hAnsi="Calibri" w:cs="Calibri"/>
          <w:sz w:val="22"/>
          <w:szCs w:val="22"/>
          <w:lang w:val="en-US" w:eastAsia="fr-FR"/>
        </w:rPr>
        <w:t>y entit</w:t>
      </w:r>
      <w:r w:rsidR="00AE5016" w:rsidRPr="009431E9">
        <w:rPr>
          <w:rFonts w:ascii="Calibri" w:eastAsia="Times New Roman" w:hAnsi="Calibri" w:cs="Calibri"/>
          <w:sz w:val="22"/>
          <w:szCs w:val="22"/>
          <w:lang w:val="en-US" w:eastAsia="fr-FR"/>
        </w:rPr>
        <w:t>ies.</w:t>
      </w:r>
    </w:p>
    <w:p w14:paraId="3877848F" w14:textId="7B37B2D2" w:rsidR="00431DA1" w:rsidRPr="009431E9" w:rsidRDefault="00431DA1" w:rsidP="00431DA1">
      <w:pPr>
        <w:spacing w:after="200"/>
        <w:jc w:val="both"/>
        <w:rPr>
          <w:rFonts w:ascii="Calibri" w:eastAsia="Times New Roman" w:hAnsi="Calibri" w:cs="Calibri"/>
          <w:sz w:val="22"/>
          <w:szCs w:val="22"/>
          <w:lang w:val="en-US" w:eastAsia="fr-FR"/>
        </w:rPr>
      </w:pPr>
      <w:r w:rsidRPr="009431E9">
        <w:rPr>
          <w:rFonts w:ascii="Calibri" w:eastAsia="Times New Roman" w:hAnsi="Calibri" w:cs="Calibri"/>
          <w:sz w:val="22"/>
          <w:szCs w:val="22"/>
          <w:lang w:val="en-US" w:eastAsia="fr-FR"/>
        </w:rPr>
        <w:t xml:space="preserve">LCH SA is </w:t>
      </w:r>
      <w:r w:rsidR="00654236" w:rsidRPr="009431E9">
        <w:rPr>
          <w:rFonts w:ascii="Calibri" w:eastAsia="Times New Roman" w:hAnsi="Calibri" w:cs="Calibri"/>
          <w:sz w:val="22"/>
          <w:szCs w:val="22"/>
          <w:lang w:val="en-US" w:eastAsia="fr-FR"/>
        </w:rPr>
        <w:t xml:space="preserve">also taking this opportunity </w:t>
      </w:r>
      <w:r w:rsidRPr="009431E9">
        <w:rPr>
          <w:rFonts w:ascii="Calibri" w:eastAsia="Times New Roman" w:hAnsi="Calibri" w:cs="Calibri"/>
          <w:sz w:val="22"/>
          <w:szCs w:val="22"/>
          <w:lang w:val="en-US" w:eastAsia="fr-FR"/>
        </w:rPr>
        <w:t>to m</w:t>
      </w:r>
      <w:r w:rsidR="00B1435F">
        <w:rPr>
          <w:rFonts w:ascii="Calibri" w:eastAsia="Times New Roman" w:hAnsi="Calibri" w:cs="Calibri"/>
          <w:sz w:val="22"/>
          <w:szCs w:val="22"/>
          <w:lang w:val="en-US" w:eastAsia="fr-FR"/>
        </w:rPr>
        <w:t>ake a number of changes in the non cash c</w:t>
      </w:r>
      <w:bookmarkStart w:id="0" w:name="_GoBack"/>
      <w:bookmarkEnd w:id="0"/>
      <w:r w:rsidRPr="009431E9">
        <w:rPr>
          <w:rFonts w:ascii="Calibri" w:eastAsia="Times New Roman" w:hAnsi="Calibri" w:cs="Calibri"/>
          <w:sz w:val="22"/>
          <w:szCs w:val="22"/>
          <w:lang w:val="en-US" w:eastAsia="fr-FR"/>
        </w:rPr>
        <w:t>ollateral fee grid.</w:t>
      </w:r>
    </w:p>
    <w:p w14:paraId="11D66901" w14:textId="5F3D3C09" w:rsidR="004733B4" w:rsidRPr="009431E9" w:rsidRDefault="00230523" w:rsidP="008F39AF">
      <w:pPr>
        <w:jc w:val="both"/>
        <w:rPr>
          <w:rFonts w:ascii="Calibri" w:hAnsi="Calibri" w:cs="Calibri"/>
          <w:sz w:val="22"/>
          <w:szCs w:val="22"/>
          <w:lang w:val="en-US"/>
        </w:rPr>
      </w:pPr>
      <w:r w:rsidRPr="0098603E">
        <w:rPr>
          <w:rFonts w:ascii="Calibri" w:hAnsi="Calibri" w:cs="Calibri"/>
          <w:color w:val="000000"/>
          <w:sz w:val="22"/>
          <w:szCs w:val="22"/>
          <w:lang w:val="en-US"/>
        </w:rPr>
        <w:t>T</w:t>
      </w:r>
      <w:r w:rsidR="00FB68C0" w:rsidRPr="0098603E">
        <w:rPr>
          <w:rFonts w:ascii="Calibri" w:hAnsi="Calibri" w:cs="Calibri"/>
          <w:color w:val="000000"/>
          <w:sz w:val="22"/>
          <w:szCs w:val="22"/>
          <w:lang w:val="en-US"/>
        </w:rPr>
        <w:t xml:space="preserve">he </w:t>
      </w:r>
      <w:r w:rsidR="009508ED" w:rsidRPr="0098603E">
        <w:rPr>
          <w:rFonts w:ascii="Calibri" w:eastAsia="MS PGothic" w:hAnsi="Calibri" w:cs="Calibri"/>
          <w:color w:val="000000" w:themeColor="text1"/>
          <w:kern w:val="24"/>
          <w:sz w:val="22"/>
          <w:szCs w:val="22"/>
          <w:lang w:eastAsia="fr-FR"/>
        </w:rPr>
        <w:t xml:space="preserve">extension of </w:t>
      </w:r>
      <w:r w:rsidR="00654236" w:rsidRPr="0098603E">
        <w:rPr>
          <w:rFonts w:ascii="Calibri" w:eastAsia="MS PGothic" w:hAnsi="Calibri" w:cs="Calibri"/>
          <w:color w:val="000000" w:themeColor="text1"/>
          <w:kern w:val="24"/>
          <w:sz w:val="22"/>
          <w:szCs w:val="22"/>
          <w:lang w:eastAsia="fr-FR"/>
        </w:rPr>
        <w:t>the scope of</w:t>
      </w:r>
      <w:r w:rsidR="009508ED" w:rsidRPr="0098603E">
        <w:rPr>
          <w:rFonts w:ascii="Calibri" w:eastAsia="MS PGothic" w:hAnsi="Calibri" w:cs="Calibri"/>
          <w:color w:val="000000" w:themeColor="text1"/>
          <w:kern w:val="24"/>
          <w:sz w:val="22"/>
          <w:szCs w:val="22"/>
          <w:lang w:eastAsia="fr-FR"/>
        </w:rPr>
        <w:t xml:space="preserve"> eligible collateral </w:t>
      </w:r>
      <w:r w:rsidR="00654236" w:rsidRPr="0098603E">
        <w:rPr>
          <w:rFonts w:ascii="Calibri" w:eastAsia="MS PGothic" w:hAnsi="Calibri" w:cs="Calibri"/>
          <w:color w:val="000000" w:themeColor="text1"/>
          <w:kern w:val="24"/>
          <w:sz w:val="22"/>
          <w:szCs w:val="22"/>
          <w:lang w:eastAsia="fr-FR"/>
        </w:rPr>
        <w:t xml:space="preserve">with the </w:t>
      </w:r>
      <w:r w:rsidR="003A7364" w:rsidRPr="0098603E">
        <w:rPr>
          <w:rFonts w:ascii="Calibri" w:hAnsi="Calibri" w:cs="Calibri"/>
          <w:color w:val="000000"/>
          <w:sz w:val="22"/>
          <w:szCs w:val="22"/>
          <w:lang w:val="en-US"/>
        </w:rPr>
        <w:t xml:space="preserve">new </w:t>
      </w:r>
      <w:r w:rsidR="00286232" w:rsidRPr="0098603E">
        <w:rPr>
          <w:rFonts w:ascii="Calibri" w:hAnsi="Calibri" w:cs="Calibri"/>
          <w:color w:val="000000"/>
          <w:sz w:val="22"/>
          <w:szCs w:val="22"/>
          <w:lang w:val="en-US"/>
        </w:rPr>
        <w:t xml:space="preserve">fee </w:t>
      </w:r>
      <w:r w:rsidR="003A7364" w:rsidRPr="0098603E">
        <w:rPr>
          <w:rFonts w:ascii="Calibri" w:hAnsi="Calibri" w:cs="Calibri"/>
          <w:color w:val="000000"/>
          <w:sz w:val="22"/>
          <w:szCs w:val="22"/>
          <w:lang w:val="en-US"/>
        </w:rPr>
        <w:t xml:space="preserve">grid </w:t>
      </w:r>
      <w:r w:rsidR="00BE635A" w:rsidRPr="0098603E">
        <w:rPr>
          <w:rFonts w:ascii="Calibri" w:hAnsi="Calibri" w:cs="Calibri"/>
          <w:color w:val="000000"/>
          <w:sz w:val="22"/>
          <w:szCs w:val="22"/>
          <w:lang w:val="en-US"/>
        </w:rPr>
        <w:t>applicable to CDSClear member</w:t>
      </w:r>
      <w:r w:rsidR="0098603E" w:rsidRPr="0098603E">
        <w:rPr>
          <w:rFonts w:ascii="Calibri" w:hAnsi="Calibri" w:cs="Calibri"/>
          <w:color w:val="000000"/>
          <w:sz w:val="22"/>
          <w:szCs w:val="22"/>
          <w:lang w:val="en-US"/>
        </w:rPr>
        <w:t>s</w:t>
      </w:r>
      <w:r w:rsidR="00BE635A" w:rsidRPr="0098603E">
        <w:rPr>
          <w:rFonts w:ascii="Calibri" w:hAnsi="Calibri" w:cs="Calibri"/>
          <w:color w:val="000000"/>
          <w:sz w:val="22"/>
          <w:szCs w:val="22"/>
          <w:lang w:val="en-US"/>
        </w:rPr>
        <w:t xml:space="preserve"> </w:t>
      </w:r>
      <w:r w:rsidR="009508ED" w:rsidRPr="0098603E">
        <w:rPr>
          <w:rFonts w:ascii="Calibri" w:hAnsi="Calibri" w:cs="Calibri"/>
          <w:color w:val="000000"/>
          <w:sz w:val="22"/>
          <w:szCs w:val="22"/>
          <w:lang w:val="en-US"/>
        </w:rPr>
        <w:t xml:space="preserve">are </w:t>
      </w:r>
      <w:r w:rsidR="000D169E" w:rsidRPr="0098603E">
        <w:rPr>
          <w:rFonts w:ascii="Calibri" w:hAnsi="Calibri" w:cs="Calibri"/>
          <w:color w:val="000000"/>
          <w:sz w:val="22"/>
          <w:szCs w:val="22"/>
          <w:lang w:val="en-US"/>
        </w:rPr>
        <w:t xml:space="preserve">expected </w:t>
      </w:r>
      <w:r w:rsidR="00286232" w:rsidRPr="0098603E">
        <w:rPr>
          <w:rFonts w:ascii="Calibri" w:hAnsi="Calibri" w:cs="Calibri"/>
          <w:color w:val="000000"/>
          <w:sz w:val="22"/>
          <w:szCs w:val="22"/>
          <w:lang w:val="en-US"/>
        </w:rPr>
        <w:t xml:space="preserve">to be effective as of </w:t>
      </w:r>
      <w:r w:rsidR="004023FB" w:rsidRPr="0098603E">
        <w:rPr>
          <w:rFonts w:ascii="Calibri" w:hAnsi="Calibri" w:cs="Calibri"/>
          <w:color w:val="000000"/>
          <w:sz w:val="22"/>
          <w:szCs w:val="22"/>
          <w:lang w:val="en-US"/>
        </w:rPr>
        <w:t xml:space="preserve">1 November </w:t>
      </w:r>
      <w:r w:rsidR="00286232" w:rsidRPr="0098603E">
        <w:rPr>
          <w:rFonts w:ascii="Calibri" w:hAnsi="Calibri" w:cs="Calibri"/>
          <w:color w:val="000000"/>
          <w:sz w:val="22"/>
          <w:szCs w:val="22"/>
          <w:lang w:val="en-US"/>
        </w:rPr>
        <w:t>201</w:t>
      </w:r>
      <w:r w:rsidR="00330309" w:rsidRPr="0098603E">
        <w:rPr>
          <w:rFonts w:ascii="Calibri" w:hAnsi="Calibri" w:cs="Calibri"/>
          <w:color w:val="000000"/>
          <w:sz w:val="22"/>
          <w:szCs w:val="22"/>
          <w:lang w:val="en-US"/>
        </w:rPr>
        <w:t>9</w:t>
      </w:r>
      <w:r w:rsidR="00286232" w:rsidRPr="0098603E">
        <w:rPr>
          <w:rFonts w:ascii="Calibri" w:hAnsi="Calibri" w:cs="Calibri"/>
          <w:color w:val="000000"/>
          <w:sz w:val="22"/>
          <w:szCs w:val="22"/>
          <w:lang w:val="en-US"/>
        </w:rPr>
        <w:t xml:space="preserve"> </w:t>
      </w:r>
      <w:r w:rsidR="000D169E" w:rsidRPr="0098603E">
        <w:rPr>
          <w:rFonts w:ascii="Calibri" w:hAnsi="Calibri" w:cs="Calibri"/>
          <w:color w:val="000000"/>
          <w:sz w:val="22"/>
          <w:szCs w:val="22"/>
          <w:lang w:val="en-US"/>
        </w:rPr>
        <w:t xml:space="preserve">however, </w:t>
      </w:r>
      <w:r w:rsidR="004733B4" w:rsidRPr="0098603E">
        <w:rPr>
          <w:rFonts w:ascii="Calibri" w:hAnsi="Calibri" w:cs="Calibri"/>
          <w:color w:val="000000"/>
          <w:sz w:val="22"/>
          <w:szCs w:val="22"/>
          <w:lang w:val="en-US"/>
        </w:rPr>
        <w:t>i</w:t>
      </w:r>
      <w:r w:rsidRPr="0098603E">
        <w:rPr>
          <w:rFonts w:ascii="Calibri" w:hAnsi="Calibri" w:cs="Calibri"/>
          <w:color w:val="000000" w:themeColor="text1"/>
          <w:sz w:val="22"/>
          <w:szCs w:val="22"/>
          <w:lang w:val="en-US"/>
        </w:rPr>
        <w:t>n no event,</w:t>
      </w:r>
      <w:r w:rsidR="004733B4" w:rsidRPr="0098603E">
        <w:rPr>
          <w:rFonts w:ascii="Calibri" w:hAnsi="Calibri" w:cs="Calibri"/>
          <w:color w:val="000000" w:themeColor="text1"/>
          <w:sz w:val="22"/>
          <w:szCs w:val="22"/>
          <w:lang w:val="en-US"/>
        </w:rPr>
        <w:t xml:space="preserve"> </w:t>
      </w:r>
      <w:r w:rsidR="000D169E" w:rsidRPr="0098603E">
        <w:rPr>
          <w:rFonts w:ascii="Calibri" w:hAnsi="Calibri" w:cs="Calibri"/>
          <w:color w:val="000000" w:themeColor="text1"/>
          <w:sz w:val="22"/>
          <w:szCs w:val="22"/>
          <w:lang w:val="en-US"/>
        </w:rPr>
        <w:t>will either</w:t>
      </w:r>
      <w:r w:rsidRPr="0098603E">
        <w:rPr>
          <w:rFonts w:ascii="Calibri" w:hAnsi="Calibri" w:cs="Calibri"/>
          <w:color w:val="000000"/>
          <w:sz w:val="22"/>
          <w:szCs w:val="22"/>
          <w:lang w:val="en-US"/>
        </w:rPr>
        <w:t xml:space="preserve"> </w:t>
      </w:r>
      <w:r w:rsidRPr="0098603E">
        <w:rPr>
          <w:rFonts w:ascii="Calibri" w:hAnsi="Calibri" w:cs="Calibri"/>
          <w:sz w:val="22"/>
          <w:szCs w:val="22"/>
          <w:lang w:val="en-US"/>
        </w:rPr>
        <w:t xml:space="preserve">be implemented earlier than 10 business days after </w:t>
      </w:r>
      <w:r w:rsidR="009508ED" w:rsidRPr="0098603E">
        <w:rPr>
          <w:rFonts w:ascii="Calibri" w:hAnsi="Calibri" w:cs="Calibri"/>
          <w:sz w:val="22"/>
          <w:szCs w:val="22"/>
          <w:lang w:val="en-US"/>
        </w:rPr>
        <w:t>the proposed change</w:t>
      </w:r>
      <w:r w:rsidR="000D169E" w:rsidRPr="0098603E">
        <w:rPr>
          <w:rFonts w:ascii="Calibri" w:hAnsi="Calibri" w:cs="Calibri"/>
          <w:sz w:val="22"/>
          <w:szCs w:val="22"/>
          <w:lang w:val="en-US"/>
        </w:rPr>
        <w:t>s are</w:t>
      </w:r>
      <w:r w:rsidRPr="0098603E">
        <w:rPr>
          <w:rFonts w:ascii="Calibri" w:hAnsi="Calibri" w:cs="Calibri"/>
          <w:sz w:val="22"/>
          <w:szCs w:val="22"/>
          <w:lang w:val="en-US"/>
        </w:rPr>
        <w:t xml:space="preserve"> filed with the</w:t>
      </w:r>
      <w:r w:rsidRPr="009431E9">
        <w:rPr>
          <w:rFonts w:ascii="Calibri" w:hAnsi="Calibri" w:cs="Calibri"/>
          <w:sz w:val="22"/>
          <w:szCs w:val="22"/>
          <w:lang w:val="en-US"/>
        </w:rPr>
        <w:t xml:space="preserve"> CFTC.</w:t>
      </w:r>
    </w:p>
    <w:p w14:paraId="6987170A" w14:textId="4536D9ED" w:rsidR="00D57781" w:rsidRPr="009431E9" w:rsidRDefault="00E64C6A" w:rsidP="00D57781">
      <w:pPr>
        <w:autoSpaceDE w:val="0"/>
        <w:autoSpaceDN w:val="0"/>
        <w:adjustRightInd w:val="0"/>
        <w:spacing w:after="0" w:line="240" w:lineRule="auto"/>
        <w:rPr>
          <w:rFonts w:ascii="Calibri" w:hAnsi="Calibri" w:cs="Calibri"/>
          <w:b/>
          <w:sz w:val="22"/>
          <w:szCs w:val="22"/>
          <w:u w:val="single"/>
        </w:rPr>
      </w:pPr>
      <w:r w:rsidRPr="009431E9">
        <w:rPr>
          <w:rFonts w:ascii="Calibri" w:hAnsi="Calibri" w:cs="Calibri"/>
          <w:b/>
          <w:sz w:val="22"/>
          <w:szCs w:val="22"/>
          <w:u w:val="single"/>
        </w:rPr>
        <w:t>Part I:  Explanation and Analysis</w:t>
      </w:r>
    </w:p>
    <w:p w14:paraId="7E8BC600" w14:textId="77777777" w:rsidR="00D57781" w:rsidRPr="009431E9" w:rsidRDefault="00D57781" w:rsidP="00F63C0A">
      <w:pPr>
        <w:autoSpaceDE w:val="0"/>
        <w:autoSpaceDN w:val="0"/>
        <w:adjustRightInd w:val="0"/>
        <w:spacing w:after="0" w:line="240" w:lineRule="auto"/>
        <w:jc w:val="both"/>
        <w:rPr>
          <w:rFonts w:ascii="Calibri" w:hAnsi="Calibri" w:cs="Calibri"/>
          <w:sz w:val="22"/>
          <w:szCs w:val="22"/>
          <w:lang w:val="en-US"/>
        </w:rPr>
      </w:pPr>
    </w:p>
    <w:p w14:paraId="565AE4B8" w14:textId="548035CB" w:rsidR="00F461EA" w:rsidRPr="009431E9" w:rsidRDefault="00AE5016" w:rsidP="009508ED">
      <w:pPr>
        <w:spacing w:after="0"/>
        <w:jc w:val="both"/>
        <w:rPr>
          <w:rFonts w:ascii="Calibri" w:hAnsi="Calibri" w:cs="Calibri"/>
          <w:sz w:val="22"/>
          <w:szCs w:val="22"/>
        </w:rPr>
      </w:pPr>
      <w:r w:rsidRPr="009431E9">
        <w:rPr>
          <w:rFonts w:ascii="Calibri" w:hAnsi="Calibri" w:cs="Calibri"/>
          <w:sz w:val="22"/>
          <w:szCs w:val="22"/>
        </w:rPr>
        <w:t>LCH SA initially provided clearing services only with respect to French sovereign debt.  The Fixed</w:t>
      </w:r>
      <w:r w:rsidR="009508ED" w:rsidRPr="009431E9">
        <w:rPr>
          <w:rFonts w:ascii="Calibri" w:hAnsi="Calibri" w:cs="Calibri"/>
          <w:sz w:val="22"/>
          <w:szCs w:val="22"/>
        </w:rPr>
        <w:t xml:space="preserve"> </w:t>
      </w:r>
      <w:r w:rsidRPr="009431E9">
        <w:rPr>
          <w:rFonts w:ascii="Calibri" w:hAnsi="Calibri" w:cs="Calibri"/>
          <w:sz w:val="22"/>
          <w:szCs w:val="22"/>
        </w:rPr>
        <w:t xml:space="preserve">Income Clearing service </w:t>
      </w:r>
      <w:r w:rsidR="000D169E">
        <w:rPr>
          <w:rFonts w:ascii="Calibri" w:hAnsi="Calibri" w:cs="Calibri"/>
          <w:sz w:val="22"/>
          <w:szCs w:val="22"/>
        </w:rPr>
        <w:t xml:space="preserve">has since extended its offering to several other European sovereign and </w:t>
      </w:r>
      <w:proofErr w:type="gramStart"/>
      <w:r w:rsidR="000D169E">
        <w:rPr>
          <w:rFonts w:ascii="Calibri" w:hAnsi="Calibri" w:cs="Calibri"/>
          <w:sz w:val="22"/>
          <w:szCs w:val="22"/>
        </w:rPr>
        <w:t>Supranational</w:t>
      </w:r>
      <w:proofErr w:type="gramEnd"/>
      <w:r w:rsidR="000D169E">
        <w:rPr>
          <w:rFonts w:ascii="Calibri" w:hAnsi="Calibri" w:cs="Calibri"/>
          <w:sz w:val="22"/>
          <w:szCs w:val="22"/>
        </w:rPr>
        <w:t xml:space="preserve"> issuers</w:t>
      </w:r>
      <w:r w:rsidRPr="009431E9">
        <w:rPr>
          <w:rFonts w:ascii="Calibri" w:hAnsi="Calibri" w:cs="Calibri"/>
          <w:sz w:val="22"/>
          <w:szCs w:val="22"/>
        </w:rPr>
        <w:t xml:space="preserve">. </w:t>
      </w:r>
      <w:r w:rsidR="000D169E">
        <w:rPr>
          <w:rFonts w:ascii="Calibri" w:hAnsi="Calibri" w:cs="Calibri"/>
          <w:sz w:val="22"/>
          <w:szCs w:val="22"/>
        </w:rPr>
        <w:t>Within this context LCH SA initiated a process to enhance its non-cash collateral management offering.</w:t>
      </w:r>
      <w:r w:rsidRPr="009431E9">
        <w:rPr>
          <w:rFonts w:ascii="Calibri" w:hAnsi="Calibri" w:cs="Calibri"/>
          <w:sz w:val="22"/>
          <w:szCs w:val="22"/>
        </w:rPr>
        <w:t xml:space="preserve"> </w:t>
      </w:r>
    </w:p>
    <w:p w14:paraId="65F630AE" w14:textId="77777777" w:rsidR="00F461EA" w:rsidRPr="009431E9" w:rsidRDefault="00F461EA" w:rsidP="009508ED">
      <w:pPr>
        <w:spacing w:after="0"/>
        <w:rPr>
          <w:rFonts w:ascii="Calibri" w:hAnsi="Calibri" w:cs="Calibri"/>
          <w:sz w:val="22"/>
          <w:szCs w:val="22"/>
        </w:rPr>
      </w:pPr>
    </w:p>
    <w:p w14:paraId="2F0CFDBF" w14:textId="38B1963D" w:rsidR="001B1A36" w:rsidRDefault="000D169E" w:rsidP="0048674A">
      <w:pPr>
        <w:spacing w:after="200"/>
        <w:jc w:val="both"/>
        <w:rPr>
          <w:rFonts w:ascii="Calibri" w:hAnsi="Calibri" w:cs="Calibri"/>
          <w:sz w:val="22"/>
          <w:szCs w:val="22"/>
        </w:rPr>
      </w:pPr>
      <w:r>
        <w:rPr>
          <w:rFonts w:ascii="Calibri" w:hAnsi="Calibri" w:cs="Calibri"/>
          <w:sz w:val="22"/>
          <w:szCs w:val="22"/>
        </w:rPr>
        <w:t xml:space="preserve">The enhancements include the extension of eligible non-cash securities to include Supranational issued debt and the extension of the pledge functionality to </w:t>
      </w:r>
      <w:r w:rsidR="008F39AF">
        <w:rPr>
          <w:rFonts w:ascii="Calibri" w:hAnsi="Calibri" w:cs="Calibri"/>
          <w:sz w:val="22"/>
          <w:szCs w:val="22"/>
        </w:rPr>
        <w:t xml:space="preserve">LCH SA </w:t>
      </w:r>
      <w:proofErr w:type="spellStart"/>
      <w:r>
        <w:rPr>
          <w:rFonts w:ascii="Calibri" w:hAnsi="Calibri" w:cs="Calibri"/>
          <w:sz w:val="22"/>
          <w:szCs w:val="22"/>
        </w:rPr>
        <w:t>RepoClear</w:t>
      </w:r>
      <w:proofErr w:type="spellEnd"/>
      <w:r>
        <w:rPr>
          <w:rFonts w:ascii="Calibri" w:hAnsi="Calibri" w:cs="Calibri"/>
          <w:sz w:val="22"/>
          <w:szCs w:val="22"/>
        </w:rPr>
        <w:t xml:space="preserve"> and </w:t>
      </w:r>
      <w:proofErr w:type="spellStart"/>
      <w:r>
        <w:rPr>
          <w:rFonts w:ascii="Calibri" w:hAnsi="Calibri" w:cs="Calibri"/>
          <w:sz w:val="22"/>
          <w:szCs w:val="22"/>
        </w:rPr>
        <w:t>EquityClear</w:t>
      </w:r>
      <w:proofErr w:type="spellEnd"/>
      <w:r w:rsidR="0098603E">
        <w:rPr>
          <w:rFonts w:ascii="Calibri" w:hAnsi="Calibri" w:cs="Calibri"/>
          <w:sz w:val="22"/>
          <w:szCs w:val="22"/>
        </w:rPr>
        <w:t xml:space="preserve"> services only</w:t>
      </w:r>
      <w:r w:rsidR="00554F6B">
        <w:rPr>
          <w:rFonts w:ascii="Calibri" w:hAnsi="Calibri" w:cs="Calibri"/>
          <w:sz w:val="22"/>
          <w:szCs w:val="22"/>
        </w:rPr>
        <w:t>,</w:t>
      </w:r>
      <w:r w:rsidR="001B1A36">
        <w:rPr>
          <w:rFonts w:ascii="Calibri" w:hAnsi="Calibri" w:cs="Calibri"/>
          <w:sz w:val="22"/>
          <w:szCs w:val="22"/>
        </w:rPr>
        <w:t xml:space="preserve"> as it is already </w:t>
      </w:r>
      <w:r>
        <w:rPr>
          <w:rFonts w:ascii="Calibri" w:hAnsi="Calibri" w:cs="Calibri"/>
          <w:sz w:val="22"/>
          <w:szCs w:val="22"/>
        </w:rPr>
        <w:t xml:space="preserve">offered to </w:t>
      </w:r>
      <w:r w:rsidR="008F39AF">
        <w:rPr>
          <w:rFonts w:ascii="Calibri" w:hAnsi="Calibri" w:cs="Calibri"/>
          <w:sz w:val="22"/>
          <w:szCs w:val="22"/>
        </w:rPr>
        <w:t xml:space="preserve">LCH SA </w:t>
      </w:r>
      <w:r>
        <w:rPr>
          <w:rFonts w:ascii="Calibri" w:hAnsi="Calibri" w:cs="Calibri"/>
          <w:sz w:val="22"/>
          <w:szCs w:val="22"/>
        </w:rPr>
        <w:t>CDSClear members</w:t>
      </w:r>
      <w:r w:rsidR="001B1A36">
        <w:rPr>
          <w:rFonts w:ascii="Calibri" w:hAnsi="Calibri" w:cs="Calibri"/>
          <w:sz w:val="22"/>
          <w:szCs w:val="22"/>
        </w:rPr>
        <w:t>.</w:t>
      </w:r>
    </w:p>
    <w:p w14:paraId="51C14FB6" w14:textId="55CB4142" w:rsidR="00A921FA" w:rsidRPr="001B1A36" w:rsidRDefault="000D169E" w:rsidP="0048674A">
      <w:pPr>
        <w:spacing w:after="200"/>
        <w:jc w:val="both"/>
        <w:rPr>
          <w:rFonts w:ascii="Calibri" w:eastAsia="Times New Roman" w:hAnsi="Calibri" w:cs="Calibri"/>
          <w:sz w:val="22"/>
          <w:szCs w:val="22"/>
          <w:lang w:val="en-US" w:eastAsia="fr-FR"/>
        </w:rPr>
      </w:pPr>
      <w:r w:rsidRPr="001B1A36">
        <w:rPr>
          <w:rFonts w:ascii="Calibri" w:hAnsi="Calibri" w:cs="Calibri"/>
          <w:sz w:val="22"/>
          <w:szCs w:val="22"/>
        </w:rPr>
        <w:t>Supranational issued debt is</w:t>
      </w:r>
      <w:r w:rsidR="00A921FA" w:rsidRPr="001B1A36">
        <w:rPr>
          <w:rFonts w:ascii="Calibri" w:eastAsia="Times New Roman" w:hAnsi="Calibri" w:cs="Calibri"/>
          <w:sz w:val="22"/>
          <w:szCs w:val="22"/>
          <w:lang w:val="en-US" w:eastAsia="fr-FR"/>
        </w:rPr>
        <w:t xml:space="preserve"> already eligible as investment collateral </w:t>
      </w:r>
      <w:r w:rsidRPr="001B1A36">
        <w:rPr>
          <w:rFonts w:ascii="Calibri" w:eastAsia="Times New Roman" w:hAnsi="Calibri" w:cs="Calibri"/>
          <w:sz w:val="22"/>
          <w:szCs w:val="22"/>
          <w:lang w:val="en-US" w:eastAsia="fr-FR"/>
        </w:rPr>
        <w:t xml:space="preserve">to LCH SA. </w:t>
      </w:r>
    </w:p>
    <w:p w14:paraId="3BD10CE7" w14:textId="3056C283" w:rsidR="00A921FA" w:rsidRDefault="00A921FA" w:rsidP="00A921FA">
      <w:pPr>
        <w:jc w:val="both"/>
        <w:rPr>
          <w:rFonts w:eastAsiaTheme="minorHAnsi"/>
          <w:szCs w:val="22"/>
          <w:lang w:val="en-US"/>
        </w:rPr>
      </w:pPr>
      <w:r w:rsidRPr="001B1A36">
        <w:rPr>
          <w:rFonts w:ascii="Calibri" w:eastAsia="Times New Roman" w:hAnsi="Calibri" w:cs="Calibri"/>
          <w:sz w:val="22"/>
          <w:szCs w:val="22"/>
          <w:lang w:val="en-US" w:eastAsia="fr-FR"/>
        </w:rPr>
        <w:t xml:space="preserve">The objective is </w:t>
      </w:r>
      <w:r w:rsidRPr="001B1A36">
        <w:rPr>
          <w:lang w:val="en-US"/>
        </w:rPr>
        <w:t>to extend the scope of instruments eligible to margin collateral to EUR bonds only issued</w:t>
      </w:r>
      <w:r>
        <w:rPr>
          <w:lang w:val="en-US"/>
        </w:rPr>
        <w:t xml:space="preserve"> by the following </w:t>
      </w:r>
      <w:r w:rsidR="00483FE4">
        <w:rPr>
          <w:lang w:val="en-US"/>
        </w:rPr>
        <w:t xml:space="preserve">supranational and agency </w:t>
      </w:r>
      <w:r>
        <w:rPr>
          <w:lang w:val="en-US"/>
        </w:rPr>
        <w:t>institutions:</w:t>
      </w:r>
    </w:p>
    <w:p w14:paraId="6FE31613" w14:textId="6EE4684E" w:rsidR="003A32D6" w:rsidRPr="009431E9" w:rsidRDefault="003A32D6" w:rsidP="00347D8A">
      <w:pPr>
        <w:pStyle w:val="Paragraphedeliste"/>
        <w:numPr>
          <w:ilvl w:val="0"/>
          <w:numId w:val="7"/>
        </w:numPr>
        <w:spacing w:after="120"/>
        <w:contextualSpacing/>
        <w:jc w:val="both"/>
        <w:rPr>
          <w:rFonts w:ascii="Calibri" w:hAnsi="Calibri" w:cs="Calibri"/>
          <w:sz w:val="22"/>
          <w:szCs w:val="22"/>
          <w:lang w:val="en-US"/>
        </w:rPr>
      </w:pPr>
      <w:r w:rsidRPr="009431E9">
        <w:rPr>
          <w:rFonts w:ascii="Calibri" w:hAnsi="Calibri" w:cs="Calibri"/>
          <w:sz w:val="22"/>
          <w:szCs w:val="22"/>
          <w:lang w:val="en-US"/>
        </w:rPr>
        <w:lastRenderedPageBreak/>
        <w:t>European Finan</w:t>
      </w:r>
      <w:r w:rsidR="00A43EBB">
        <w:rPr>
          <w:rFonts w:ascii="Calibri" w:hAnsi="Calibri" w:cs="Calibri"/>
          <w:sz w:val="22"/>
          <w:szCs w:val="22"/>
          <w:lang w:val="en-US"/>
        </w:rPr>
        <w:t>cial Stability Facility (EFSF)</w:t>
      </w:r>
    </w:p>
    <w:p w14:paraId="75D2BB74" w14:textId="0AA94AFF" w:rsidR="003A32D6" w:rsidRPr="009431E9" w:rsidRDefault="003A32D6" w:rsidP="00347D8A">
      <w:pPr>
        <w:pStyle w:val="Paragraphedeliste"/>
        <w:numPr>
          <w:ilvl w:val="0"/>
          <w:numId w:val="7"/>
        </w:numPr>
        <w:spacing w:after="120"/>
        <w:contextualSpacing/>
        <w:jc w:val="both"/>
        <w:rPr>
          <w:rFonts w:ascii="Calibri" w:hAnsi="Calibri" w:cs="Calibri"/>
          <w:sz w:val="22"/>
          <w:szCs w:val="22"/>
          <w:lang w:val="en-US"/>
        </w:rPr>
      </w:pPr>
      <w:r w:rsidRPr="009431E9">
        <w:rPr>
          <w:rFonts w:ascii="Calibri" w:hAnsi="Calibri" w:cs="Calibri"/>
          <w:sz w:val="22"/>
          <w:szCs w:val="22"/>
          <w:lang w:val="en-US"/>
        </w:rPr>
        <w:t>European Stab</w:t>
      </w:r>
      <w:r w:rsidR="00A43EBB">
        <w:rPr>
          <w:rFonts w:ascii="Calibri" w:hAnsi="Calibri" w:cs="Calibri"/>
          <w:sz w:val="22"/>
          <w:szCs w:val="22"/>
          <w:lang w:val="en-US"/>
        </w:rPr>
        <w:t>ility Mechanism (ESM)</w:t>
      </w:r>
    </w:p>
    <w:p w14:paraId="306E485A" w14:textId="30707161" w:rsidR="003A32D6" w:rsidRPr="009431E9" w:rsidRDefault="00A43EBB" w:rsidP="00347D8A">
      <w:pPr>
        <w:pStyle w:val="Paragraphedeliste"/>
        <w:numPr>
          <w:ilvl w:val="0"/>
          <w:numId w:val="7"/>
        </w:numPr>
        <w:spacing w:after="120"/>
        <w:contextualSpacing/>
        <w:jc w:val="both"/>
        <w:rPr>
          <w:rFonts w:ascii="Calibri" w:hAnsi="Calibri" w:cs="Calibri"/>
          <w:sz w:val="22"/>
          <w:szCs w:val="22"/>
          <w:lang w:val="en-US"/>
        </w:rPr>
      </w:pPr>
      <w:r>
        <w:rPr>
          <w:rFonts w:ascii="Calibri" w:hAnsi="Calibri" w:cs="Calibri"/>
          <w:sz w:val="22"/>
          <w:szCs w:val="22"/>
          <w:lang w:val="en-US"/>
        </w:rPr>
        <w:t>European Investment Bank (EIB)</w:t>
      </w:r>
    </w:p>
    <w:p w14:paraId="11DA7E3D" w14:textId="77105290" w:rsidR="003A32D6" w:rsidRPr="009431E9" w:rsidRDefault="003A32D6" w:rsidP="00347D8A">
      <w:pPr>
        <w:pStyle w:val="Paragraphedeliste"/>
        <w:numPr>
          <w:ilvl w:val="0"/>
          <w:numId w:val="7"/>
        </w:numPr>
        <w:spacing w:after="60"/>
        <w:contextualSpacing/>
        <w:jc w:val="both"/>
        <w:rPr>
          <w:rFonts w:ascii="Calibri" w:hAnsi="Calibri" w:cs="Calibri"/>
          <w:i/>
          <w:sz w:val="22"/>
          <w:szCs w:val="22"/>
          <w:lang w:val="en-US"/>
        </w:rPr>
      </w:pPr>
      <w:r w:rsidRPr="009431E9">
        <w:rPr>
          <w:rFonts w:ascii="Calibri" w:hAnsi="Calibri" w:cs="Calibri"/>
          <w:sz w:val="22"/>
          <w:szCs w:val="22"/>
          <w:lang w:val="en-US"/>
        </w:rPr>
        <w:t>European Union (EU)</w:t>
      </w:r>
    </w:p>
    <w:p w14:paraId="06299FF6" w14:textId="6157F34F" w:rsidR="003A32D6" w:rsidRPr="009431E9" w:rsidRDefault="003A32D6" w:rsidP="00347D8A">
      <w:pPr>
        <w:pStyle w:val="Paragraphedeliste"/>
        <w:numPr>
          <w:ilvl w:val="0"/>
          <w:numId w:val="7"/>
        </w:numPr>
        <w:spacing w:after="60"/>
        <w:contextualSpacing/>
        <w:jc w:val="both"/>
        <w:rPr>
          <w:rFonts w:ascii="Calibri" w:hAnsi="Calibri" w:cs="Calibri"/>
          <w:sz w:val="22"/>
          <w:szCs w:val="22"/>
          <w:lang w:val="en-US"/>
        </w:rPr>
      </w:pPr>
      <w:r w:rsidRPr="009431E9">
        <w:rPr>
          <w:rFonts w:ascii="Calibri" w:hAnsi="Calibri" w:cs="Calibri"/>
          <w:sz w:val="22"/>
          <w:szCs w:val="22"/>
          <w:lang w:val="en-US"/>
        </w:rPr>
        <w:t xml:space="preserve">Investment Bank for Reconstruction and </w:t>
      </w:r>
      <w:r w:rsidR="00654236" w:rsidRPr="009431E9">
        <w:rPr>
          <w:rFonts w:ascii="Calibri" w:hAnsi="Calibri" w:cs="Calibri"/>
          <w:sz w:val="22"/>
          <w:szCs w:val="22"/>
          <w:lang w:val="en-US"/>
        </w:rPr>
        <w:t>Development</w:t>
      </w:r>
      <w:r w:rsidR="00A43EBB">
        <w:rPr>
          <w:rFonts w:ascii="Calibri" w:hAnsi="Calibri" w:cs="Calibri"/>
          <w:sz w:val="22"/>
          <w:szCs w:val="22"/>
          <w:lang w:val="en-US"/>
        </w:rPr>
        <w:t xml:space="preserve"> (IBRD)</w:t>
      </w:r>
    </w:p>
    <w:p w14:paraId="05EA63E2" w14:textId="6937D496" w:rsidR="003A32D6" w:rsidRPr="009431E9" w:rsidRDefault="00A43EBB" w:rsidP="00C21845">
      <w:pPr>
        <w:pStyle w:val="Paragraphedeliste"/>
        <w:numPr>
          <w:ilvl w:val="0"/>
          <w:numId w:val="7"/>
        </w:numPr>
        <w:contextualSpacing/>
        <w:jc w:val="both"/>
        <w:rPr>
          <w:rFonts w:ascii="Calibri" w:hAnsi="Calibri" w:cs="Calibri"/>
          <w:sz w:val="22"/>
          <w:szCs w:val="22"/>
          <w:lang w:val="en-US"/>
        </w:rPr>
      </w:pPr>
      <w:proofErr w:type="spellStart"/>
      <w:r>
        <w:rPr>
          <w:rFonts w:ascii="Calibri" w:hAnsi="Calibri" w:cs="Calibri"/>
          <w:sz w:val="22"/>
          <w:szCs w:val="22"/>
          <w:lang w:val="en-US"/>
        </w:rPr>
        <w:t>RentenBank</w:t>
      </w:r>
      <w:proofErr w:type="spellEnd"/>
      <w:r>
        <w:rPr>
          <w:rFonts w:ascii="Calibri" w:hAnsi="Calibri" w:cs="Calibri"/>
          <w:sz w:val="22"/>
          <w:szCs w:val="22"/>
          <w:lang w:val="en-US"/>
        </w:rPr>
        <w:t xml:space="preserve"> (RENTEN)</w:t>
      </w:r>
      <w:r w:rsidR="003A32D6" w:rsidRPr="009431E9">
        <w:rPr>
          <w:rFonts w:ascii="Calibri" w:hAnsi="Calibri" w:cs="Calibri"/>
          <w:sz w:val="22"/>
          <w:szCs w:val="22"/>
          <w:lang w:val="en-US"/>
        </w:rPr>
        <w:t xml:space="preserve"> </w:t>
      </w:r>
    </w:p>
    <w:p w14:paraId="3BE27A9F" w14:textId="77777777" w:rsidR="00C21845" w:rsidRDefault="00C21845" w:rsidP="00C21845">
      <w:pPr>
        <w:spacing w:after="0"/>
        <w:jc w:val="both"/>
        <w:rPr>
          <w:rFonts w:ascii="Calibri" w:eastAsia="Times New Roman" w:hAnsi="Calibri" w:cs="Calibri"/>
          <w:sz w:val="22"/>
          <w:szCs w:val="22"/>
          <w:lang w:val="en-US" w:eastAsia="fr-FR"/>
        </w:rPr>
      </w:pPr>
    </w:p>
    <w:p w14:paraId="243A59C8" w14:textId="323AB7AE" w:rsidR="008F39AF" w:rsidRPr="009431E9" w:rsidRDefault="00C21845" w:rsidP="008F39AF">
      <w:pPr>
        <w:jc w:val="both"/>
        <w:rPr>
          <w:rFonts w:ascii="Calibri" w:hAnsi="Calibri" w:cs="Calibri"/>
          <w:sz w:val="22"/>
          <w:szCs w:val="22"/>
          <w:lang w:val="en-US"/>
        </w:rPr>
      </w:pPr>
      <w:r>
        <w:rPr>
          <w:rFonts w:ascii="Calibri" w:eastAsia="Times New Roman" w:hAnsi="Calibri" w:cs="Calibri"/>
          <w:sz w:val="22"/>
          <w:szCs w:val="22"/>
          <w:lang w:val="en-US" w:eastAsia="fr-FR"/>
        </w:rPr>
        <w:t xml:space="preserve">The extension of the Pledge functionality to all LCH SA clearing services has led to the need for LCH SA to apply greater </w:t>
      </w:r>
      <w:r w:rsidRPr="009431E9">
        <w:rPr>
          <w:rFonts w:ascii="Calibri" w:eastAsia="Times New Roman" w:hAnsi="Calibri" w:cs="Calibri"/>
          <w:sz w:val="22"/>
          <w:szCs w:val="22"/>
          <w:lang w:val="en-US" w:eastAsia="fr-FR"/>
        </w:rPr>
        <w:t xml:space="preserve">sophistication </w:t>
      </w:r>
      <w:r>
        <w:rPr>
          <w:rFonts w:ascii="Calibri" w:eastAsia="Times New Roman" w:hAnsi="Calibri" w:cs="Calibri"/>
          <w:sz w:val="22"/>
          <w:szCs w:val="22"/>
          <w:lang w:val="en-US" w:eastAsia="fr-FR"/>
        </w:rPr>
        <w:t xml:space="preserve">to its </w:t>
      </w:r>
      <w:r w:rsidRPr="009431E9">
        <w:rPr>
          <w:rFonts w:ascii="Calibri" w:eastAsia="Times New Roman" w:hAnsi="Calibri" w:cs="Calibri"/>
          <w:sz w:val="22"/>
          <w:szCs w:val="22"/>
          <w:lang w:val="en-US" w:eastAsia="fr-FR"/>
        </w:rPr>
        <w:t>collateral management</w:t>
      </w:r>
      <w:r>
        <w:rPr>
          <w:rFonts w:ascii="Calibri" w:eastAsia="Times New Roman" w:hAnsi="Calibri" w:cs="Calibri"/>
          <w:sz w:val="22"/>
          <w:szCs w:val="22"/>
          <w:lang w:val="en-US" w:eastAsia="fr-FR"/>
        </w:rPr>
        <w:t xml:space="preserve"> mechanisms and </w:t>
      </w:r>
      <w:r w:rsidR="00B80B8E">
        <w:rPr>
          <w:rFonts w:ascii="Calibri" w:eastAsia="Times New Roman" w:hAnsi="Calibri" w:cs="Calibri"/>
          <w:sz w:val="22"/>
          <w:szCs w:val="22"/>
          <w:lang w:val="en-US" w:eastAsia="fr-FR"/>
        </w:rPr>
        <w:t>for CDSClear to harmonize its existing non-cash collateral fee grid for House activities with the rest of LCH SA.</w:t>
      </w:r>
    </w:p>
    <w:p w14:paraId="2FFA7FF3" w14:textId="0D94A1D0" w:rsidR="001A7C8C" w:rsidRPr="009431E9" w:rsidRDefault="00E64C6A" w:rsidP="00BA5D5A">
      <w:pPr>
        <w:spacing w:after="0"/>
        <w:rPr>
          <w:rFonts w:ascii="Calibri" w:hAnsi="Calibri" w:cs="Calibri"/>
          <w:b/>
          <w:sz w:val="22"/>
          <w:szCs w:val="22"/>
          <w:u w:val="single"/>
        </w:rPr>
      </w:pPr>
      <w:r w:rsidRPr="009431E9">
        <w:rPr>
          <w:rFonts w:ascii="Calibri" w:hAnsi="Calibri" w:cs="Calibri"/>
          <w:b/>
          <w:color w:val="000000" w:themeColor="text1"/>
          <w:sz w:val="22"/>
          <w:szCs w:val="22"/>
          <w:u w:val="single"/>
        </w:rPr>
        <w:t xml:space="preserve">Part II:  Description of Rule </w:t>
      </w:r>
      <w:r w:rsidRPr="009431E9">
        <w:rPr>
          <w:rFonts w:ascii="Calibri" w:hAnsi="Calibri" w:cs="Calibri"/>
          <w:b/>
          <w:sz w:val="22"/>
          <w:szCs w:val="22"/>
          <w:u w:val="single"/>
        </w:rPr>
        <w:t>Changes</w:t>
      </w:r>
    </w:p>
    <w:p w14:paraId="380B69D1" w14:textId="77777777" w:rsidR="00BA5D5A" w:rsidRPr="009431E9" w:rsidRDefault="00BA5D5A" w:rsidP="00BA5D5A">
      <w:pPr>
        <w:spacing w:after="0"/>
        <w:rPr>
          <w:rFonts w:ascii="Calibri" w:hAnsi="Calibri" w:cs="Calibri"/>
          <w:sz w:val="22"/>
          <w:szCs w:val="22"/>
          <w:lang w:val="en-US"/>
        </w:rPr>
      </w:pPr>
    </w:p>
    <w:p w14:paraId="28E736EB" w14:textId="66E236BD" w:rsidR="0033554A" w:rsidRPr="008F39AF" w:rsidRDefault="0033554A" w:rsidP="00AA4B33">
      <w:pPr>
        <w:spacing w:after="0"/>
        <w:rPr>
          <w:rFonts w:ascii="Calibri" w:hAnsi="Calibri" w:cs="Calibri"/>
          <w:sz w:val="22"/>
          <w:szCs w:val="22"/>
        </w:rPr>
      </w:pPr>
      <w:r w:rsidRPr="008F39AF">
        <w:rPr>
          <w:rFonts w:ascii="Calibri" w:hAnsi="Calibri" w:cs="Calibri"/>
          <w:sz w:val="22"/>
          <w:szCs w:val="22"/>
        </w:rPr>
        <w:t xml:space="preserve">No amendments to the LCH </w:t>
      </w:r>
      <w:r w:rsidR="00AA4B33" w:rsidRPr="008F39AF">
        <w:rPr>
          <w:rFonts w:ascii="Calibri" w:hAnsi="Calibri" w:cs="Calibri"/>
          <w:sz w:val="22"/>
          <w:szCs w:val="22"/>
        </w:rPr>
        <w:t xml:space="preserve">SA </w:t>
      </w:r>
      <w:r w:rsidRPr="008F39AF">
        <w:rPr>
          <w:rFonts w:ascii="Calibri" w:hAnsi="Calibri" w:cs="Calibri"/>
          <w:sz w:val="22"/>
          <w:szCs w:val="22"/>
        </w:rPr>
        <w:t>CDS Clearing Rules are required to effect these changes.</w:t>
      </w:r>
    </w:p>
    <w:p w14:paraId="32E1F11A" w14:textId="77777777" w:rsidR="00A921FA" w:rsidRDefault="00A921FA" w:rsidP="00AA4B33">
      <w:pPr>
        <w:spacing w:after="0"/>
        <w:rPr>
          <w:rFonts w:ascii="Calibri" w:hAnsi="Calibri" w:cs="Calibri"/>
          <w:sz w:val="22"/>
          <w:szCs w:val="22"/>
        </w:rPr>
      </w:pPr>
    </w:p>
    <w:p w14:paraId="05CE4C08" w14:textId="29D9C763" w:rsidR="005525B6" w:rsidRPr="009431E9" w:rsidRDefault="00A921FA" w:rsidP="00A43EBB">
      <w:pPr>
        <w:spacing w:after="0"/>
        <w:jc w:val="both"/>
        <w:rPr>
          <w:rFonts w:ascii="Calibri" w:hAnsi="Calibri" w:cs="Calibri"/>
          <w:sz w:val="22"/>
          <w:szCs w:val="22"/>
        </w:rPr>
      </w:pPr>
      <w:r w:rsidRPr="009431E9">
        <w:rPr>
          <w:rFonts w:ascii="Calibri" w:hAnsi="Calibri" w:cs="Calibri"/>
          <w:sz w:val="22"/>
          <w:szCs w:val="22"/>
        </w:rPr>
        <w:t xml:space="preserve">LCH SA </w:t>
      </w:r>
      <w:r w:rsidR="00A43EBB">
        <w:rPr>
          <w:rFonts w:ascii="Calibri" w:hAnsi="Calibri" w:cs="Calibri"/>
          <w:sz w:val="22"/>
          <w:szCs w:val="22"/>
        </w:rPr>
        <w:t xml:space="preserve">has </w:t>
      </w:r>
      <w:r w:rsidR="00A43EBB" w:rsidRPr="00BB5865">
        <w:rPr>
          <w:rFonts w:ascii="Calibri" w:hAnsi="Calibri" w:cs="Calibri"/>
          <w:sz w:val="22"/>
          <w:szCs w:val="22"/>
        </w:rPr>
        <w:t>revised</w:t>
      </w:r>
      <w:r w:rsidRPr="00BB5865">
        <w:rPr>
          <w:rFonts w:ascii="Calibri" w:eastAsia="Times New Roman" w:hAnsi="Calibri" w:cs="Calibri"/>
          <w:sz w:val="22"/>
          <w:szCs w:val="22"/>
          <w:lang w:val="en-US" w:eastAsia="fr-FR"/>
        </w:rPr>
        <w:t xml:space="preserve"> its Liquidity Risk Modelling Framework in order to</w:t>
      </w:r>
      <w:r w:rsidR="005525B6" w:rsidRPr="009431E9">
        <w:rPr>
          <w:rFonts w:ascii="Calibri" w:hAnsi="Calibri" w:cs="Calibri"/>
          <w:sz w:val="22"/>
          <w:szCs w:val="22"/>
        </w:rPr>
        <w:t xml:space="preserve"> (</w:t>
      </w:r>
      <w:proofErr w:type="spellStart"/>
      <w:r w:rsidR="005525B6" w:rsidRPr="009431E9">
        <w:rPr>
          <w:rFonts w:ascii="Calibri" w:hAnsi="Calibri" w:cs="Calibri"/>
          <w:sz w:val="22"/>
          <w:szCs w:val="22"/>
        </w:rPr>
        <w:t>i</w:t>
      </w:r>
      <w:proofErr w:type="spellEnd"/>
      <w:r w:rsidR="005525B6" w:rsidRPr="009431E9">
        <w:rPr>
          <w:rFonts w:ascii="Calibri" w:hAnsi="Calibri" w:cs="Calibri"/>
          <w:sz w:val="22"/>
          <w:szCs w:val="22"/>
        </w:rPr>
        <w:t xml:space="preserve">) identify the relevant central securities depository (“CSD”) through which transactions in the sovereign debt of the different jurisdictions may settle, (ii) describe the manner by which LCH SA injects liquidity into each settlement platform, in particular, </w:t>
      </w:r>
      <w:proofErr w:type="spellStart"/>
      <w:r w:rsidR="005525B6" w:rsidRPr="009431E9">
        <w:rPr>
          <w:rFonts w:ascii="Calibri" w:hAnsi="Calibri" w:cs="Calibri"/>
          <w:sz w:val="22"/>
          <w:szCs w:val="22"/>
        </w:rPr>
        <w:t>Euroclear</w:t>
      </w:r>
      <w:proofErr w:type="spellEnd"/>
      <w:r w:rsidR="005525B6" w:rsidRPr="009431E9">
        <w:rPr>
          <w:rFonts w:ascii="Calibri" w:hAnsi="Calibri" w:cs="Calibri"/>
          <w:sz w:val="22"/>
          <w:szCs w:val="22"/>
        </w:rPr>
        <w:t xml:space="preserve"> Bank and </w:t>
      </w:r>
      <w:proofErr w:type="spellStart"/>
      <w:r w:rsidR="005525B6" w:rsidRPr="009431E9">
        <w:rPr>
          <w:rFonts w:ascii="Calibri" w:hAnsi="Calibri" w:cs="Calibri"/>
          <w:sz w:val="22"/>
          <w:szCs w:val="22"/>
        </w:rPr>
        <w:t>Clearstream</w:t>
      </w:r>
      <w:proofErr w:type="spellEnd"/>
      <w:r w:rsidR="005525B6" w:rsidRPr="009431E9">
        <w:rPr>
          <w:rFonts w:ascii="Calibri" w:hAnsi="Calibri" w:cs="Calibri"/>
          <w:sz w:val="22"/>
          <w:szCs w:val="22"/>
        </w:rPr>
        <w:t xml:space="preserve"> Luxembourg and (iii) modify the limits by settlement platform </w:t>
      </w:r>
      <w:r w:rsidR="00AA1798">
        <w:rPr>
          <w:rFonts w:ascii="Calibri" w:hAnsi="Calibri" w:cs="Calibri"/>
          <w:sz w:val="22"/>
          <w:szCs w:val="22"/>
        </w:rPr>
        <w:t>based</w:t>
      </w:r>
      <w:r w:rsidR="00AA1798" w:rsidRPr="009431E9">
        <w:rPr>
          <w:rFonts w:ascii="Calibri" w:hAnsi="Calibri" w:cs="Calibri"/>
          <w:sz w:val="22"/>
          <w:szCs w:val="22"/>
        </w:rPr>
        <w:t xml:space="preserve"> </w:t>
      </w:r>
      <w:r w:rsidR="005525B6" w:rsidRPr="009431E9">
        <w:rPr>
          <w:rFonts w:ascii="Calibri" w:hAnsi="Calibri" w:cs="Calibri"/>
          <w:sz w:val="22"/>
          <w:szCs w:val="22"/>
        </w:rPr>
        <w:t>the main liquidity drivers (</w:t>
      </w:r>
      <w:r w:rsidR="005525B6" w:rsidRPr="009431E9">
        <w:rPr>
          <w:rFonts w:ascii="Calibri" w:hAnsi="Calibri" w:cs="Calibri"/>
          <w:i/>
          <w:sz w:val="22"/>
          <w:szCs w:val="22"/>
        </w:rPr>
        <w:t>i.e.</w:t>
      </w:r>
      <w:r w:rsidR="005525B6" w:rsidRPr="009431E9">
        <w:rPr>
          <w:rFonts w:ascii="Calibri" w:hAnsi="Calibri" w:cs="Calibri"/>
          <w:sz w:val="22"/>
          <w:szCs w:val="22"/>
        </w:rPr>
        <w:t>, cash injected into the platforms, auto-collateralization and gross fails).</w:t>
      </w:r>
    </w:p>
    <w:p w14:paraId="76017F66" w14:textId="28411ED2" w:rsidR="00AB1BD7" w:rsidRPr="009431E9" w:rsidRDefault="00AB1BD7" w:rsidP="0049498E">
      <w:pPr>
        <w:spacing w:after="0"/>
        <w:jc w:val="both"/>
        <w:rPr>
          <w:rFonts w:ascii="Calibri" w:hAnsi="Calibri" w:cs="Calibri"/>
          <w:sz w:val="22"/>
          <w:szCs w:val="22"/>
        </w:rPr>
      </w:pPr>
    </w:p>
    <w:p w14:paraId="51AB8EBF" w14:textId="4F5E7CC0" w:rsidR="00613C1F" w:rsidRPr="00AA1798" w:rsidRDefault="005525B6" w:rsidP="00CA2AD6">
      <w:pPr>
        <w:jc w:val="both"/>
        <w:rPr>
          <w:rFonts w:ascii="Calibri" w:hAnsi="Calibri" w:cs="Calibri"/>
          <w:sz w:val="22"/>
          <w:szCs w:val="22"/>
        </w:rPr>
      </w:pPr>
      <w:r w:rsidRPr="009431E9">
        <w:rPr>
          <w:rFonts w:ascii="Calibri" w:hAnsi="Calibri" w:cs="Calibri"/>
          <w:sz w:val="22"/>
          <w:szCs w:val="22"/>
        </w:rPr>
        <w:t>In parallel, t</w:t>
      </w:r>
      <w:r w:rsidR="00613C1F" w:rsidRPr="009431E9">
        <w:rPr>
          <w:rFonts w:ascii="Calibri" w:hAnsi="Calibri" w:cs="Calibri"/>
          <w:sz w:val="22"/>
          <w:szCs w:val="22"/>
        </w:rPr>
        <w:t xml:space="preserve">he </w:t>
      </w:r>
      <w:r w:rsidR="00FD7AF0">
        <w:rPr>
          <w:rFonts w:ascii="Calibri" w:hAnsi="Calibri" w:cs="Calibri"/>
          <w:sz w:val="22"/>
          <w:szCs w:val="22"/>
        </w:rPr>
        <w:t xml:space="preserve">objective </w:t>
      </w:r>
      <w:r w:rsidR="00613C1F" w:rsidRPr="009431E9">
        <w:rPr>
          <w:rFonts w:ascii="Calibri" w:hAnsi="Calibri" w:cs="Calibri"/>
          <w:sz w:val="22"/>
          <w:szCs w:val="22"/>
        </w:rPr>
        <w:t xml:space="preserve">of the proposed fee change is to </w:t>
      </w:r>
      <w:r w:rsidR="001C6F1A">
        <w:rPr>
          <w:rFonts w:ascii="Calibri" w:eastAsia="Times New Roman" w:hAnsi="Calibri" w:cs="Calibri"/>
          <w:sz w:val="22"/>
          <w:szCs w:val="22"/>
          <w:lang w:val="en-US" w:eastAsia="fr-FR"/>
        </w:rPr>
        <w:t>adapt</w:t>
      </w:r>
      <w:r w:rsidR="001C6F1A" w:rsidRPr="009431E9">
        <w:rPr>
          <w:rFonts w:ascii="Calibri" w:eastAsia="Times New Roman" w:hAnsi="Calibri" w:cs="Calibri"/>
          <w:sz w:val="22"/>
          <w:szCs w:val="22"/>
          <w:lang w:val="en-US" w:eastAsia="fr-FR"/>
        </w:rPr>
        <w:t xml:space="preserve"> </w:t>
      </w:r>
      <w:r w:rsidR="00613C1F" w:rsidRPr="009431E9">
        <w:rPr>
          <w:rFonts w:ascii="Calibri" w:eastAsia="Times New Roman" w:hAnsi="Calibri" w:cs="Calibri"/>
          <w:sz w:val="22"/>
          <w:szCs w:val="22"/>
          <w:lang w:val="en-US" w:eastAsia="fr-FR"/>
        </w:rPr>
        <w:t xml:space="preserve">the pricing of the different types of </w:t>
      </w:r>
      <w:r w:rsidR="00AA1798">
        <w:rPr>
          <w:rFonts w:ascii="Calibri" w:eastAsia="Times New Roman" w:hAnsi="Calibri" w:cs="Calibri"/>
          <w:sz w:val="22"/>
          <w:szCs w:val="22"/>
          <w:lang w:val="en-US" w:eastAsia="fr-FR"/>
        </w:rPr>
        <w:t>n</w:t>
      </w:r>
      <w:r w:rsidR="00613C1F" w:rsidRPr="009431E9">
        <w:rPr>
          <w:rFonts w:ascii="Calibri" w:eastAsia="Times New Roman" w:hAnsi="Calibri" w:cs="Calibri"/>
          <w:sz w:val="22"/>
          <w:szCs w:val="22"/>
          <w:lang w:val="en-US" w:eastAsia="fr-FR"/>
        </w:rPr>
        <w:t>on-cash collateral accepted by LCH SA</w:t>
      </w:r>
      <w:r w:rsidRPr="004D4973">
        <w:rPr>
          <w:rFonts w:ascii="Calibri" w:hAnsi="Calibri" w:cs="Calibri"/>
          <w:sz w:val="22"/>
          <w:szCs w:val="22"/>
        </w:rPr>
        <w:t>.</w:t>
      </w:r>
      <w:r w:rsidR="00BB5865">
        <w:rPr>
          <w:rFonts w:ascii="Calibri" w:hAnsi="Calibri" w:cs="Calibri"/>
          <w:sz w:val="22"/>
          <w:szCs w:val="22"/>
        </w:rPr>
        <w:t xml:space="preserve"> These changes will be applicable across all LCH SA business </w:t>
      </w:r>
      <w:r w:rsidR="00BB5865" w:rsidRPr="00AA1798">
        <w:rPr>
          <w:rFonts w:ascii="Calibri" w:hAnsi="Calibri" w:cs="Calibri"/>
          <w:sz w:val="22"/>
          <w:szCs w:val="22"/>
        </w:rPr>
        <w:t>lines</w:t>
      </w:r>
      <w:r w:rsidR="00BB5865" w:rsidRPr="00AA1798">
        <w:rPr>
          <w:rFonts w:cs="Arial"/>
          <w:color w:val="000000" w:themeColor="text1"/>
        </w:rPr>
        <w:t xml:space="preserve"> with the exception of CDSClear Client </w:t>
      </w:r>
      <w:r w:rsidR="004B1DFE" w:rsidRPr="00AA1798">
        <w:rPr>
          <w:rFonts w:cs="Arial"/>
          <w:color w:val="000000" w:themeColor="text1"/>
        </w:rPr>
        <w:t>fees that</w:t>
      </w:r>
      <w:r w:rsidR="00BB5865" w:rsidRPr="00AA1798">
        <w:rPr>
          <w:rFonts w:cs="Arial"/>
          <w:color w:val="000000" w:themeColor="text1"/>
        </w:rPr>
        <w:t xml:space="preserve"> will remain different to House </w:t>
      </w:r>
      <w:r w:rsidR="004B1DFE" w:rsidRPr="00AA1798">
        <w:rPr>
          <w:rFonts w:cs="Arial"/>
          <w:color w:val="000000" w:themeColor="text1"/>
        </w:rPr>
        <w:t xml:space="preserve">activity </w:t>
      </w:r>
      <w:r w:rsidR="00BB5865" w:rsidRPr="00AA1798">
        <w:rPr>
          <w:rFonts w:cs="Arial"/>
          <w:color w:val="000000" w:themeColor="text1"/>
        </w:rPr>
        <w:t>and at their current level for all securities.</w:t>
      </w:r>
      <w:r w:rsidR="00BB5865" w:rsidRPr="00AA1798">
        <w:rPr>
          <w:rFonts w:ascii="Calibri" w:hAnsi="Calibri" w:cs="Calibri"/>
          <w:sz w:val="22"/>
          <w:szCs w:val="22"/>
        </w:rPr>
        <w:t xml:space="preserve">  </w:t>
      </w:r>
    </w:p>
    <w:p w14:paraId="7DCAA747" w14:textId="58BB780B" w:rsidR="00613C1F" w:rsidRPr="009431E9" w:rsidRDefault="00CA2AD6" w:rsidP="00CA2AD6">
      <w:pPr>
        <w:jc w:val="both"/>
        <w:rPr>
          <w:rFonts w:ascii="Calibri" w:hAnsi="Calibri" w:cs="Calibri"/>
          <w:sz w:val="22"/>
          <w:szCs w:val="22"/>
        </w:rPr>
      </w:pPr>
      <w:r w:rsidRPr="00AA1798">
        <w:rPr>
          <w:rFonts w:ascii="Calibri" w:hAnsi="Calibri" w:cs="Calibri"/>
          <w:sz w:val="22"/>
          <w:szCs w:val="22"/>
        </w:rPr>
        <w:t xml:space="preserve">As specified in Appendix A, </w:t>
      </w:r>
      <w:r w:rsidR="00613C1F" w:rsidRPr="00AA1798">
        <w:rPr>
          <w:rFonts w:ascii="Calibri" w:hAnsi="Calibri" w:cs="Calibri"/>
          <w:sz w:val="22"/>
          <w:szCs w:val="22"/>
        </w:rPr>
        <w:t>t</w:t>
      </w:r>
      <w:r w:rsidR="00613C1F" w:rsidRPr="00AA1798">
        <w:rPr>
          <w:rFonts w:ascii="Calibri" w:hAnsi="Calibri" w:cs="Calibri"/>
          <w:color w:val="000000"/>
          <w:sz w:val="22"/>
          <w:szCs w:val="22"/>
        </w:rPr>
        <w:t>he proposed</w:t>
      </w:r>
      <w:r w:rsidR="00613C1F" w:rsidRPr="009431E9">
        <w:rPr>
          <w:rFonts w:ascii="Calibri" w:hAnsi="Calibri" w:cs="Calibri"/>
          <w:color w:val="000000"/>
          <w:sz w:val="22"/>
          <w:szCs w:val="22"/>
        </w:rPr>
        <w:t xml:space="preserve"> fee change is </w:t>
      </w:r>
      <w:r w:rsidR="00613C1F" w:rsidRPr="009431E9">
        <w:rPr>
          <w:rFonts w:ascii="Calibri" w:hAnsi="Calibri" w:cs="Calibri"/>
          <w:sz w:val="22"/>
          <w:szCs w:val="22"/>
        </w:rPr>
        <w:t xml:space="preserve">for </w:t>
      </w:r>
      <w:r w:rsidR="00AA1798">
        <w:rPr>
          <w:rFonts w:ascii="Calibri" w:hAnsi="Calibri" w:cs="Calibri"/>
          <w:sz w:val="22"/>
          <w:szCs w:val="22"/>
        </w:rPr>
        <w:t>CDSClear (House</w:t>
      </w:r>
      <w:r w:rsidR="008F39AF">
        <w:rPr>
          <w:rFonts w:ascii="Calibri" w:hAnsi="Calibri" w:cs="Calibri"/>
          <w:sz w:val="22"/>
          <w:szCs w:val="22"/>
        </w:rPr>
        <w:t xml:space="preserve"> activities</w:t>
      </w:r>
      <w:r w:rsidR="00AA1798">
        <w:rPr>
          <w:rFonts w:ascii="Calibri" w:hAnsi="Calibri" w:cs="Calibri"/>
          <w:sz w:val="22"/>
          <w:szCs w:val="22"/>
        </w:rPr>
        <w:t>)</w:t>
      </w:r>
      <w:r w:rsidR="00AE3C7A" w:rsidRPr="009431E9">
        <w:rPr>
          <w:rFonts w:ascii="Calibri" w:hAnsi="Calibri" w:cs="Calibri"/>
          <w:sz w:val="22"/>
          <w:szCs w:val="22"/>
        </w:rPr>
        <w:t>:</w:t>
      </w:r>
    </w:p>
    <w:p w14:paraId="4772FC77" w14:textId="77777777" w:rsidR="00B21C63" w:rsidRPr="00B21C63" w:rsidRDefault="00B21C63" w:rsidP="00347D8A">
      <w:pPr>
        <w:pStyle w:val="Paragraphedeliste"/>
        <w:numPr>
          <w:ilvl w:val="0"/>
          <w:numId w:val="8"/>
        </w:numPr>
        <w:jc w:val="both"/>
        <w:rPr>
          <w:rFonts w:ascii="Calibri" w:hAnsi="Calibri" w:cs="Calibri"/>
          <w:sz w:val="22"/>
          <w:szCs w:val="22"/>
          <w:lang w:val="en-US"/>
        </w:rPr>
      </w:pPr>
      <w:r w:rsidRPr="009431E9">
        <w:rPr>
          <w:rFonts w:ascii="Calibri" w:eastAsia="MS PGothic" w:hAnsi="Calibri" w:cs="Calibri"/>
          <w:color w:val="000000"/>
          <w:kern w:val="24"/>
          <w:sz w:val="22"/>
          <w:szCs w:val="22"/>
          <w:lang w:val="en-US"/>
        </w:rPr>
        <w:t xml:space="preserve">to increase the fee rate from 10 bps to </w:t>
      </w:r>
      <w:r>
        <w:rPr>
          <w:rFonts w:ascii="Calibri" w:eastAsia="MS PGothic" w:hAnsi="Calibri" w:cs="Calibri"/>
          <w:color w:val="000000"/>
          <w:kern w:val="24"/>
          <w:sz w:val="22"/>
          <w:szCs w:val="22"/>
          <w:lang w:val="en-US"/>
        </w:rPr>
        <w:t xml:space="preserve">11 </w:t>
      </w:r>
      <w:r w:rsidRPr="009431E9">
        <w:rPr>
          <w:rFonts w:ascii="Calibri" w:eastAsia="MS PGothic" w:hAnsi="Calibri" w:cs="Calibri"/>
          <w:color w:val="000000"/>
          <w:kern w:val="24"/>
          <w:sz w:val="22"/>
          <w:szCs w:val="22"/>
          <w:lang w:val="en-US"/>
        </w:rPr>
        <w:t>bps for Gov</w:t>
      </w:r>
      <w:r>
        <w:rPr>
          <w:rFonts w:ascii="Calibri" w:eastAsia="MS PGothic" w:hAnsi="Calibri" w:cs="Calibri"/>
          <w:color w:val="000000"/>
          <w:kern w:val="24"/>
          <w:sz w:val="22"/>
          <w:szCs w:val="22"/>
          <w:lang w:val="en-US"/>
        </w:rPr>
        <w:t>ernment issued bonds</w:t>
      </w:r>
    </w:p>
    <w:p w14:paraId="4D2F106C" w14:textId="77777777" w:rsidR="00B21C63" w:rsidRPr="00B21C63" w:rsidRDefault="00B21C63" w:rsidP="00347D8A">
      <w:pPr>
        <w:pStyle w:val="Paragraphedeliste"/>
        <w:numPr>
          <w:ilvl w:val="0"/>
          <w:numId w:val="8"/>
        </w:numPr>
        <w:jc w:val="both"/>
        <w:rPr>
          <w:rFonts w:ascii="Calibri" w:hAnsi="Calibri" w:cs="Calibri"/>
          <w:sz w:val="22"/>
          <w:szCs w:val="22"/>
          <w:lang w:val="en-US"/>
        </w:rPr>
      </w:pPr>
      <w:r w:rsidRPr="009431E9">
        <w:rPr>
          <w:rFonts w:ascii="Calibri" w:eastAsia="MS PGothic" w:hAnsi="Calibri" w:cs="Calibri"/>
          <w:color w:val="000000"/>
          <w:kern w:val="24"/>
          <w:sz w:val="22"/>
          <w:szCs w:val="22"/>
          <w:lang w:val="en-US"/>
        </w:rPr>
        <w:t>to introduce a fee rate at 13 bps for Supra</w:t>
      </w:r>
      <w:r>
        <w:rPr>
          <w:rFonts w:ascii="Calibri" w:eastAsia="MS PGothic" w:hAnsi="Calibri" w:cs="Calibri"/>
          <w:color w:val="000000"/>
          <w:kern w:val="24"/>
          <w:sz w:val="22"/>
          <w:szCs w:val="22"/>
          <w:lang w:val="en-US"/>
        </w:rPr>
        <w:t>national issued bonds</w:t>
      </w:r>
    </w:p>
    <w:p w14:paraId="5DF786AA" w14:textId="4212010C" w:rsidR="00613C1F" w:rsidRPr="009431E9" w:rsidRDefault="00613C1F" w:rsidP="00347D8A">
      <w:pPr>
        <w:pStyle w:val="Paragraphedeliste"/>
        <w:numPr>
          <w:ilvl w:val="0"/>
          <w:numId w:val="8"/>
        </w:numPr>
        <w:jc w:val="both"/>
        <w:rPr>
          <w:rFonts w:ascii="Calibri" w:hAnsi="Calibri" w:cs="Calibri"/>
          <w:sz w:val="22"/>
          <w:szCs w:val="22"/>
          <w:lang w:val="en-US"/>
        </w:rPr>
      </w:pPr>
      <w:r w:rsidRPr="009431E9">
        <w:rPr>
          <w:rFonts w:ascii="Calibri" w:hAnsi="Calibri" w:cs="Calibri"/>
          <w:sz w:val="22"/>
          <w:szCs w:val="22"/>
          <w:lang w:val="en-US"/>
        </w:rPr>
        <w:t xml:space="preserve">to increase the </w:t>
      </w:r>
      <w:r w:rsidR="00AC51EF" w:rsidRPr="009431E9">
        <w:rPr>
          <w:rFonts w:ascii="Calibri" w:eastAsia="MS PGothic" w:hAnsi="Calibri" w:cs="Calibri"/>
          <w:color w:val="000000"/>
          <w:kern w:val="24"/>
          <w:sz w:val="22"/>
          <w:szCs w:val="22"/>
          <w:lang w:val="en-US"/>
        </w:rPr>
        <w:t>fee rate from 10bps to 13bps</w:t>
      </w:r>
      <w:r w:rsidRPr="009431E9">
        <w:rPr>
          <w:rFonts w:ascii="Calibri" w:hAnsi="Calibri" w:cs="Calibri"/>
          <w:sz w:val="22"/>
          <w:szCs w:val="22"/>
          <w:lang w:val="en-US"/>
        </w:rPr>
        <w:t xml:space="preserve"> for </w:t>
      </w:r>
      <w:r w:rsidR="00AC51EF" w:rsidRPr="009431E9">
        <w:rPr>
          <w:rFonts w:ascii="Calibri" w:eastAsia="MS PGothic" w:hAnsi="Calibri" w:cs="Calibri"/>
          <w:color w:val="000000"/>
          <w:kern w:val="24"/>
          <w:sz w:val="22"/>
          <w:szCs w:val="22"/>
          <w:lang w:val="en-US"/>
        </w:rPr>
        <w:t>Agenc</w:t>
      </w:r>
      <w:r w:rsidR="00AA1798">
        <w:rPr>
          <w:rFonts w:ascii="Calibri" w:eastAsia="MS PGothic" w:hAnsi="Calibri" w:cs="Calibri"/>
          <w:color w:val="000000"/>
          <w:kern w:val="24"/>
          <w:sz w:val="22"/>
          <w:szCs w:val="22"/>
          <w:lang w:val="en-US"/>
        </w:rPr>
        <w:t>y issued bonds</w:t>
      </w:r>
      <w:r w:rsidR="00AC51EF" w:rsidRPr="009431E9">
        <w:rPr>
          <w:rFonts w:ascii="Calibri" w:eastAsia="MS PGothic" w:hAnsi="Calibri" w:cs="Calibri"/>
          <w:color w:val="000000"/>
          <w:kern w:val="24"/>
          <w:sz w:val="22"/>
          <w:szCs w:val="22"/>
          <w:lang w:val="en-US"/>
        </w:rPr>
        <w:t xml:space="preserve"> </w:t>
      </w:r>
    </w:p>
    <w:p w14:paraId="20AA7566" w14:textId="3F2C8199" w:rsidR="00613C1F" w:rsidRPr="009431E9" w:rsidRDefault="00613C1F" w:rsidP="00347D8A">
      <w:pPr>
        <w:pStyle w:val="Paragraphedeliste"/>
        <w:numPr>
          <w:ilvl w:val="0"/>
          <w:numId w:val="8"/>
        </w:numPr>
        <w:jc w:val="both"/>
        <w:rPr>
          <w:rFonts w:ascii="Calibri" w:hAnsi="Calibri" w:cs="Calibri"/>
          <w:sz w:val="22"/>
          <w:szCs w:val="22"/>
          <w:lang w:val="en-US"/>
        </w:rPr>
      </w:pPr>
      <w:r w:rsidRPr="009431E9">
        <w:rPr>
          <w:rFonts w:ascii="Calibri" w:eastAsia="MS PGothic" w:hAnsi="Calibri" w:cs="Calibri"/>
          <w:color w:val="000000"/>
          <w:kern w:val="24"/>
          <w:sz w:val="22"/>
          <w:szCs w:val="22"/>
          <w:lang w:val="en-US"/>
        </w:rPr>
        <w:t xml:space="preserve">to </w:t>
      </w:r>
      <w:r w:rsidR="00AA1798" w:rsidRPr="009431E9">
        <w:rPr>
          <w:rFonts w:ascii="Calibri" w:eastAsia="MS PGothic" w:hAnsi="Calibri" w:cs="Calibri"/>
          <w:color w:val="000000"/>
          <w:kern w:val="24"/>
          <w:sz w:val="22"/>
          <w:szCs w:val="22"/>
          <w:lang w:val="en-US"/>
        </w:rPr>
        <w:t>in</w:t>
      </w:r>
      <w:r w:rsidR="00AA1798">
        <w:rPr>
          <w:rFonts w:ascii="Calibri" w:eastAsia="MS PGothic" w:hAnsi="Calibri" w:cs="Calibri"/>
          <w:color w:val="000000"/>
          <w:kern w:val="24"/>
          <w:sz w:val="22"/>
          <w:szCs w:val="22"/>
          <w:lang w:val="en-US"/>
        </w:rPr>
        <w:t>crease the</w:t>
      </w:r>
      <w:r w:rsidRPr="009431E9">
        <w:rPr>
          <w:rFonts w:ascii="Calibri" w:eastAsia="MS PGothic" w:hAnsi="Calibri" w:cs="Calibri"/>
          <w:color w:val="000000"/>
          <w:kern w:val="24"/>
          <w:sz w:val="22"/>
          <w:szCs w:val="22"/>
          <w:lang w:val="en-US"/>
        </w:rPr>
        <w:t xml:space="preserve"> fee rate </w:t>
      </w:r>
      <w:r w:rsidR="00AA1798">
        <w:rPr>
          <w:rFonts w:ascii="Calibri" w:eastAsia="MS PGothic" w:hAnsi="Calibri" w:cs="Calibri"/>
          <w:color w:val="000000"/>
          <w:kern w:val="24"/>
          <w:sz w:val="22"/>
          <w:szCs w:val="22"/>
          <w:lang w:val="en-US"/>
        </w:rPr>
        <w:t>to</w:t>
      </w:r>
      <w:r w:rsidR="00AA1798" w:rsidRPr="009431E9">
        <w:rPr>
          <w:rFonts w:ascii="Calibri" w:eastAsia="MS PGothic" w:hAnsi="Calibri" w:cs="Calibri"/>
          <w:color w:val="000000"/>
          <w:kern w:val="24"/>
          <w:sz w:val="22"/>
          <w:szCs w:val="22"/>
          <w:lang w:val="en-US"/>
        </w:rPr>
        <w:t xml:space="preserve"> </w:t>
      </w:r>
      <w:r w:rsidRPr="009431E9">
        <w:rPr>
          <w:rFonts w:ascii="Calibri" w:eastAsia="MS PGothic" w:hAnsi="Calibri" w:cs="Calibri"/>
          <w:color w:val="000000"/>
          <w:kern w:val="24"/>
          <w:sz w:val="22"/>
          <w:szCs w:val="22"/>
          <w:lang w:val="en-US"/>
        </w:rPr>
        <w:t xml:space="preserve">15bps </w:t>
      </w:r>
      <w:r w:rsidR="005525B6" w:rsidRPr="009431E9">
        <w:rPr>
          <w:rFonts w:ascii="Calibri" w:eastAsia="MS PGothic" w:hAnsi="Calibri" w:cs="Calibri"/>
          <w:color w:val="000000"/>
          <w:kern w:val="24"/>
          <w:sz w:val="22"/>
          <w:szCs w:val="22"/>
          <w:lang w:val="en-US"/>
        </w:rPr>
        <w:t>for pledge</w:t>
      </w:r>
      <w:r w:rsidR="00AA3F36">
        <w:rPr>
          <w:rFonts w:ascii="Calibri" w:eastAsia="MS PGothic" w:hAnsi="Calibri" w:cs="Calibri"/>
          <w:color w:val="000000"/>
          <w:kern w:val="24"/>
          <w:sz w:val="22"/>
          <w:szCs w:val="22"/>
          <w:lang w:val="en-US"/>
        </w:rPr>
        <w:t>d</w:t>
      </w:r>
      <w:r w:rsidR="00AA1798">
        <w:rPr>
          <w:rFonts w:ascii="Calibri" w:eastAsia="MS PGothic" w:hAnsi="Calibri" w:cs="Calibri"/>
          <w:color w:val="000000"/>
          <w:kern w:val="24"/>
          <w:sz w:val="22"/>
          <w:szCs w:val="22"/>
          <w:lang w:val="en-US"/>
        </w:rPr>
        <w:t xml:space="preserve"> securities</w:t>
      </w:r>
    </w:p>
    <w:p w14:paraId="77E20AAE" w14:textId="3E39C687" w:rsidR="00AC51EF" w:rsidRPr="009431E9" w:rsidRDefault="00AC51EF" w:rsidP="00562BED">
      <w:pPr>
        <w:spacing w:after="0"/>
        <w:rPr>
          <w:rFonts w:ascii="Calibri" w:hAnsi="Calibri" w:cs="Calibri"/>
          <w:sz w:val="22"/>
          <w:szCs w:val="22"/>
        </w:rPr>
      </w:pPr>
    </w:p>
    <w:p w14:paraId="69190CE1" w14:textId="0F059E19" w:rsidR="00AA1798" w:rsidRPr="00AA1798" w:rsidRDefault="00AA1798" w:rsidP="008F39AF">
      <w:pPr>
        <w:keepNext/>
        <w:rPr>
          <w:rFonts w:ascii="Calibri" w:hAnsi="Calibri" w:cs="Calibri"/>
          <w:sz w:val="22"/>
          <w:szCs w:val="22"/>
          <w:lang w:val="en-US" w:eastAsia="en-GB"/>
        </w:rPr>
      </w:pPr>
      <w:r w:rsidRPr="00AA1798">
        <w:rPr>
          <w:rFonts w:ascii="Calibri" w:hAnsi="Calibri" w:cs="Calibri"/>
          <w:sz w:val="22"/>
          <w:szCs w:val="22"/>
          <w:lang w:val="en-US" w:eastAsia="en-GB"/>
        </w:rPr>
        <w:t>Supranational issued bonds will be charged at 10 bps</w:t>
      </w:r>
      <w:r w:rsidR="00AA3F36">
        <w:rPr>
          <w:rFonts w:ascii="Calibri" w:hAnsi="Calibri" w:cs="Calibri"/>
          <w:sz w:val="22"/>
          <w:szCs w:val="22"/>
          <w:lang w:val="en-US" w:eastAsia="en-GB"/>
        </w:rPr>
        <w:t xml:space="preserve"> for CDSClear Clients</w:t>
      </w:r>
      <w:r w:rsidRPr="00AA1798">
        <w:rPr>
          <w:rFonts w:ascii="Calibri" w:hAnsi="Calibri" w:cs="Calibri"/>
          <w:sz w:val="22"/>
          <w:szCs w:val="22"/>
          <w:lang w:val="en-US" w:eastAsia="en-GB"/>
        </w:rPr>
        <w:t>.</w:t>
      </w:r>
    </w:p>
    <w:p w14:paraId="2B6D3B81" w14:textId="05F6D369" w:rsidR="00171883" w:rsidRPr="00FC7179" w:rsidRDefault="00E64C6A">
      <w:pPr>
        <w:keepNext/>
        <w:spacing w:after="0"/>
        <w:rPr>
          <w:rFonts w:ascii="Calibri" w:hAnsi="Calibri" w:cs="Calibri"/>
          <w:b/>
          <w:sz w:val="22"/>
          <w:szCs w:val="22"/>
          <w:u w:val="single"/>
          <w:lang w:val="en-US" w:eastAsia="en-GB"/>
        </w:rPr>
      </w:pPr>
      <w:r w:rsidRPr="00FC7179">
        <w:rPr>
          <w:rFonts w:ascii="Calibri" w:hAnsi="Calibri" w:cs="Calibri"/>
          <w:b/>
          <w:sz w:val="22"/>
          <w:szCs w:val="22"/>
          <w:u w:val="single"/>
          <w:lang w:val="en-US" w:eastAsia="en-GB"/>
        </w:rPr>
        <w:t>Part III:  Core Principle Compliance</w:t>
      </w:r>
    </w:p>
    <w:p w14:paraId="189093AA" w14:textId="77777777" w:rsidR="00DC39BE" w:rsidRPr="00FC7179" w:rsidRDefault="00DC39BE">
      <w:pPr>
        <w:keepNext/>
        <w:spacing w:after="0" w:line="240" w:lineRule="auto"/>
        <w:jc w:val="both"/>
        <w:rPr>
          <w:rFonts w:ascii="Calibri" w:hAnsi="Calibri" w:cs="Calibri"/>
          <w:sz w:val="22"/>
          <w:szCs w:val="22"/>
          <w:lang w:val="en-US"/>
        </w:rPr>
      </w:pPr>
    </w:p>
    <w:p w14:paraId="583ED5DA" w14:textId="0F929D04" w:rsidR="00E05EE8" w:rsidRPr="009431E9" w:rsidRDefault="00E64C6A" w:rsidP="008F39AF">
      <w:pPr>
        <w:keepNext/>
        <w:spacing w:line="240" w:lineRule="auto"/>
        <w:jc w:val="both"/>
        <w:rPr>
          <w:rFonts w:ascii="Calibri" w:hAnsi="Calibri" w:cs="Calibri"/>
          <w:sz w:val="22"/>
          <w:szCs w:val="22"/>
        </w:rPr>
      </w:pPr>
      <w:r w:rsidRPr="009431E9">
        <w:rPr>
          <w:rFonts w:ascii="Calibri" w:hAnsi="Calibri" w:cs="Calibri"/>
          <w:sz w:val="22"/>
          <w:szCs w:val="22"/>
        </w:rPr>
        <w:t xml:space="preserve">LCH </w:t>
      </w:r>
      <w:r w:rsidR="00E51CCF" w:rsidRPr="009431E9">
        <w:rPr>
          <w:rFonts w:ascii="Calibri" w:hAnsi="Calibri" w:cs="Calibri"/>
          <w:sz w:val="22"/>
          <w:szCs w:val="22"/>
        </w:rPr>
        <w:t xml:space="preserve">SA </w:t>
      </w:r>
      <w:r w:rsidRPr="009431E9">
        <w:rPr>
          <w:rFonts w:ascii="Calibri" w:hAnsi="Calibri" w:cs="Calibri"/>
          <w:sz w:val="22"/>
          <w:szCs w:val="22"/>
        </w:rPr>
        <w:t>will continue to comply with all Core Principles following the introduction of this change and has concluded that its compliance with the Core Principles would not be adversely affected by this change.</w:t>
      </w:r>
    </w:p>
    <w:p w14:paraId="6A3471E4" w14:textId="0C3F5E7E" w:rsidR="007F0243" w:rsidRPr="009431E9" w:rsidRDefault="00E64C6A" w:rsidP="007F0243">
      <w:pPr>
        <w:spacing w:after="0" w:line="240" w:lineRule="auto"/>
        <w:jc w:val="both"/>
        <w:rPr>
          <w:rFonts w:ascii="Calibri" w:hAnsi="Calibri" w:cs="Calibri"/>
          <w:b/>
          <w:sz w:val="22"/>
          <w:szCs w:val="22"/>
          <w:u w:val="single"/>
        </w:rPr>
      </w:pPr>
      <w:r w:rsidRPr="009431E9">
        <w:rPr>
          <w:rFonts w:ascii="Calibri" w:hAnsi="Calibri" w:cs="Calibri"/>
          <w:b/>
          <w:sz w:val="22"/>
          <w:szCs w:val="22"/>
          <w:u w:val="single"/>
        </w:rPr>
        <w:t>Part IV:  Public Information</w:t>
      </w:r>
    </w:p>
    <w:p w14:paraId="7618C4C3" w14:textId="144E96CC" w:rsidR="007F0243" w:rsidRPr="009431E9" w:rsidRDefault="007F0243" w:rsidP="007F0243">
      <w:pPr>
        <w:spacing w:after="0" w:line="240" w:lineRule="auto"/>
        <w:jc w:val="both"/>
        <w:rPr>
          <w:rFonts w:ascii="Calibri" w:hAnsi="Calibri" w:cs="Calibri"/>
          <w:b/>
          <w:sz w:val="22"/>
          <w:szCs w:val="22"/>
          <w:u w:val="single"/>
        </w:rPr>
      </w:pPr>
    </w:p>
    <w:p w14:paraId="7CA074E5" w14:textId="0A034053" w:rsidR="00AA4B33" w:rsidRPr="009431E9" w:rsidRDefault="007F0243" w:rsidP="007F0243">
      <w:pPr>
        <w:spacing w:after="0" w:line="240" w:lineRule="auto"/>
        <w:jc w:val="both"/>
        <w:rPr>
          <w:rStyle w:val="Lienhypertexte"/>
          <w:rFonts w:ascii="Calibri" w:hAnsi="Calibri" w:cs="Calibri"/>
          <w:color w:val="auto"/>
          <w:sz w:val="22"/>
          <w:szCs w:val="22"/>
        </w:rPr>
      </w:pPr>
      <w:r w:rsidRPr="009431E9">
        <w:rPr>
          <w:rFonts w:ascii="Calibri" w:hAnsi="Calibri" w:cs="Calibri"/>
          <w:sz w:val="22"/>
          <w:szCs w:val="22"/>
        </w:rPr>
        <w:t>LCH SA has posted a notice of pending certifications with the CFTC and a copy of the submission on LCH’s website at:</w:t>
      </w:r>
      <w:r w:rsidR="00AA4B33" w:rsidRPr="009431E9">
        <w:rPr>
          <w:rFonts w:ascii="Calibri" w:hAnsi="Calibri" w:cs="Calibri"/>
          <w:sz w:val="22"/>
          <w:szCs w:val="22"/>
        </w:rPr>
        <w:t xml:space="preserve"> </w:t>
      </w:r>
      <w:hyperlink r:id="rId8" w:history="1">
        <w:r w:rsidRPr="009431E9">
          <w:rPr>
            <w:rStyle w:val="Lienhypertexte"/>
            <w:rFonts w:ascii="Calibri" w:hAnsi="Calibri" w:cs="Calibri"/>
            <w:color w:val="auto"/>
            <w:sz w:val="22"/>
            <w:szCs w:val="22"/>
          </w:rPr>
          <w:t>http://www.lch.com/rules-regulations/proposed-rules-changes</w:t>
        </w:r>
      </w:hyperlink>
    </w:p>
    <w:p w14:paraId="39C75F82" w14:textId="116C5EE7" w:rsidR="00AE3C7A" w:rsidRDefault="00AE3C7A" w:rsidP="007F0243">
      <w:pPr>
        <w:spacing w:after="0" w:line="240" w:lineRule="auto"/>
        <w:jc w:val="both"/>
        <w:rPr>
          <w:rStyle w:val="Lienhypertexte"/>
          <w:rFonts w:ascii="Calibri" w:hAnsi="Calibri" w:cs="Calibri"/>
          <w:color w:val="auto"/>
          <w:sz w:val="22"/>
          <w:szCs w:val="22"/>
        </w:rPr>
      </w:pPr>
    </w:p>
    <w:p w14:paraId="05818C4D" w14:textId="77777777" w:rsidR="0049498E" w:rsidRPr="009431E9" w:rsidRDefault="0049498E" w:rsidP="007F0243">
      <w:pPr>
        <w:spacing w:after="0" w:line="240" w:lineRule="auto"/>
        <w:jc w:val="both"/>
        <w:rPr>
          <w:rStyle w:val="Lienhypertexte"/>
          <w:rFonts w:ascii="Calibri" w:hAnsi="Calibri" w:cs="Calibri"/>
          <w:color w:val="auto"/>
          <w:sz w:val="22"/>
          <w:szCs w:val="22"/>
        </w:rPr>
      </w:pPr>
    </w:p>
    <w:p w14:paraId="6F639CC0" w14:textId="77777777" w:rsidR="00D57781" w:rsidRPr="009431E9" w:rsidRDefault="00E64C6A" w:rsidP="00CC24E3">
      <w:pPr>
        <w:spacing w:after="0" w:line="240" w:lineRule="auto"/>
        <w:rPr>
          <w:rFonts w:ascii="Calibri" w:hAnsi="Calibri" w:cs="Calibri"/>
          <w:b/>
          <w:sz w:val="22"/>
          <w:szCs w:val="22"/>
          <w:u w:val="single"/>
        </w:rPr>
      </w:pPr>
      <w:r w:rsidRPr="009431E9">
        <w:rPr>
          <w:rFonts w:ascii="Calibri" w:hAnsi="Calibri" w:cs="Calibri"/>
          <w:b/>
          <w:sz w:val="22"/>
          <w:szCs w:val="22"/>
          <w:u w:val="single"/>
        </w:rPr>
        <w:lastRenderedPageBreak/>
        <w:t>Part V:  Opposing Views</w:t>
      </w:r>
    </w:p>
    <w:p w14:paraId="5B817194" w14:textId="77777777" w:rsidR="00D57781" w:rsidRPr="009431E9" w:rsidRDefault="00D57781" w:rsidP="00D57781">
      <w:pPr>
        <w:spacing w:after="0" w:line="240" w:lineRule="auto"/>
        <w:rPr>
          <w:rFonts w:ascii="Calibri" w:hAnsi="Calibri" w:cs="Calibri"/>
          <w:b/>
          <w:sz w:val="22"/>
          <w:szCs w:val="22"/>
        </w:rPr>
      </w:pPr>
    </w:p>
    <w:p w14:paraId="0FEF101D" w14:textId="77777777" w:rsidR="00B933A1" w:rsidRPr="009431E9" w:rsidRDefault="00E64C6A" w:rsidP="008F39AF">
      <w:pPr>
        <w:spacing w:line="240" w:lineRule="auto"/>
        <w:jc w:val="both"/>
        <w:rPr>
          <w:rFonts w:ascii="Calibri" w:hAnsi="Calibri" w:cs="Calibri"/>
          <w:sz w:val="22"/>
          <w:szCs w:val="22"/>
        </w:rPr>
      </w:pPr>
      <w:r w:rsidRPr="009431E9">
        <w:rPr>
          <w:rFonts w:ascii="Calibri" w:hAnsi="Calibri" w:cs="Calibri"/>
          <w:sz w:val="22"/>
          <w:szCs w:val="22"/>
        </w:rPr>
        <w:t>There were no opposing views expressed to LCH</w:t>
      </w:r>
      <w:r w:rsidR="00E51CCF" w:rsidRPr="009431E9">
        <w:rPr>
          <w:rFonts w:ascii="Calibri" w:hAnsi="Calibri" w:cs="Calibri"/>
          <w:sz w:val="22"/>
          <w:szCs w:val="22"/>
        </w:rPr>
        <w:t xml:space="preserve"> SA</w:t>
      </w:r>
      <w:r w:rsidRPr="009431E9">
        <w:rPr>
          <w:rFonts w:ascii="Calibri" w:hAnsi="Calibri" w:cs="Calibri"/>
          <w:sz w:val="22"/>
          <w:szCs w:val="22"/>
        </w:rPr>
        <w:t xml:space="preserve"> by governing board or committee members, members of LCH </w:t>
      </w:r>
      <w:r w:rsidR="00E51CCF" w:rsidRPr="009431E9">
        <w:rPr>
          <w:rFonts w:ascii="Calibri" w:hAnsi="Calibri" w:cs="Calibri"/>
          <w:sz w:val="22"/>
          <w:szCs w:val="22"/>
        </w:rPr>
        <w:t xml:space="preserve">SA </w:t>
      </w:r>
      <w:r w:rsidRPr="009431E9">
        <w:rPr>
          <w:rFonts w:ascii="Calibri" w:hAnsi="Calibri" w:cs="Calibri"/>
          <w:sz w:val="22"/>
          <w:szCs w:val="22"/>
        </w:rPr>
        <w:t>that were not incorporated into the rule.</w:t>
      </w:r>
    </w:p>
    <w:p w14:paraId="67CFEE76" w14:textId="77777777" w:rsidR="00D57781" w:rsidRPr="009431E9" w:rsidRDefault="00E64C6A" w:rsidP="00CC24E3">
      <w:pPr>
        <w:spacing w:after="0" w:line="240" w:lineRule="auto"/>
        <w:rPr>
          <w:rFonts w:ascii="Calibri" w:hAnsi="Calibri" w:cs="Calibri"/>
          <w:sz w:val="22"/>
          <w:szCs w:val="22"/>
          <w:u w:val="single"/>
        </w:rPr>
      </w:pPr>
      <w:r w:rsidRPr="009431E9">
        <w:rPr>
          <w:rFonts w:ascii="Calibri" w:hAnsi="Calibri" w:cs="Calibri"/>
          <w:b/>
          <w:sz w:val="22"/>
          <w:szCs w:val="22"/>
          <w:u w:val="single"/>
        </w:rPr>
        <w:t>Certification</w:t>
      </w:r>
    </w:p>
    <w:p w14:paraId="2EFC041A" w14:textId="77777777" w:rsidR="00D57781" w:rsidRPr="009431E9" w:rsidRDefault="00D57781" w:rsidP="00D57781">
      <w:pPr>
        <w:spacing w:after="0" w:line="240" w:lineRule="auto"/>
        <w:rPr>
          <w:rFonts w:ascii="Calibri" w:hAnsi="Calibri" w:cs="Calibri"/>
          <w:sz w:val="22"/>
          <w:szCs w:val="22"/>
        </w:rPr>
      </w:pPr>
    </w:p>
    <w:p w14:paraId="15362E1E" w14:textId="089C61B4" w:rsidR="00D57781" w:rsidRPr="009431E9" w:rsidRDefault="00E64C6A" w:rsidP="00336561">
      <w:pPr>
        <w:spacing w:after="0" w:line="240" w:lineRule="auto"/>
        <w:jc w:val="both"/>
        <w:rPr>
          <w:rFonts w:ascii="Calibri" w:hAnsi="Calibri" w:cs="Calibri"/>
          <w:sz w:val="22"/>
          <w:szCs w:val="22"/>
          <w:highlight w:val="green"/>
        </w:rPr>
      </w:pPr>
      <w:r w:rsidRPr="009431E9">
        <w:rPr>
          <w:rFonts w:ascii="Calibri" w:hAnsi="Calibri" w:cs="Calibri"/>
          <w:sz w:val="22"/>
          <w:szCs w:val="22"/>
        </w:rPr>
        <w:t>LCH</w:t>
      </w:r>
      <w:r w:rsidR="00E51CCF" w:rsidRPr="009431E9">
        <w:rPr>
          <w:rFonts w:ascii="Calibri" w:hAnsi="Calibri" w:cs="Calibri"/>
          <w:sz w:val="22"/>
          <w:szCs w:val="22"/>
        </w:rPr>
        <w:t xml:space="preserve"> SA</w:t>
      </w:r>
      <w:r w:rsidRPr="009431E9">
        <w:rPr>
          <w:rFonts w:ascii="Calibri" w:hAnsi="Calibri" w:cs="Calibri"/>
          <w:sz w:val="22"/>
          <w:szCs w:val="22"/>
        </w:rPr>
        <w:t xml:space="preserve"> hereby certifies to the </w:t>
      </w:r>
      <w:r w:rsidR="00FC66E0" w:rsidRPr="009431E9">
        <w:rPr>
          <w:rFonts w:ascii="Calibri" w:hAnsi="Calibri" w:cs="Calibri"/>
          <w:sz w:val="22"/>
          <w:szCs w:val="22"/>
        </w:rPr>
        <w:t>CFTC</w:t>
      </w:r>
      <w:r w:rsidRPr="009431E9">
        <w:rPr>
          <w:rFonts w:ascii="Calibri" w:hAnsi="Calibri" w:cs="Calibri"/>
          <w:sz w:val="22"/>
          <w:szCs w:val="22"/>
        </w:rPr>
        <w:t xml:space="preserve">, pursuant to the procedures set forth in the Commission regulation § 40.6, that attached </w:t>
      </w:r>
      <w:r w:rsidR="003C618C" w:rsidRPr="009431E9">
        <w:rPr>
          <w:rFonts w:ascii="Calibri" w:hAnsi="Calibri" w:cs="Calibri"/>
          <w:sz w:val="22"/>
          <w:szCs w:val="22"/>
        </w:rPr>
        <w:t>changes</w:t>
      </w:r>
      <w:r w:rsidRPr="009431E9">
        <w:rPr>
          <w:rFonts w:ascii="Calibri" w:hAnsi="Calibri" w:cs="Calibri"/>
          <w:sz w:val="22"/>
          <w:szCs w:val="22"/>
        </w:rPr>
        <w:t xml:space="preserve"> submission complies with the Commodity Exchange Act, as amended, and the regulations promulgated there under.</w:t>
      </w:r>
    </w:p>
    <w:p w14:paraId="78BC2BBB" w14:textId="356DB8A2" w:rsidR="00E05EE8" w:rsidRPr="009431E9" w:rsidRDefault="00E05EE8">
      <w:pPr>
        <w:spacing w:after="0" w:line="240" w:lineRule="auto"/>
        <w:rPr>
          <w:rFonts w:ascii="Calibri" w:hAnsi="Calibri" w:cs="Calibri"/>
          <w:sz w:val="22"/>
          <w:szCs w:val="22"/>
        </w:rPr>
      </w:pPr>
    </w:p>
    <w:p w14:paraId="65E6A608" w14:textId="48851505" w:rsidR="00D57781" w:rsidRPr="009431E9" w:rsidRDefault="00E64C6A" w:rsidP="00D57781">
      <w:pPr>
        <w:spacing w:after="0" w:line="240" w:lineRule="auto"/>
        <w:rPr>
          <w:rFonts w:ascii="Calibri" w:hAnsi="Calibri" w:cs="Calibri"/>
          <w:sz w:val="22"/>
          <w:szCs w:val="22"/>
        </w:rPr>
      </w:pPr>
      <w:r w:rsidRPr="009431E9">
        <w:rPr>
          <w:rFonts w:ascii="Calibri" w:hAnsi="Calibri" w:cs="Calibri"/>
          <w:sz w:val="22"/>
          <w:szCs w:val="22"/>
        </w:rPr>
        <w:t xml:space="preserve">Should you have any questions please contact me at: </w:t>
      </w:r>
      <w:hyperlink r:id="rId9" w:history="1">
        <w:r w:rsidRPr="009431E9">
          <w:rPr>
            <w:rStyle w:val="Lienhypertexte"/>
            <w:rFonts w:ascii="Calibri" w:hAnsi="Calibri" w:cs="Calibri"/>
            <w:sz w:val="22"/>
            <w:szCs w:val="22"/>
          </w:rPr>
          <w:t>françois.faure@lch.com</w:t>
        </w:r>
      </w:hyperlink>
    </w:p>
    <w:p w14:paraId="2C673D6D" w14:textId="13F8BB14" w:rsidR="00AA4B33" w:rsidRDefault="00AA4B33" w:rsidP="00D57781">
      <w:pPr>
        <w:spacing w:after="0" w:line="240" w:lineRule="auto"/>
        <w:rPr>
          <w:rFonts w:ascii="Calibri" w:hAnsi="Calibri" w:cs="Calibri"/>
          <w:sz w:val="22"/>
          <w:szCs w:val="22"/>
        </w:rPr>
      </w:pPr>
    </w:p>
    <w:p w14:paraId="482DAD6E" w14:textId="3EB9D2AD" w:rsidR="00CF1105" w:rsidRPr="009431E9" w:rsidRDefault="00CF1105" w:rsidP="00D57781">
      <w:pPr>
        <w:spacing w:after="0" w:line="240" w:lineRule="auto"/>
        <w:rPr>
          <w:rFonts w:ascii="Calibri" w:hAnsi="Calibri" w:cs="Calibri"/>
          <w:sz w:val="22"/>
          <w:szCs w:val="22"/>
        </w:rPr>
      </w:pPr>
      <w:r w:rsidRPr="001F21C8">
        <w:rPr>
          <w:i/>
          <w:noProof/>
          <w:color w:val="000000"/>
          <w:lang w:val="fr-FR" w:eastAsia="fr-FR"/>
        </w:rPr>
        <w:drawing>
          <wp:inline distT="0" distB="0" distL="0" distR="0" wp14:anchorId="79D403DF" wp14:editId="55A577B9">
            <wp:extent cx="1257300" cy="1190625"/>
            <wp:effectExtent l="19050" t="0" r="0" b="0"/>
            <wp:docPr id="2" name="Image 2" descr="cid:image001.jpg@01CFC855.6FA2F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FC855.6FA2F680"/>
                    <pic:cNvPicPr>
                      <a:picLocks noChangeAspect="1" noChangeArrowheads="1"/>
                    </pic:cNvPicPr>
                  </pic:nvPicPr>
                  <pic:blipFill>
                    <a:blip r:embed="rId10" r:link="rId11" cstate="print"/>
                    <a:srcRect/>
                    <a:stretch>
                      <a:fillRect/>
                    </a:stretch>
                  </pic:blipFill>
                  <pic:spPr bwMode="auto">
                    <a:xfrm>
                      <a:off x="0" y="0"/>
                      <a:ext cx="1257300" cy="1190625"/>
                    </a:xfrm>
                    <a:prstGeom prst="rect">
                      <a:avLst/>
                    </a:prstGeom>
                    <a:noFill/>
                    <a:ln w="9525">
                      <a:noFill/>
                      <a:miter lim="800000"/>
                      <a:headEnd/>
                      <a:tailEnd/>
                    </a:ln>
                  </pic:spPr>
                </pic:pic>
              </a:graphicData>
            </a:graphic>
          </wp:inline>
        </w:drawing>
      </w:r>
    </w:p>
    <w:p w14:paraId="4213DD80" w14:textId="522AB278" w:rsidR="00844C4F" w:rsidRPr="009431E9" w:rsidRDefault="00E64C6A" w:rsidP="00844C4F">
      <w:pPr>
        <w:spacing w:after="0" w:line="240" w:lineRule="auto"/>
        <w:jc w:val="both"/>
        <w:rPr>
          <w:rFonts w:ascii="Calibri" w:hAnsi="Calibri" w:cs="Calibri"/>
          <w:b/>
          <w:sz w:val="22"/>
          <w:szCs w:val="22"/>
          <w:lang w:val="en-US"/>
        </w:rPr>
      </w:pPr>
      <w:r w:rsidRPr="009431E9">
        <w:rPr>
          <w:rFonts w:ascii="Calibri" w:hAnsi="Calibri" w:cs="Calibri"/>
          <w:b/>
          <w:sz w:val="22"/>
          <w:szCs w:val="22"/>
          <w:lang w:val="en-US"/>
        </w:rPr>
        <w:t>Francois Faure</w:t>
      </w:r>
    </w:p>
    <w:p w14:paraId="0F254162" w14:textId="77777777" w:rsidR="00844C4F" w:rsidRPr="009431E9" w:rsidRDefault="00E64C6A" w:rsidP="00844C4F">
      <w:pPr>
        <w:spacing w:after="0" w:line="240" w:lineRule="auto"/>
        <w:jc w:val="both"/>
        <w:rPr>
          <w:rFonts w:ascii="Calibri" w:hAnsi="Calibri" w:cs="Calibri"/>
          <w:sz w:val="22"/>
          <w:szCs w:val="22"/>
          <w:lang w:val="en-US"/>
        </w:rPr>
      </w:pPr>
      <w:r w:rsidRPr="009431E9">
        <w:rPr>
          <w:rFonts w:ascii="Calibri" w:hAnsi="Calibri" w:cs="Calibri"/>
          <w:sz w:val="22"/>
          <w:szCs w:val="22"/>
          <w:lang w:val="en-US"/>
        </w:rPr>
        <w:t>Chief Compliance Officer</w:t>
      </w:r>
    </w:p>
    <w:p w14:paraId="234A03D3" w14:textId="77777777" w:rsidR="00844C4F" w:rsidRPr="009431E9" w:rsidRDefault="00E64C6A" w:rsidP="00844C4F">
      <w:pPr>
        <w:spacing w:after="0" w:line="240" w:lineRule="auto"/>
        <w:jc w:val="both"/>
        <w:rPr>
          <w:rFonts w:ascii="Calibri" w:hAnsi="Calibri" w:cs="Calibri"/>
          <w:sz w:val="22"/>
          <w:szCs w:val="22"/>
          <w:lang w:val="en-US"/>
        </w:rPr>
      </w:pPr>
      <w:r w:rsidRPr="009431E9">
        <w:rPr>
          <w:rFonts w:ascii="Calibri" w:hAnsi="Calibri" w:cs="Calibri"/>
          <w:sz w:val="22"/>
          <w:szCs w:val="22"/>
          <w:lang w:val="en-US"/>
        </w:rPr>
        <w:t>+33 1 70 37 65 96</w:t>
      </w:r>
    </w:p>
    <w:p w14:paraId="69818A78" w14:textId="04724BBD" w:rsidR="00117B6A" w:rsidRPr="00D7766A" w:rsidRDefault="00E64C6A" w:rsidP="007C43F4">
      <w:pPr>
        <w:spacing w:after="0" w:line="240" w:lineRule="auto"/>
        <w:jc w:val="center"/>
        <w:rPr>
          <w:rFonts w:ascii="Calibri" w:eastAsia="Times New Roman" w:hAnsi="Calibri" w:cs="Calibri"/>
          <w:b/>
          <w:bCs/>
          <w:sz w:val="24"/>
          <w:lang w:val="en-US" w:eastAsia="fr-FR"/>
        </w:rPr>
      </w:pPr>
      <w:r w:rsidRPr="009431E9">
        <w:rPr>
          <w:rFonts w:ascii="Calibri" w:eastAsia="Times New Roman" w:hAnsi="Calibri" w:cs="Calibri"/>
          <w:b/>
          <w:bCs/>
          <w:sz w:val="22"/>
          <w:szCs w:val="22"/>
          <w:lang w:val="en-US" w:eastAsia="fr-FR"/>
        </w:rPr>
        <w:br w:type="page"/>
      </w:r>
      <w:r w:rsidRPr="00D7766A">
        <w:rPr>
          <w:rFonts w:ascii="Calibri" w:eastAsia="Times New Roman" w:hAnsi="Calibri" w:cs="Calibri"/>
          <w:b/>
          <w:bCs/>
          <w:sz w:val="24"/>
          <w:lang w:val="en-US" w:eastAsia="fr-FR"/>
        </w:rPr>
        <w:lastRenderedPageBreak/>
        <w:t>APPENDIX</w:t>
      </w:r>
      <w:r w:rsidR="00FC66E0" w:rsidRPr="00D7766A">
        <w:rPr>
          <w:rFonts w:ascii="Calibri" w:eastAsia="Times New Roman" w:hAnsi="Calibri" w:cs="Calibri"/>
          <w:b/>
          <w:bCs/>
          <w:sz w:val="24"/>
          <w:lang w:val="en-US" w:eastAsia="fr-FR"/>
        </w:rPr>
        <w:t xml:space="preserve"> A</w:t>
      </w:r>
    </w:p>
    <w:p w14:paraId="047BD52A" w14:textId="77777777" w:rsidR="00AA1798" w:rsidRPr="009431E9" w:rsidRDefault="00AA1798" w:rsidP="00AA1798">
      <w:pPr>
        <w:spacing w:after="0" w:line="240" w:lineRule="auto"/>
        <w:jc w:val="center"/>
        <w:rPr>
          <w:rFonts w:ascii="Calibri" w:hAnsi="Calibri" w:cs="Calibri"/>
          <w:b/>
          <w:bCs/>
          <w:sz w:val="22"/>
          <w:szCs w:val="22"/>
          <w:u w:val="single"/>
          <w:lang w:val="en-US"/>
        </w:rPr>
      </w:pPr>
    </w:p>
    <w:p w14:paraId="1DAD7012" w14:textId="33CEAA5F" w:rsidR="00AA1798" w:rsidRDefault="00AA1798" w:rsidP="00AA1798">
      <w:pPr>
        <w:spacing w:after="0"/>
        <w:rPr>
          <w:rFonts w:ascii="Calibri" w:hAnsi="Calibri" w:cs="Calibri"/>
          <w:b/>
          <w:sz w:val="22"/>
          <w:szCs w:val="22"/>
          <w:u w:val="single"/>
        </w:rPr>
      </w:pPr>
      <w:r w:rsidRPr="009431E9">
        <w:rPr>
          <w:rFonts w:ascii="Calibri" w:hAnsi="Calibri" w:cs="Calibri"/>
          <w:b/>
          <w:sz w:val="22"/>
          <w:szCs w:val="22"/>
          <w:u w:val="single"/>
        </w:rPr>
        <w:t>Current</w:t>
      </w:r>
      <w:r w:rsidRPr="00ED7960">
        <w:rPr>
          <w:rFonts w:ascii="Calibri" w:hAnsi="Calibri" w:cs="Calibri"/>
          <w:b/>
          <w:sz w:val="22"/>
          <w:szCs w:val="22"/>
          <w:u w:val="single"/>
        </w:rPr>
        <w:t xml:space="preserve"> Collateral </w:t>
      </w:r>
      <w:r w:rsidRPr="009431E9">
        <w:rPr>
          <w:rFonts w:ascii="Calibri" w:hAnsi="Calibri" w:cs="Calibri"/>
          <w:b/>
          <w:sz w:val="22"/>
          <w:szCs w:val="22"/>
          <w:u w:val="single"/>
        </w:rPr>
        <w:t>fee</w:t>
      </w:r>
      <w:r>
        <w:rPr>
          <w:rFonts w:ascii="Calibri" w:hAnsi="Calibri" w:cs="Calibri"/>
          <w:b/>
          <w:sz w:val="22"/>
          <w:szCs w:val="22"/>
          <w:u w:val="single"/>
        </w:rPr>
        <w:t xml:space="preserve"> grid* applied by LCH SA to CDSClear members</w:t>
      </w:r>
    </w:p>
    <w:p w14:paraId="21B124C7" w14:textId="77777777" w:rsidR="00AA1798" w:rsidRDefault="00AA1798" w:rsidP="00AA1798">
      <w:pPr>
        <w:pStyle w:val="Default"/>
        <w:rPr>
          <w:b/>
          <w:sz w:val="20"/>
          <w:szCs w:val="20"/>
          <w:u w:val="single"/>
          <w:lang w:val="en-US"/>
        </w:rPr>
      </w:pPr>
    </w:p>
    <w:tbl>
      <w:tblPr>
        <w:tblW w:w="9216" w:type="dxa"/>
        <w:tblCellMar>
          <w:left w:w="70" w:type="dxa"/>
          <w:right w:w="70" w:type="dxa"/>
        </w:tblCellMar>
        <w:tblLook w:val="04A0" w:firstRow="1" w:lastRow="0" w:firstColumn="1" w:lastColumn="0" w:noHBand="0" w:noVBand="1"/>
      </w:tblPr>
      <w:tblGrid>
        <w:gridCol w:w="3686"/>
        <w:gridCol w:w="191"/>
        <w:gridCol w:w="1368"/>
        <w:gridCol w:w="1276"/>
        <w:gridCol w:w="1438"/>
        <w:gridCol w:w="1257"/>
      </w:tblGrid>
      <w:tr w:rsidR="00AA1798" w:rsidRPr="009C1D75" w14:paraId="4BE1C347" w14:textId="77777777" w:rsidTr="00B62E99">
        <w:trPr>
          <w:trHeight w:val="375"/>
        </w:trPr>
        <w:tc>
          <w:tcPr>
            <w:tcW w:w="3686" w:type="dxa"/>
            <w:tcBorders>
              <w:top w:val="nil"/>
              <w:left w:val="nil"/>
              <w:bottom w:val="nil"/>
              <w:right w:val="nil"/>
            </w:tcBorders>
            <w:shd w:val="clear" w:color="000000" w:fill="00ACBB"/>
            <w:noWrap/>
            <w:vAlign w:val="center"/>
          </w:tcPr>
          <w:p w14:paraId="23DCAFA6" w14:textId="6FB145FC" w:rsidR="00AA1798" w:rsidRPr="009C1D75" w:rsidRDefault="00AA3F36" w:rsidP="00B62E99">
            <w:pPr>
              <w:spacing w:after="0" w:line="240" w:lineRule="auto"/>
              <w:jc w:val="center"/>
              <w:rPr>
                <w:rFonts w:eastAsia="Times New Roman" w:cs="Arial"/>
                <w:color w:val="000000"/>
                <w:sz w:val="18"/>
                <w:szCs w:val="18"/>
                <w:u w:val="single"/>
                <w:lang w:val="en-US" w:eastAsia="fr-FR"/>
              </w:rPr>
            </w:pPr>
            <w:r>
              <w:rPr>
                <w:rFonts w:eastAsia="Times New Roman" w:cs="Arial"/>
                <w:color w:val="000000"/>
                <w:sz w:val="18"/>
                <w:szCs w:val="18"/>
                <w:u w:val="single"/>
                <w:lang w:val="en-US" w:eastAsia="fr-FR"/>
              </w:rPr>
              <w:t>Collateral type</w:t>
            </w:r>
          </w:p>
        </w:tc>
        <w:tc>
          <w:tcPr>
            <w:tcW w:w="191" w:type="dxa"/>
            <w:tcBorders>
              <w:top w:val="nil"/>
              <w:left w:val="nil"/>
              <w:bottom w:val="nil"/>
              <w:right w:val="single" w:sz="4" w:space="0" w:color="auto"/>
            </w:tcBorders>
            <w:shd w:val="clear" w:color="000000" w:fill="00ACBB"/>
            <w:noWrap/>
            <w:vAlign w:val="center"/>
          </w:tcPr>
          <w:p w14:paraId="644B4679" w14:textId="77777777" w:rsidR="00AA1798" w:rsidRPr="009C1D75" w:rsidRDefault="00AA1798" w:rsidP="00B62E99">
            <w:pPr>
              <w:spacing w:after="0" w:line="240" w:lineRule="auto"/>
              <w:jc w:val="center"/>
              <w:rPr>
                <w:rFonts w:eastAsia="Times New Roman" w:cs="Arial"/>
                <w:color w:val="000000"/>
                <w:sz w:val="18"/>
                <w:szCs w:val="18"/>
                <w:u w:val="single"/>
                <w:lang w:val="en-US" w:eastAsia="fr-FR"/>
              </w:rPr>
            </w:pPr>
          </w:p>
        </w:tc>
        <w:tc>
          <w:tcPr>
            <w:tcW w:w="2644" w:type="dxa"/>
            <w:gridSpan w:val="2"/>
            <w:tcBorders>
              <w:top w:val="nil"/>
              <w:left w:val="single" w:sz="4" w:space="0" w:color="auto"/>
              <w:bottom w:val="nil"/>
              <w:right w:val="single" w:sz="4" w:space="0" w:color="auto"/>
            </w:tcBorders>
            <w:shd w:val="clear" w:color="000000" w:fill="00ACBB"/>
            <w:vAlign w:val="center"/>
          </w:tcPr>
          <w:p w14:paraId="36DB81A0" w14:textId="77777777" w:rsidR="00AA1798" w:rsidRPr="009C1D75" w:rsidRDefault="00AA1798" w:rsidP="00B62E99">
            <w:pPr>
              <w:spacing w:after="0" w:line="240" w:lineRule="auto"/>
              <w:jc w:val="center"/>
              <w:rPr>
                <w:rFonts w:eastAsia="Times New Roman" w:cs="Arial"/>
                <w:b/>
                <w:bCs/>
                <w:color w:val="000000"/>
                <w:sz w:val="18"/>
                <w:szCs w:val="18"/>
                <w:u w:val="single"/>
                <w:lang w:val="en-US" w:eastAsia="fr-FR"/>
              </w:rPr>
            </w:pPr>
            <w:r>
              <w:rPr>
                <w:rFonts w:eastAsia="Times New Roman" w:cs="Arial"/>
                <w:b/>
                <w:bCs/>
                <w:color w:val="000000"/>
                <w:sz w:val="18"/>
                <w:szCs w:val="18"/>
                <w:u w:val="single"/>
                <w:lang w:val="en-US" w:eastAsia="fr-FR"/>
              </w:rPr>
              <w:t>FFT</w:t>
            </w:r>
          </w:p>
        </w:tc>
        <w:tc>
          <w:tcPr>
            <w:tcW w:w="2695" w:type="dxa"/>
            <w:gridSpan w:val="2"/>
            <w:tcBorders>
              <w:top w:val="nil"/>
              <w:left w:val="single" w:sz="4" w:space="0" w:color="auto"/>
              <w:bottom w:val="nil"/>
              <w:right w:val="nil"/>
            </w:tcBorders>
            <w:shd w:val="clear" w:color="000000" w:fill="00ACBB"/>
            <w:vAlign w:val="center"/>
          </w:tcPr>
          <w:p w14:paraId="1E089FA8" w14:textId="77777777" w:rsidR="00AA1798"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PLEDGE</w:t>
            </w:r>
          </w:p>
        </w:tc>
      </w:tr>
      <w:tr w:rsidR="00AA1798" w:rsidRPr="009C1D75" w14:paraId="0824865C" w14:textId="77777777" w:rsidTr="00B62E99">
        <w:trPr>
          <w:trHeight w:val="80"/>
        </w:trPr>
        <w:tc>
          <w:tcPr>
            <w:tcW w:w="3686" w:type="dxa"/>
            <w:tcBorders>
              <w:top w:val="nil"/>
              <w:left w:val="nil"/>
              <w:bottom w:val="nil"/>
              <w:right w:val="nil"/>
            </w:tcBorders>
            <w:shd w:val="clear" w:color="000000" w:fill="00ACBB"/>
            <w:noWrap/>
            <w:vAlign w:val="center"/>
            <w:hideMark/>
          </w:tcPr>
          <w:p w14:paraId="2F0D4D11" w14:textId="77777777" w:rsidR="00AA1798" w:rsidRPr="009C1D75" w:rsidRDefault="00AA1798" w:rsidP="00B62E99">
            <w:pPr>
              <w:spacing w:after="0" w:line="240" w:lineRule="auto"/>
              <w:jc w:val="center"/>
              <w:rPr>
                <w:rFonts w:eastAsia="Times New Roman" w:cs="Arial"/>
                <w:color w:val="000000"/>
                <w:sz w:val="18"/>
                <w:szCs w:val="18"/>
                <w:lang w:val="en-US" w:eastAsia="fr-FR"/>
              </w:rPr>
            </w:pPr>
          </w:p>
        </w:tc>
        <w:tc>
          <w:tcPr>
            <w:tcW w:w="191" w:type="dxa"/>
            <w:tcBorders>
              <w:top w:val="nil"/>
              <w:left w:val="nil"/>
              <w:bottom w:val="nil"/>
              <w:right w:val="single" w:sz="4" w:space="0" w:color="auto"/>
            </w:tcBorders>
            <w:shd w:val="clear" w:color="000000" w:fill="00ACBB"/>
            <w:noWrap/>
            <w:vAlign w:val="center"/>
            <w:hideMark/>
          </w:tcPr>
          <w:p w14:paraId="2C524996" w14:textId="77777777" w:rsidR="00AA1798" w:rsidRPr="009C1D75" w:rsidRDefault="00AA1798" w:rsidP="00B62E99">
            <w:pPr>
              <w:spacing w:after="0" w:line="240" w:lineRule="auto"/>
              <w:ind w:left="-690" w:firstLine="283"/>
              <w:jc w:val="center"/>
              <w:rPr>
                <w:rFonts w:eastAsia="Times New Roman" w:cs="Arial"/>
                <w:color w:val="000000"/>
                <w:sz w:val="18"/>
                <w:szCs w:val="18"/>
                <w:lang w:val="en-US" w:eastAsia="fr-FR"/>
              </w:rPr>
            </w:pPr>
          </w:p>
        </w:tc>
        <w:tc>
          <w:tcPr>
            <w:tcW w:w="1368" w:type="dxa"/>
            <w:tcBorders>
              <w:top w:val="nil"/>
              <w:left w:val="single" w:sz="4" w:space="0" w:color="auto"/>
              <w:bottom w:val="single" w:sz="8" w:space="0" w:color="auto"/>
              <w:right w:val="single" w:sz="4" w:space="0" w:color="auto"/>
            </w:tcBorders>
            <w:shd w:val="clear" w:color="000000" w:fill="00ACBB"/>
            <w:noWrap/>
            <w:vAlign w:val="center"/>
            <w:hideMark/>
          </w:tcPr>
          <w:p w14:paraId="6BDDD31C" w14:textId="77777777" w:rsidR="00AA1798" w:rsidRPr="00837439"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House</w:t>
            </w:r>
          </w:p>
        </w:tc>
        <w:tc>
          <w:tcPr>
            <w:tcW w:w="1276" w:type="dxa"/>
            <w:tcBorders>
              <w:top w:val="nil"/>
              <w:left w:val="single" w:sz="4" w:space="0" w:color="auto"/>
              <w:bottom w:val="single" w:sz="8" w:space="0" w:color="auto"/>
              <w:right w:val="single" w:sz="4" w:space="0" w:color="auto"/>
            </w:tcBorders>
            <w:shd w:val="clear" w:color="000000" w:fill="00ACBB"/>
            <w:vAlign w:val="center"/>
          </w:tcPr>
          <w:p w14:paraId="37F8CE49" w14:textId="77777777" w:rsidR="00AA1798"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Client</w:t>
            </w:r>
          </w:p>
        </w:tc>
        <w:tc>
          <w:tcPr>
            <w:tcW w:w="1438" w:type="dxa"/>
            <w:tcBorders>
              <w:top w:val="nil"/>
              <w:left w:val="single" w:sz="4" w:space="0" w:color="auto"/>
              <w:bottom w:val="single" w:sz="8" w:space="0" w:color="auto"/>
              <w:right w:val="single" w:sz="4" w:space="0" w:color="auto"/>
            </w:tcBorders>
            <w:shd w:val="clear" w:color="000000" w:fill="00ACBB"/>
            <w:vAlign w:val="center"/>
          </w:tcPr>
          <w:p w14:paraId="5F0E9CC3" w14:textId="77777777" w:rsidR="00AA1798" w:rsidRPr="00837439"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House</w:t>
            </w:r>
          </w:p>
        </w:tc>
        <w:tc>
          <w:tcPr>
            <w:tcW w:w="1257" w:type="dxa"/>
            <w:tcBorders>
              <w:top w:val="nil"/>
              <w:left w:val="single" w:sz="4" w:space="0" w:color="auto"/>
              <w:bottom w:val="single" w:sz="8" w:space="0" w:color="auto"/>
              <w:right w:val="nil"/>
            </w:tcBorders>
            <w:shd w:val="clear" w:color="000000" w:fill="00ACBB"/>
            <w:vAlign w:val="center"/>
          </w:tcPr>
          <w:p w14:paraId="4EA0C14D" w14:textId="77777777" w:rsidR="00AA1798" w:rsidDel="00FB0205"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Client</w:t>
            </w:r>
          </w:p>
        </w:tc>
      </w:tr>
      <w:tr w:rsidR="00AA1798" w:rsidRPr="009C1D75" w14:paraId="39D7C226" w14:textId="77777777" w:rsidTr="00B62E99">
        <w:trPr>
          <w:trHeight w:val="455"/>
        </w:trPr>
        <w:tc>
          <w:tcPr>
            <w:tcW w:w="3686" w:type="dxa"/>
            <w:tcBorders>
              <w:top w:val="nil"/>
              <w:left w:val="nil"/>
              <w:bottom w:val="nil"/>
              <w:right w:val="nil"/>
            </w:tcBorders>
            <w:shd w:val="clear" w:color="auto" w:fill="F2F2F2" w:themeFill="background1" w:themeFillShade="F2"/>
            <w:noWrap/>
            <w:vAlign w:val="center"/>
            <w:hideMark/>
          </w:tcPr>
          <w:p w14:paraId="7C4333A9" w14:textId="100068A5" w:rsidR="00AA1798" w:rsidRPr="009C1D75" w:rsidRDefault="00AA3F36" w:rsidP="00AA3F36">
            <w:pPr>
              <w:spacing w:after="0" w:line="240" w:lineRule="auto"/>
              <w:jc w:val="center"/>
              <w:rPr>
                <w:rFonts w:eastAsia="Times New Roman" w:cs="Arial"/>
                <w:color w:val="000000"/>
                <w:sz w:val="18"/>
                <w:szCs w:val="18"/>
                <w:lang w:val="fr-FR" w:eastAsia="fr-FR"/>
              </w:rPr>
            </w:pPr>
            <w:proofErr w:type="spellStart"/>
            <w:r w:rsidRPr="009C1D75">
              <w:rPr>
                <w:rFonts w:eastAsia="Times New Roman" w:cs="Arial"/>
                <w:color w:val="000000"/>
                <w:sz w:val="18"/>
                <w:szCs w:val="18"/>
                <w:lang w:val="fr-FR" w:eastAsia="fr-FR"/>
              </w:rPr>
              <w:t>Gov</w:t>
            </w:r>
            <w:r>
              <w:rPr>
                <w:rFonts w:eastAsia="Times New Roman" w:cs="Arial"/>
                <w:color w:val="000000"/>
                <w:sz w:val="18"/>
                <w:szCs w:val="18"/>
                <w:lang w:val="fr-FR" w:eastAsia="fr-FR"/>
              </w:rPr>
              <w:t>ernment</w:t>
            </w:r>
            <w:proofErr w:type="spellEnd"/>
            <w:r>
              <w:rPr>
                <w:rFonts w:eastAsia="Times New Roman" w:cs="Arial"/>
                <w:color w:val="000000"/>
                <w:sz w:val="18"/>
                <w:szCs w:val="18"/>
                <w:lang w:val="fr-FR" w:eastAsia="fr-FR"/>
              </w:rPr>
              <w:t xml:space="preserve"> Bonds</w:t>
            </w:r>
          </w:p>
        </w:tc>
        <w:tc>
          <w:tcPr>
            <w:tcW w:w="191" w:type="dxa"/>
            <w:tcBorders>
              <w:top w:val="nil"/>
              <w:left w:val="nil"/>
              <w:bottom w:val="nil"/>
              <w:right w:val="nil"/>
            </w:tcBorders>
            <w:shd w:val="clear" w:color="auto" w:fill="F2F2F2" w:themeFill="background1" w:themeFillShade="F2"/>
            <w:noWrap/>
            <w:vAlign w:val="center"/>
            <w:hideMark/>
          </w:tcPr>
          <w:p w14:paraId="3921DC19"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63056EBE"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627649AF"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6EF5B688"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w:t>
            </w:r>
            <w:r>
              <w:rPr>
                <w:rFonts w:eastAsia="Times New Roman" w:cs="Arial"/>
                <w:color w:val="000000"/>
                <w:sz w:val="18"/>
                <w:szCs w:val="18"/>
                <w:lang w:val="fr-FR" w:eastAsia="fr-FR"/>
              </w:rPr>
              <w:t>ps</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63687830"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r>
      <w:tr w:rsidR="00AA1798" w:rsidRPr="009C1D75" w14:paraId="73C3874A" w14:textId="77777777" w:rsidTr="00B62E99">
        <w:trPr>
          <w:trHeight w:val="472"/>
        </w:trPr>
        <w:tc>
          <w:tcPr>
            <w:tcW w:w="3686" w:type="dxa"/>
            <w:tcBorders>
              <w:top w:val="nil"/>
              <w:left w:val="nil"/>
              <w:bottom w:val="nil"/>
              <w:right w:val="nil"/>
            </w:tcBorders>
            <w:shd w:val="clear" w:color="auto" w:fill="F2F2F2" w:themeFill="background1" w:themeFillShade="F2"/>
            <w:noWrap/>
            <w:vAlign w:val="center"/>
            <w:hideMark/>
          </w:tcPr>
          <w:p w14:paraId="253FF72F" w14:textId="6B0AE391"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Supranational</w:t>
            </w:r>
            <w:r w:rsidR="00AA3F36">
              <w:rPr>
                <w:rFonts w:eastAsia="Times New Roman" w:cs="Arial"/>
                <w:color w:val="000000"/>
                <w:sz w:val="18"/>
                <w:szCs w:val="18"/>
                <w:lang w:val="fr-FR" w:eastAsia="fr-FR"/>
              </w:rPr>
              <w:t xml:space="preserve"> Bonds</w:t>
            </w:r>
          </w:p>
        </w:tc>
        <w:tc>
          <w:tcPr>
            <w:tcW w:w="191" w:type="dxa"/>
            <w:tcBorders>
              <w:top w:val="nil"/>
              <w:left w:val="nil"/>
              <w:bottom w:val="nil"/>
              <w:right w:val="nil"/>
            </w:tcBorders>
            <w:shd w:val="clear" w:color="auto" w:fill="F2F2F2" w:themeFill="background1" w:themeFillShade="F2"/>
            <w:noWrap/>
            <w:vAlign w:val="center"/>
            <w:hideMark/>
          </w:tcPr>
          <w:p w14:paraId="21FA9593"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2548F787"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N/A</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7B4CC8B0"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N/A</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4BBBEF30"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N/A</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03D3E9F8"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N/A</w:t>
            </w:r>
          </w:p>
        </w:tc>
      </w:tr>
      <w:tr w:rsidR="00AA1798" w:rsidRPr="009C1D75" w14:paraId="1A86C272" w14:textId="77777777" w:rsidTr="00B62E99">
        <w:trPr>
          <w:trHeight w:val="435"/>
        </w:trPr>
        <w:tc>
          <w:tcPr>
            <w:tcW w:w="3686" w:type="dxa"/>
            <w:tcBorders>
              <w:top w:val="nil"/>
              <w:left w:val="nil"/>
              <w:bottom w:val="nil"/>
              <w:right w:val="nil"/>
            </w:tcBorders>
            <w:shd w:val="clear" w:color="auto" w:fill="F2F2F2" w:themeFill="background1" w:themeFillShade="F2"/>
            <w:noWrap/>
            <w:vAlign w:val="center"/>
            <w:hideMark/>
          </w:tcPr>
          <w:p w14:paraId="2F2A0491" w14:textId="47E02A3A"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Agenc</w:t>
            </w:r>
            <w:r w:rsidR="00AA3F36">
              <w:rPr>
                <w:rFonts w:eastAsia="Times New Roman" w:cs="Arial"/>
                <w:color w:val="000000"/>
                <w:sz w:val="18"/>
                <w:szCs w:val="18"/>
                <w:lang w:val="fr-FR" w:eastAsia="fr-FR"/>
              </w:rPr>
              <w:t>y Bonds</w:t>
            </w:r>
          </w:p>
        </w:tc>
        <w:tc>
          <w:tcPr>
            <w:tcW w:w="191" w:type="dxa"/>
            <w:tcBorders>
              <w:top w:val="nil"/>
              <w:left w:val="nil"/>
              <w:bottom w:val="nil"/>
              <w:right w:val="nil"/>
            </w:tcBorders>
            <w:shd w:val="clear" w:color="auto" w:fill="F2F2F2" w:themeFill="background1" w:themeFillShade="F2"/>
            <w:noWrap/>
            <w:vAlign w:val="center"/>
            <w:hideMark/>
          </w:tcPr>
          <w:p w14:paraId="79FDEAB1"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1D217519"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27961008"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42F1D57A"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5297899A"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r>
      <w:tr w:rsidR="00AA1798" w:rsidRPr="009C1D75" w14:paraId="78C15C06" w14:textId="77777777" w:rsidTr="00B62E99">
        <w:trPr>
          <w:trHeight w:val="143"/>
        </w:trPr>
        <w:tc>
          <w:tcPr>
            <w:tcW w:w="3686" w:type="dxa"/>
            <w:tcBorders>
              <w:top w:val="nil"/>
              <w:left w:val="nil"/>
              <w:bottom w:val="nil"/>
              <w:right w:val="nil"/>
            </w:tcBorders>
            <w:shd w:val="clear" w:color="auto" w:fill="F2F2F2" w:themeFill="background1" w:themeFillShade="F2"/>
            <w:noWrap/>
            <w:vAlign w:val="center"/>
            <w:hideMark/>
          </w:tcPr>
          <w:p w14:paraId="3EDE5FAA"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91" w:type="dxa"/>
            <w:tcBorders>
              <w:top w:val="nil"/>
              <w:left w:val="nil"/>
              <w:bottom w:val="nil"/>
              <w:right w:val="nil"/>
            </w:tcBorders>
            <w:shd w:val="clear" w:color="auto" w:fill="F2F2F2" w:themeFill="background1" w:themeFillShade="F2"/>
            <w:noWrap/>
            <w:vAlign w:val="center"/>
            <w:hideMark/>
          </w:tcPr>
          <w:p w14:paraId="7408C4D6"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0F743BE8"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792AF7FD"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00789468"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2CE2180C"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r>
    </w:tbl>
    <w:p w14:paraId="2CF44B74" w14:textId="77777777" w:rsidR="00AA1798" w:rsidRDefault="00AA1798" w:rsidP="00AA1798">
      <w:pPr>
        <w:pStyle w:val="Default"/>
        <w:rPr>
          <w:b/>
          <w:sz w:val="20"/>
          <w:szCs w:val="20"/>
          <w:u w:val="single"/>
          <w:lang w:val="en-US"/>
        </w:rPr>
      </w:pPr>
    </w:p>
    <w:p w14:paraId="32FF6759" w14:textId="77777777" w:rsidR="00AA1798" w:rsidRDefault="00AA1798" w:rsidP="00AA1798">
      <w:pPr>
        <w:pStyle w:val="Default"/>
        <w:rPr>
          <w:b/>
          <w:sz w:val="20"/>
          <w:szCs w:val="20"/>
          <w:u w:val="single"/>
          <w:lang w:val="en-US"/>
        </w:rPr>
      </w:pPr>
    </w:p>
    <w:p w14:paraId="0B2CA2BE" w14:textId="77777777" w:rsidR="00AA1798" w:rsidRPr="007C77BC" w:rsidRDefault="00AA1798" w:rsidP="00AA1798">
      <w:pPr>
        <w:rPr>
          <w:rFonts w:ascii="Calibri" w:hAnsi="Calibri" w:cs="Calibri"/>
          <w:b/>
          <w:sz w:val="22"/>
          <w:szCs w:val="22"/>
          <w:u w:val="single"/>
          <w:lang w:val="en-US"/>
        </w:rPr>
      </w:pPr>
    </w:p>
    <w:p w14:paraId="4A6C0B98" w14:textId="257B1398" w:rsidR="00AA1798" w:rsidRPr="009431E9" w:rsidRDefault="00AA1798" w:rsidP="00AA1798">
      <w:pPr>
        <w:spacing w:after="0"/>
        <w:rPr>
          <w:rFonts w:ascii="Calibri" w:hAnsi="Calibri" w:cs="Calibri"/>
          <w:b/>
          <w:color w:val="C00000"/>
          <w:sz w:val="22"/>
          <w:szCs w:val="22"/>
        </w:rPr>
      </w:pPr>
      <w:r w:rsidRPr="009431E9">
        <w:rPr>
          <w:rFonts w:ascii="Calibri" w:hAnsi="Calibri" w:cs="Calibri"/>
          <w:b/>
          <w:bCs/>
          <w:sz w:val="22"/>
          <w:szCs w:val="22"/>
          <w:u w:val="single"/>
          <w:lang w:val="en-US"/>
        </w:rPr>
        <w:t xml:space="preserve">Proposed </w:t>
      </w:r>
      <w:r w:rsidRPr="009431E9">
        <w:rPr>
          <w:rFonts w:ascii="Calibri" w:hAnsi="Calibri" w:cs="Calibri"/>
          <w:b/>
          <w:bCs/>
          <w:sz w:val="22"/>
          <w:szCs w:val="22"/>
          <w:u w:val="single"/>
          <w:lang w:eastAsia="fr-FR"/>
        </w:rPr>
        <w:t xml:space="preserve">LCH SA </w:t>
      </w:r>
      <w:r>
        <w:rPr>
          <w:rFonts w:ascii="Calibri" w:hAnsi="Calibri" w:cs="Calibri"/>
          <w:b/>
          <w:bCs/>
          <w:sz w:val="22"/>
          <w:szCs w:val="22"/>
          <w:u w:val="single"/>
          <w:lang w:eastAsia="fr-FR"/>
        </w:rPr>
        <w:t xml:space="preserve">Collateral </w:t>
      </w:r>
      <w:r w:rsidRPr="009431E9">
        <w:rPr>
          <w:rFonts w:ascii="Calibri" w:hAnsi="Calibri" w:cs="Calibri"/>
          <w:b/>
          <w:bCs/>
          <w:sz w:val="22"/>
          <w:szCs w:val="22"/>
          <w:u w:val="single"/>
          <w:lang w:val="en-US"/>
        </w:rPr>
        <w:t>Fee Grid</w:t>
      </w:r>
      <w:r>
        <w:rPr>
          <w:rFonts w:ascii="Calibri" w:hAnsi="Calibri" w:cs="Calibri"/>
          <w:b/>
          <w:bCs/>
          <w:sz w:val="22"/>
          <w:szCs w:val="22"/>
          <w:u w:val="single"/>
          <w:lang w:val="en-US"/>
        </w:rPr>
        <w:t xml:space="preserve"> applicable to CDSClear members effective as of 1 November 2019</w:t>
      </w:r>
      <w:r w:rsidRPr="009431E9">
        <w:rPr>
          <w:rFonts w:ascii="Calibri" w:hAnsi="Calibri" w:cs="Calibri"/>
          <w:b/>
          <w:bCs/>
          <w:sz w:val="22"/>
          <w:szCs w:val="22"/>
          <w:u w:val="single"/>
          <w:lang w:val="en-US"/>
        </w:rPr>
        <w:t>*</w:t>
      </w:r>
    </w:p>
    <w:p w14:paraId="2E05A561" w14:textId="77777777" w:rsidR="00AA1798" w:rsidRDefault="00AA1798" w:rsidP="00AA1798">
      <w:pPr>
        <w:spacing w:after="0" w:line="240" w:lineRule="auto"/>
        <w:rPr>
          <w:rFonts w:ascii="Calibri" w:hAnsi="Calibri" w:cs="Calibri"/>
          <w:b/>
          <w:bCs/>
          <w:sz w:val="22"/>
          <w:szCs w:val="22"/>
          <w:u w:val="single"/>
          <w:lang w:val="en-US"/>
        </w:rPr>
      </w:pPr>
    </w:p>
    <w:tbl>
      <w:tblPr>
        <w:tblW w:w="9216" w:type="dxa"/>
        <w:tblCellMar>
          <w:left w:w="70" w:type="dxa"/>
          <w:right w:w="70" w:type="dxa"/>
        </w:tblCellMar>
        <w:tblLook w:val="04A0" w:firstRow="1" w:lastRow="0" w:firstColumn="1" w:lastColumn="0" w:noHBand="0" w:noVBand="1"/>
      </w:tblPr>
      <w:tblGrid>
        <w:gridCol w:w="3686"/>
        <w:gridCol w:w="191"/>
        <w:gridCol w:w="1368"/>
        <w:gridCol w:w="1276"/>
        <w:gridCol w:w="1438"/>
        <w:gridCol w:w="1257"/>
      </w:tblGrid>
      <w:tr w:rsidR="00AA1798" w:rsidRPr="009C1D75" w14:paraId="47AD951F" w14:textId="77777777" w:rsidTr="00B62E99">
        <w:trPr>
          <w:trHeight w:val="375"/>
        </w:trPr>
        <w:tc>
          <w:tcPr>
            <w:tcW w:w="3686" w:type="dxa"/>
            <w:tcBorders>
              <w:top w:val="nil"/>
              <w:left w:val="nil"/>
              <w:bottom w:val="nil"/>
              <w:right w:val="nil"/>
            </w:tcBorders>
            <w:shd w:val="clear" w:color="000000" w:fill="00ACBB"/>
            <w:noWrap/>
            <w:vAlign w:val="center"/>
          </w:tcPr>
          <w:p w14:paraId="29A647F1" w14:textId="32FD5A8F" w:rsidR="00AA1798" w:rsidRPr="009C1D75" w:rsidRDefault="00AA3F36" w:rsidP="00B62E99">
            <w:pPr>
              <w:spacing w:after="0" w:line="240" w:lineRule="auto"/>
              <w:jc w:val="center"/>
              <w:rPr>
                <w:rFonts w:eastAsia="Times New Roman" w:cs="Arial"/>
                <w:color w:val="000000"/>
                <w:sz w:val="18"/>
                <w:szCs w:val="18"/>
                <w:u w:val="single"/>
                <w:lang w:val="en-US" w:eastAsia="fr-FR"/>
              </w:rPr>
            </w:pPr>
            <w:r>
              <w:rPr>
                <w:rFonts w:eastAsia="Times New Roman" w:cs="Arial"/>
                <w:color w:val="000000"/>
                <w:sz w:val="18"/>
                <w:szCs w:val="18"/>
                <w:u w:val="single"/>
                <w:lang w:val="en-US" w:eastAsia="fr-FR"/>
              </w:rPr>
              <w:t>Collateral type</w:t>
            </w:r>
          </w:p>
        </w:tc>
        <w:tc>
          <w:tcPr>
            <w:tcW w:w="191" w:type="dxa"/>
            <w:tcBorders>
              <w:top w:val="nil"/>
              <w:left w:val="nil"/>
              <w:bottom w:val="nil"/>
              <w:right w:val="single" w:sz="4" w:space="0" w:color="auto"/>
            </w:tcBorders>
            <w:shd w:val="clear" w:color="000000" w:fill="00ACBB"/>
            <w:noWrap/>
            <w:vAlign w:val="center"/>
          </w:tcPr>
          <w:p w14:paraId="6B22A9E3" w14:textId="77777777" w:rsidR="00AA1798" w:rsidRPr="009C1D75" w:rsidRDefault="00AA1798" w:rsidP="00B62E99">
            <w:pPr>
              <w:spacing w:after="0" w:line="240" w:lineRule="auto"/>
              <w:jc w:val="center"/>
              <w:rPr>
                <w:rFonts w:eastAsia="Times New Roman" w:cs="Arial"/>
                <w:color w:val="000000"/>
                <w:sz w:val="18"/>
                <w:szCs w:val="18"/>
                <w:u w:val="single"/>
                <w:lang w:val="en-US" w:eastAsia="fr-FR"/>
              </w:rPr>
            </w:pPr>
          </w:p>
        </w:tc>
        <w:tc>
          <w:tcPr>
            <w:tcW w:w="2644" w:type="dxa"/>
            <w:gridSpan w:val="2"/>
            <w:tcBorders>
              <w:top w:val="nil"/>
              <w:left w:val="single" w:sz="4" w:space="0" w:color="auto"/>
              <w:bottom w:val="nil"/>
              <w:right w:val="single" w:sz="4" w:space="0" w:color="auto"/>
            </w:tcBorders>
            <w:shd w:val="clear" w:color="000000" w:fill="00ACBB"/>
            <w:vAlign w:val="center"/>
          </w:tcPr>
          <w:p w14:paraId="2BDC524B" w14:textId="77777777" w:rsidR="00AA1798" w:rsidRPr="009C1D75" w:rsidRDefault="00AA1798" w:rsidP="00B62E99">
            <w:pPr>
              <w:spacing w:after="0" w:line="240" w:lineRule="auto"/>
              <w:jc w:val="center"/>
              <w:rPr>
                <w:rFonts w:eastAsia="Times New Roman" w:cs="Arial"/>
                <w:b/>
                <w:bCs/>
                <w:color w:val="000000"/>
                <w:sz w:val="18"/>
                <w:szCs w:val="18"/>
                <w:u w:val="single"/>
                <w:lang w:val="en-US" w:eastAsia="fr-FR"/>
              </w:rPr>
            </w:pPr>
            <w:r>
              <w:rPr>
                <w:rFonts w:eastAsia="Times New Roman" w:cs="Arial"/>
                <w:b/>
                <w:bCs/>
                <w:color w:val="000000"/>
                <w:sz w:val="18"/>
                <w:szCs w:val="18"/>
                <w:u w:val="single"/>
                <w:lang w:val="en-US" w:eastAsia="fr-FR"/>
              </w:rPr>
              <w:t>FFT</w:t>
            </w:r>
          </w:p>
        </w:tc>
        <w:tc>
          <w:tcPr>
            <w:tcW w:w="2695" w:type="dxa"/>
            <w:gridSpan w:val="2"/>
            <w:tcBorders>
              <w:top w:val="nil"/>
              <w:left w:val="single" w:sz="4" w:space="0" w:color="auto"/>
              <w:bottom w:val="nil"/>
              <w:right w:val="nil"/>
            </w:tcBorders>
            <w:shd w:val="clear" w:color="000000" w:fill="00ACBB"/>
            <w:vAlign w:val="center"/>
          </w:tcPr>
          <w:p w14:paraId="3E4DBF38" w14:textId="77777777" w:rsidR="00AA1798"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PLEDGE</w:t>
            </w:r>
          </w:p>
        </w:tc>
      </w:tr>
      <w:tr w:rsidR="00AA1798" w:rsidRPr="009C1D75" w14:paraId="39930683" w14:textId="77777777" w:rsidTr="00B62E99">
        <w:trPr>
          <w:trHeight w:val="80"/>
        </w:trPr>
        <w:tc>
          <w:tcPr>
            <w:tcW w:w="3686" w:type="dxa"/>
            <w:tcBorders>
              <w:top w:val="nil"/>
              <w:left w:val="nil"/>
              <w:bottom w:val="nil"/>
              <w:right w:val="nil"/>
            </w:tcBorders>
            <w:shd w:val="clear" w:color="000000" w:fill="00ACBB"/>
            <w:noWrap/>
            <w:vAlign w:val="center"/>
            <w:hideMark/>
          </w:tcPr>
          <w:p w14:paraId="693E8E91" w14:textId="77777777" w:rsidR="00AA1798" w:rsidRPr="009C1D75" w:rsidRDefault="00AA1798" w:rsidP="00B62E99">
            <w:pPr>
              <w:spacing w:after="0" w:line="240" w:lineRule="auto"/>
              <w:jc w:val="center"/>
              <w:rPr>
                <w:rFonts w:eastAsia="Times New Roman" w:cs="Arial"/>
                <w:color w:val="000000"/>
                <w:sz w:val="18"/>
                <w:szCs w:val="18"/>
                <w:lang w:val="en-US" w:eastAsia="fr-FR"/>
              </w:rPr>
            </w:pPr>
          </w:p>
        </w:tc>
        <w:tc>
          <w:tcPr>
            <w:tcW w:w="191" w:type="dxa"/>
            <w:tcBorders>
              <w:top w:val="nil"/>
              <w:left w:val="nil"/>
              <w:bottom w:val="nil"/>
              <w:right w:val="single" w:sz="4" w:space="0" w:color="auto"/>
            </w:tcBorders>
            <w:shd w:val="clear" w:color="000000" w:fill="00ACBB"/>
            <w:noWrap/>
            <w:vAlign w:val="center"/>
            <w:hideMark/>
          </w:tcPr>
          <w:p w14:paraId="1FF03562" w14:textId="77777777" w:rsidR="00AA1798" w:rsidRPr="009C1D75" w:rsidRDefault="00AA1798" w:rsidP="00B62E99">
            <w:pPr>
              <w:spacing w:after="0" w:line="240" w:lineRule="auto"/>
              <w:ind w:left="-690" w:firstLine="283"/>
              <w:jc w:val="center"/>
              <w:rPr>
                <w:rFonts w:eastAsia="Times New Roman" w:cs="Arial"/>
                <w:color w:val="000000"/>
                <w:sz w:val="18"/>
                <w:szCs w:val="18"/>
                <w:lang w:val="en-US" w:eastAsia="fr-FR"/>
              </w:rPr>
            </w:pPr>
          </w:p>
        </w:tc>
        <w:tc>
          <w:tcPr>
            <w:tcW w:w="1368" w:type="dxa"/>
            <w:tcBorders>
              <w:top w:val="nil"/>
              <w:left w:val="single" w:sz="4" w:space="0" w:color="auto"/>
              <w:bottom w:val="single" w:sz="8" w:space="0" w:color="auto"/>
              <w:right w:val="single" w:sz="4" w:space="0" w:color="auto"/>
            </w:tcBorders>
            <w:shd w:val="clear" w:color="000000" w:fill="00ACBB"/>
            <w:noWrap/>
            <w:vAlign w:val="center"/>
            <w:hideMark/>
          </w:tcPr>
          <w:p w14:paraId="5D3CA8DF" w14:textId="77777777" w:rsidR="00AA1798" w:rsidRPr="00837439"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House</w:t>
            </w:r>
          </w:p>
        </w:tc>
        <w:tc>
          <w:tcPr>
            <w:tcW w:w="1276" w:type="dxa"/>
            <w:tcBorders>
              <w:top w:val="nil"/>
              <w:left w:val="single" w:sz="4" w:space="0" w:color="auto"/>
              <w:bottom w:val="single" w:sz="8" w:space="0" w:color="auto"/>
              <w:right w:val="single" w:sz="4" w:space="0" w:color="auto"/>
            </w:tcBorders>
            <w:shd w:val="clear" w:color="000000" w:fill="00ACBB"/>
            <w:vAlign w:val="center"/>
          </w:tcPr>
          <w:p w14:paraId="7B275CA8" w14:textId="77777777" w:rsidR="00AA1798"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Client</w:t>
            </w:r>
          </w:p>
        </w:tc>
        <w:tc>
          <w:tcPr>
            <w:tcW w:w="1438" w:type="dxa"/>
            <w:tcBorders>
              <w:top w:val="nil"/>
              <w:left w:val="single" w:sz="4" w:space="0" w:color="auto"/>
              <w:bottom w:val="single" w:sz="8" w:space="0" w:color="auto"/>
              <w:right w:val="single" w:sz="4" w:space="0" w:color="auto"/>
            </w:tcBorders>
            <w:shd w:val="clear" w:color="000000" w:fill="00ACBB"/>
            <w:vAlign w:val="center"/>
          </w:tcPr>
          <w:p w14:paraId="301A9D95" w14:textId="77777777" w:rsidR="00AA1798" w:rsidRPr="00837439"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House</w:t>
            </w:r>
          </w:p>
        </w:tc>
        <w:tc>
          <w:tcPr>
            <w:tcW w:w="1257" w:type="dxa"/>
            <w:tcBorders>
              <w:top w:val="nil"/>
              <w:left w:val="single" w:sz="4" w:space="0" w:color="auto"/>
              <w:bottom w:val="single" w:sz="8" w:space="0" w:color="auto"/>
              <w:right w:val="nil"/>
            </w:tcBorders>
            <w:shd w:val="clear" w:color="000000" w:fill="00ACBB"/>
            <w:vAlign w:val="center"/>
          </w:tcPr>
          <w:p w14:paraId="081C1D0C" w14:textId="77777777" w:rsidR="00AA1798" w:rsidDel="00FB0205" w:rsidRDefault="00AA1798" w:rsidP="00B62E99">
            <w:pPr>
              <w:spacing w:after="0" w:line="240" w:lineRule="auto"/>
              <w:jc w:val="center"/>
              <w:rPr>
                <w:rFonts w:eastAsia="Times New Roman" w:cs="Arial"/>
                <w:b/>
                <w:color w:val="000000"/>
                <w:sz w:val="18"/>
                <w:szCs w:val="18"/>
                <w:lang w:val="en-US" w:eastAsia="fr-FR"/>
              </w:rPr>
            </w:pPr>
            <w:r>
              <w:rPr>
                <w:rFonts w:eastAsia="Times New Roman" w:cs="Arial"/>
                <w:b/>
                <w:color w:val="000000"/>
                <w:sz w:val="18"/>
                <w:szCs w:val="18"/>
                <w:lang w:val="en-US" w:eastAsia="fr-FR"/>
              </w:rPr>
              <w:t>Client</w:t>
            </w:r>
          </w:p>
        </w:tc>
      </w:tr>
      <w:tr w:rsidR="00AA1798" w:rsidRPr="009C1D75" w14:paraId="4B44FCC7" w14:textId="77777777" w:rsidTr="00B62E99">
        <w:trPr>
          <w:trHeight w:val="455"/>
        </w:trPr>
        <w:tc>
          <w:tcPr>
            <w:tcW w:w="3686" w:type="dxa"/>
            <w:tcBorders>
              <w:top w:val="nil"/>
              <w:left w:val="nil"/>
              <w:bottom w:val="nil"/>
              <w:right w:val="nil"/>
            </w:tcBorders>
            <w:shd w:val="clear" w:color="auto" w:fill="F2F2F2" w:themeFill="background1" w:themeFillShade="F2"/>
            <w:noWrap/>
            <w:vAlign w:val="center"/>
            <w:hideMark/>
          </w:tcPr>
          <w:p w14:paraId="586DAF6C" w14:textId="1140D6FC" w:rsidR="00AA1798" w:rsidRPr="009C1D75" w:rsidRDefault="00AA3F36" w:rsidP="00AA3F36">
            <w:pPr>
              <w:spacing w:after="0" w:line="240" w:lineRule="auto"/>
              <w:jc w:val="center"/>
              <w:rPr>
                <w:rFonts w:eastAsia="Times New Roman" w:cs="Arial"/>
                <w:color w:val="000000"/>
                <w:sz w:val="18"/>
                <w:szCs w:val="18"/>
                <w:lang w:val="fr-FR" w:eastAsia="fr-FR"/>
              </w:rPr>
            </w:pPr>
            <w:proofErr w:type="spellStart"/>
            <w:r w:rsidRPr="009C1D75">
              <w:rPr>
                <w:rFonts w:eastAsia="Times New Roman" w:cs="Arial"/>
                <w:color w:val="000000"/>
                <w:sz w:val="18"/>
                <w:szCs w:val="18"/>
                <w:lang w:val="fr-FR" w:eastAsia="fr-FR"/>
              </w:rPr>
              <w:t>Gov</w:t>
            </w:r>
            <w:r>
              <w:rPr>
                <w:rFonts w:eastAsia="Times New Roman" w:cs="Arial"/>
                <w:color w:val="000000"/>
                <w:sz w:val="18"/>
                <w:szCs w:val="18"/>
                <w:lang w:val="fr-FR" w:eastAsia="fr-FR"/>
              </w:rPr>
              <w:t>ernment</w:t>
            </w:r>
            <w:proofErr w:type="spellEnd"/>
            <w:r>
              <w:rPr>
                <w:rFonts w:eastAsia="Times New Roman" w:cs="Arial"/>
                <w:color w:val="000000"/>
                <w:sz w:val="18"/>
                <w:szCs w:val="18"/>
                <w:lang w:val="fr-FR" w:eastAsia="fr-FR"/>
              </w:rPr>
              <w:t xml:space="preserve"> Bonds</w:t>
            </w:r>
          </w:p>
        </w:tc>
        <w:tc>
          <w:tcPr>
            <w:tcW w:w="191" w:type="dxa"/>
            <w:tcBorders>
              <w:top w:val="nil"/>
              <w:left w:val="nil"/>
              <w:bottom w:val="nil"/>
              <w:right w:val="nil"/>
            </w:tcBorders>
            <w:shd w:val="clear" w:color="auto" w:fill="F2F2F2" w:themeFill="background1" w:themeFillShade="F2"/>
            <w:noWrap/>
            <w:vAlign w:val="center"/>
            <w:hideMark/>
          </w:tcPr>
          <w:p w14:paraId="02EFA84A"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3F17E17F" w14:textId="07E86BA5" w:rsidR="00AA1798" w:rsidRPr="009C1D75" w:rsidRDefault="00AA1798" w:rsidP="00B62E99">
            <w:pPr>
              <w:spacing w:after="0" w:line="240" w:lineRule="auto"/>
              <w:jc w:val="center"/>
              <w:rPr>
                <w:rFonts w:eastAsia="Times New Roman" w:cs="Arial"/>
                <w:color w:val="000000"/>
                <w:sz w:val="18"/>
                <w:szCs w:val="18"/>
                <w:lang w:val="fr-FR" w:eastAsia="fr-FR"/>
              </w:rPr>
            </w:pPr>
            <w:r w:rsidRPr="008F39AF">
              <w:rPr>
                <w:rFonts w:eastAsia="Times New Roman" w:cs="Arial"/>
                <w:color w:val="C00000"/>
                <w:sz w:val="18"/>
                <w:szCs w:val="18"/>
                <w:lang w:val="fr-FR" w:eastAsia="fr-FR"/>
              </w:rPr>
              <w:t>11bps</w:t>
            </w:r>
            <w:r>
              <w:rPr>
                <w:rFonts w:eastAsia="Times New Roman" w:cs="Arial"/>
                <w:color w:val="000000"/>
                <w:sz w:val="18"/>
                <w:szCs w:val="18"/>
                <w:lang w:val="fr-FR" w:eastAsia="fr-FR"/>
              </w:rPr>
              <w:t>**</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12328AFA"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380A4807" w14:textId="77777777" w:rsidR="00AA1798" w:rsidRPr="00AA3F36" w:rsidRDefault="00AA1798" w:rsidP="00B62E99">
            <w:pPr>
              <w:spacing w:after="0" w:line="240" w:lineRule="auto"/>
              <w:jc w:val="center"/>
              <w:rPr>
                <w:rFonts w:eastAsia="Times New Roman" w:cs="Arial"/>
                <w:color w:val="FF0000"/>
                <w:sz w:val="18"/>
                <w:szCs w:val="18"/>
                <w:lang w:val="fr-FR" w:eastAsia="fr-FR"/>
              </w:rPr>
            </w:pPr>
            <w:r w:rsidRPr="00AA3F36">
              <w:rPr>
                <w:rFonts w:eastAsia="Times New Roman" w:cs="Arial"/>
                <w:color w:val="FF0000"/>
                <w:sz w:val="18"/>
                <w:szCs w:val="18"/>
                <w:lang w:val="fr-FR" w:eastAsia="fr-FR"/>
              </w:rPr>
              <w:t>15bps</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7D79F8A6"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w:t>
            </w:r>
            <w:r>
              <w:rPr>
                <w:rFonts w:eastAsia="Times New Roman" w:cs="Arial"/>
                <w:color w:val="000000"/>
                <w:sz w:val="18"/>
                <w:szCs w:val="18"/>
                <w:lang w:val="fr-FR" w:eastAsia="fr-FR"/>
              </w:rPr>
              <w:t>0</w:t>
            </w:r>
            <w:r w:rsidRPr="009C1D75">
              <w:rPr>
                <w:rFonts w:eastAsia="Times New Roman" w:cs="Arial"/>
                <w:color w:val="000000"/>
                <w:sz w:val="18"/>
                <w:szCs w:val="18"/>
                <w:lang w:val="fr-FR" w:eastAsia="fr-FR"/>
              </w:rPr>
              <w:t>bps</w:t>
            </w:r>
          </w:p>
        </w:tc>
      </w:tr>
      <w:tr w:rsidR="00AA1798" w:rsidRPr="009C1D75" w14:paraId="18C62EB1" w14:textId="77777777" w:rsidTr="00B62E99">
        <w:trPr>
          <w:trHeight w:val="472"/>
        </w:trPr>
        <w:tc>
          <w:tcPr>
            <w:tcW w:w="3686" w:type="dxa"/>
            <w:tcBorders>
              <w:top w:val="nil"/>
              <w:left w:val="nil"/>
              <w:bottom w:val="nil"/>
              <w:right w:val="nil"/>
            </w:tcBorders>
            <w:shd w:val="clear" w:color="auto" w:fill="F2F2F2" w:themeFill="background1" w:themeFillShade="F2"/>
            <w:noWrap/>
            <w:vAlign w:val="center"/>
            <w:hideMark/>
          </w:tcPr>
          <w:p w14:paraId="30A23D87" w14:textId="4A792945"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Supranational</w:t>
            </w:r>
            <w:r w:rsidR="00AA3F36">
              <w:rPr>
                <w:rFonts w:eastAsia="Times New Roman" w:cs="Arial"/>
                <w:color w:val="000000"/>
                <w:sz w:val="18"/>
                <w:szCs w:val="18"/>
                <w:lang w:val="fr-FR" w:eastAsia="fr-FR"/>
              </w:rPr>
              <w:t xml:space="preserve"> Bonds</w:t>
            </w:r>
          </w:p>
        </w:tc>
        <w:tc>
          <w:tcPr>
            <w:tcW w:w="191" w:type="dxa"/>
            <w:tcBorders>
              <w:top w:val="nil"/>
              <w:left w:val="nil"/>
              <w:bottom w:val="nil"/>
              <w:right w:val="nil"/>
            </w:tcBorders>
            <w:shd w:val="clear" w:color="auto" w:fill="F2F2F2" w:themeFill="background1" w:themeFillShade="F2"/>
            <w:noWrap/>
            <w:vAlign w:val="center"/>
            <w:hideMark/>
          </w:tcPr>
          <w:p w14:paraId="5B1F38B6"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57CF81B2" w14:textId="77777777" w:rsidR="00AA1798" w:rsidRPr="00AA3F36" w:rsidRDefault="00AA1798" w:rsidP="00B62E99">
            <w:pPr>
              <w:spacing w:after="0" w:line="240" w:lineRule="auto"/>
              <w:jc w:val="center"/>
              <w:rPr>
                <w:rFonts w:eastAsia="Times New Roman" w:cs="Arial"/>
                <w:color w:val="FF0000"/>
                <w:sz w:val="18"/>
                <w:szCs w:val="18"/>
                <w:lang w:val="fr-FR" w:eastAsia="fr-FR"/>
              </w:rPr>
            </w:pPr>
            <w:r w:rsidRPr="00AA3F36">
              <w:rPr>
                <w:rFonts w:eastAsia="Times New Roman" w:cs="Arial"/>
                <w:color w:val="FF0000"/>
                <w:sz w:val="18"/>
                <w:szCs w:val="18"/>
                <w:lang w:val="fr-FR" w:eastAsia="fr-FR"/>
              </w:rPr>
              <w:t>13bps</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4EAF72DD" w14:textId="77777777" w:rsidR="00AA1798" w:rsidRPr="00AA3F36" w:rsidRDefault="00AA1798" w:rsidP="00B62E99">
            <w:pPr>
              <w:spacing w:after="0" w:line="240" w:lineRule="auto"/>
              <w:jc w:val="center"/>
              <w:rPr>
                <w:rFonts w:eastAsia="Times New Roman" w:cs="Arial"/>
                <w:color w:val="FF0000"/>
                <w:sz w:val="18"/>
                <w:szCs w:val="18"/>
                <w:lang w:val="fr-FR" w:eastAsia="fr-FR"/>
              </w:rPr>
            </w:pPr>
            <w:r w:rsidRPr="00AA3F36">
              <w:rPr>
                <w:rFonts w:eastAsia="Times New Roman" w:cs="Arial"/>
                <w:color w:val="FF0000"/>
                <w:sz w:val="18"/>
                <w:szCs w:val="18"/>
                <w:lang w:val="fr-FR" w:eastAsia="fr-FR"/>
              </w:rPr>
              <w:t>10bps</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3BD66306" w14:textId="77777777" w:rsidR="00AA1798" w:rsidRPr="00AA3F36" w:rsidRDefault="00AA1798" w:rsidP="00B62E99">
            <w:pPr>
              <w:spacing w:after="0" w:line="240" w:lineRule="auto"/>
              <w:jc w:val="center"/>
              <w:rPr>
                <w:rFonts w:eastAsia="Times New Roman" w:cs="Arial"/>
                <w:color w:val="FF0000"/>
                <w:sz w:val="18"/>
                <w:szCs w:val="18"/>
                <w:lang w:val="fr-FR" w:eastAsia="fr-FR"/>
              </w:rPr>
            </w:pPr>
            <w:r w:rsidRPr="00AA3F36">
              <w:rPr>
                <w:rFonts w:eastAsia="Times New Roman" w:cs="Arial"/>
                <w:color w:val="FF0000"/>
                <w:sz w:val="18"/>
                <w:szCs w:val="18"/>
                <w:lang w:val="fr-FR" w:eastAsia="fr-FR"/>
              </w:rPr>
              <w:t>15bps</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2AA1B5BF"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B62E99">
              <w:rPr>
                <w:rFonts w:eastAsia="Times New Roman" w:cs="Arial"/>
                <w:color w:val="FF0000"/>
                <w:sz w:val="18"/>
                <w:szCs w:val="18"/>
                <w:lang w:val="fr-FR" w:eastAsia="fr-FR"/>
              </w:rPr>
              <w:t>10bps</w:t>
            </w:r>
          </w:p>
        </w:tc>
      </w:tr>
      <w:tr w:rsidR="00AA1798" w:rsidRPr="009C1D75" w14:paraId="4DBCD401" w14:textId="77777777" w:rsidTr="00B62E99">
        <w:trPr>
          <w:trHeight w:val="435"/>
        </w:trPr>
        <w:tc>
          <w:tcPr>
            <w:tcW w:w="3686" w:type="dxa"/>
            <w:tcBorders>
              <w:top w:val="nil"/>
              <w:left w:val="nil"/>
              <w:bottom w:val="nil"/>
              <w:right w:val="nil"/>
            </w:tcBorders>
            <w:shd w:val="clear" w:color="auto" w:fill="F2F2F2" w:themeFill="background1" w:themeFillShade="F2"/>
            <w:noWrap/>
            <w:vAlign w:val="center"/>
            <w:hideMark/>
          </w:tcPr>
          <w:p w14:paraId="05F9E8AA" w14:textId="07FCDDDE"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Agenc</w:t>
            </w:r>
            <w:r w:rsidR="00A65BB6">
              <w:rPr>
                <w:rFonts w:eastAsia="Times New Roman" w:cs="Arial"/>
                <w:color w:val="000000"/>
                <w:sz w:val="18"/>
                <w:szCs w:val="18"/>
                <w:lang w:val="fr-FR" w:eastAsia="fr-FR"/>
              </w:rPr>
              <w:t>y Bonds</w:t>
            </w:r>
          </w:p>
        </w:tc>
        <w:tc>
          <w:tcPr>
            <w:tcW w:w="191" w:type="dxa"/>
            <w:tcBorders>
              <w:top w:val="nil"/>
              <w:left w:val="nil"/>
              <w:bottom w:val="nil"/>
              <w:right w:val="nil"/>
            </w:tcBorders>
            <w:shd w:val="clear" w:color="auto" w:fill="F2F2F2" w:themeFill="background1" w:themeFillShade="F2"/>
            <w:noWrap/>
            <w:vAlign w:val="center"/>
            <w:hideMark/>
          </w:tcPr>
          <w:p w14:paraId="5F5F6340"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696F6F81"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AA3F36">
              <w:rPr>
                <w:rFonts w:eastAsia="Times New Roman" w:cs="Arial"/>
                <w:color w:val="FF0000"/>
                <w:sz w:val="18"/>
                <w:szCs w:val="18"/>
                <w:lang w:val="fr-FR" w:eastAsia="fr-FR"/>
              </w:rPr>
              <w:t>13bps</w:t>
            </w: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73159F39"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1F8A351C" w14:textId="77777777" w:rsidR="00AA1798" w:rsidRPr="00AA3F36" w:rsidRDefault="00AA1798" w:rsidP="00B62E99">
            <w:pPr>
              <w:spacing w:after="0" w:line="240" w:lineRule="auto"/>
              <w:jc w:val="center"/>
              <w:rPr>
                <w:rFonts w:eastAsia="Times New Roman" w:cs="Arial"/>
                <w:color w:val="FF0000"/>
                <w:sz w:val="18"/>
                <w:szCs w:val="18"/>
                <w:lang w:val="fr-FR" w:eastAsia="fr-FR"/>
              </w:rPr>
            </w:pPr>
            <w:r w:rsidRPr="00AA3F36">
              <w:rPr>
                <w:rFonts w:eastAsia="Times New Roman" w:cs="Arial"/>
                <w:color w:val="FF0000"/>
                <w:sz w:val="18"/>
                <w:szCs w:val="18"/>
                <w:lang w:val="fr-FR" w:eastAsia="fr-FR"/>
              </w:rPr>
              <w:t>15bps</w:t>
            </w: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14244020" w14:textId="77777777" w:rsidR="00AA1798" w:rsidRPr="009C1D75" w:rsidRDefault="00AA1798" w:rsidP="00B62E99">
            <w:pPr>
              <w:spacing w:after="0" w:line="240" w:lineRule="auto"/>
              <w:jc w:val="center"/>
              <w:rPr>
                <w:rFonts w:eastAsia="Times New Roman" w:cs="Arial"/>
                <w:color w:val="000000"/>
                <w:sz w:val="18"/>
                <w:szCs w:val="18"/>
                <w:lang w:val="fr-FR" w:eastAsia="fr-FR"/>
              </w:rPr>
            </w:pPr>
            <w:r w:rsidRPr="009C1D75">
              <w:rPr>
                <w:rFonts w:eastAsia="Times New Roman" w:cs="Arial"/>
                <w:color w:val="000000"/>
                <w:sz w:val="18"/>
                <w:szCs w:val="18"/>
                <w:lang w:val="fr-FR" w:eastAsia="fr-FR"/>
              </w:rPr>
              <w:t>10bps</w:t>
            </w:r>
          </w:p>
        </w:tc>
      </w:tr>
      <w:tr w:rsidR="00AA1798" w:rsidRPr="009C1D75" w14:paraId="01C6A64B" w14:textId="77777777" w:rsidTr="00B62E99">
        <w:trPr>
          <w:trHeight w:val="143"/>
        </w:trPr>
        <w:tc>
          <w:tcPr>
            <w:tcW w:w="3686" w:type="dxa"/>
            <w:tcBorders>
              <w:top w:val="nil"/>
              <w:left w:val="nil"/>
              <w:bottom w:val="nil"/>
              <w:right w:val="nil"/>
            </w:tcBorders>
            <w:shd w:val="clear" w:color="auto" w:fill="F2F2F2" w:themeFill="background1" w:themeFillShade="F2"/>
            <w:noWrap/>
            <w:vAlign w:val="center"/>
            <w:hideMark/>
          </w:tcPr>
          <w:p w14:paraId="601E1609"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91" w:type="dxa"/>
            <w:tcBorders>
              <w:top w:val="nil"/>
              <w:left w:val="nil"/>
              <w:bottom w:val="nil"/>
              <w:right w:val="nil"/>
            </w:tcBorders>
            <w:shd w:val="clear" w:color="auto" w:fill="F2F2F2" w:themeFill="background1" w:themeFillShade="F2"/>
            <w:noWrap/>
            <w:vAlign w:val="center"/>
            <w:hideMark/>
          </w:tcPr>
          <w:p w14:paraId="7D4031C8"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368" w:type="dxa"/>
            <w:tcBorders>
              <w:top w:val="nil"/>
              <w:left w:val="single" w:sz="8" w:space="0" w:color="auto"/>
              <w:bottom w:val="nil"/>
              <w:right w:val="single" w:sz="8" w:space="0" w:color="auto"/>
            </w:tcBorders>
            <w:shd w:val="clear" w:color="auto" w:fill="F2F2F2" w:themeFill="background1" w:themeFillShade="F2"/>
            <w:noWrap/>
            <w:vAlign w:val="center"/>
            <w:hideMark/>
          </w:tcPr>
          <w:p w14:paraId="22C2AFAF"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276" w:type="dxa"/>
            <w:tcBorders>
              <w:top w:val="nil"/>
              <w:left w:val="single" w:sz="8" w:space="0" w:color="auto"/>
              <w:bottom w:val="nil"/>
              <w:right w:val="single" w:sz="8" w:space="0" w:color="auto"/>
            </w:tcBorders>
            <w:shd w:val="clear" w:color="auto" w:fill="F2F2F2" w:themeFill="background1" w:themeFillShade="F2"/>
            <w:vAlign w:val="center"/>
          </w:tcPr>
          <w:p w14:paraId="21DA80F4"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438" w:type="dxa"/>
            <w:tcBorders>
              <w:top w:val="nil"/>
              <w:left w:val="single" w:sz="8" w:space="0" w:color="auto"/>
              <w:bottom w:val="nil"/>
              <w:right w:val="single" w:sz="8" w:space="0" w:color="auto"/>
            </w:tcBorders>
            <w:shd w:val="clear" w:color="auto" w:fill="F2F2F2" w:themeFill="background1" w:themeFillShade="F2"/>
            <w:vAlign w:val="center"/>
          </w:tcPr>
          <w:p w14:paraId="5691C2D7"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c>
          <w:tcPr>
            <w:tcW w:w="1257" w:type="dxa"/>
            <w:tcBorders>
              <w:top w:val="nil"/>
              <w:left w:val="single" w:sz="8" w:space="0" w:color="auto"/>
              <w:bottom w:val="nil"/>
              <w:right w:val="single" w:sz="8" w:space="0" w:color="auto"/>
            </w:tcBorders>
            <w:shd w:val="clear" w:color="auto" w:fill="F2F2F2" w:themeFill="background1" w:themeFillShade="F2"/>
            <w:vAlign w:val="center"/>
          </w:tcPr>
          <w:p w14:paraId="30ECA6C5" w14:textId="77777777" w:rsidR="00AA1798" w:rsidRPr="009C1D75" w:rsidRDefault="00AA1798" w:rsidP="00B62E99">
            <w:pPr>
              <w:spacing w:after="0" w:line="240" w:lineRule="auto"/>
              <w:jc w:val="center"/>
              <w:rPr>
                <w:rFonts w:eastAsia="Times New Roman" w:cs="Arial"/>
                <w:color w:val="000000"/>
                <w:sz w:val="18"/>
                <w:szCs w:val="18"/>
                <w:lang w:val="fr-FR" w:eastAsia="fr-FR"/>
              </w:rPr>
            </w:pPr>
          </w:p>
        </w:tc>
      </w:tr>
    </w:tbl>
    <w:p w14:paraId="3CE62CBD" w14:textId="77777777" w:rsidR="00AA1798" w:rsidRDefault="00AA1798" w:rsidP="00AA1798">
      <w:pPr>
        <w:spacing w:after="0" w:line="240" w:lineRule="auto"/>
        <w:rPr>
          <w:rFonts w:ascii="Calibri" w:hAnsi="Calibri" w:cs="Calibri"/>
          <w:b/>
          <w:bCs/>
          <w:sz w:val="22"/>
          <w:szCs w:val="22"/>
          <w:u w:val="single"/>
          <w:lang w:val="en-US"/>
        </w:rPr>
      </w:pPr>
    </w:p>
    <w:p w14:paraId="654F2FEB" w14:textId="77777777" w:rsidR="00AA1798" w:rsidRDefault="00AA1798" w:rsidP="00AA1798">
      <w:pPr>
        <w:spacing w:after="0" w:line="240" w:lineRule="auto"/>
        <w:rPr>
          <w:rFonts w:ascii="Calibri" w:hAnsi="Calibri" w:cs="Calibri"/>
          <w:color w:val="000000"/>
          <w:sz w:val="22"/>
          <w:szCs w:val="22"/>
          <w:lang w:eastAsia="fr-FR"/>
        </w:rPr>
      </w:pPr>
    </w:p>
    <w:p w14:paraId="29EE3260" w14:textId="560F68CE" w:rsidR="00AA1798" w:rsidRDefault="00AA1798" w:rsidP="00AA1798">
      <w:pPr>
        <w:spacing w:after="0" w:line="240" w:lineRule="auto"/>
        <w:rPr>
          <w:rFonts w:ascii="Calibri" w:hAnsi="Calibri" w:cs="Calibri"/>
          <w:i/>
          <w:color w:val="000000"/>
          <w:sz w:val="22"/>
          <w:szCs w:val="22"/>
          <w:lang w:eastAsia="fr-FR"/>
        </w:rPr>
      </w:pPr>
      <w:r w:rsidRPr="00C20E11">
        <w:rPr>
          <w:rFonts w:ascii="Calibri" w:hAnsi="Calibri" w:cs="Calibri"/>
          <w:color w:val="000000"/>
          <w:sz w:val="22"/>
          <w:szCs w:val="22"/>
          <w:lang w:eastAsia="fr-FR"/>
        </w:rPr>
        <w:t xml:space="preserve">* </w:t>
      </w:r>
      <w:r w:rsidRPr="00C20E11">
        <w:rPr>
          <w:rFonts w:ascii="Calibri" w:hAnsi="Calibri" w:cs="Calibri"/>
          <w:i/>
          <w:color w:val="000000"/>
          <w:sz w:val="22"/>
          <w:szCs w:val="22"/>
          <w:lang w:eastAsia="fr-FR"/>
        </w:rPr>
        <w:t>Subject to regulatory review/approval process</w:t>
      </w:r>
    </w:p>
    <w:p w14:paraId="283478A9" w14:textId="62D48162" w:rsidR="00AA1798" w:rsidRPr="00C20E11" w:rsidRDefault="00AA1798" w:rsidP="00AA1798">
      <w:pPr>
        <w:spacing w:after="0" w:line="240" w:lineRule="auto"/>
        <w:rPr>
          <w:rFonts w:ascii="Calibri" w:hAnsi="Calibri" w:cs="Calibri"/>
          <w:b/>
          <w:bCs/>
          <w:sz w:val="22"/>
          <w:szCs w:val="22"/>
          <w:u w:val="single"/>
          <w:lang w:val="en-US"/>
        </w:rPr>
      </w:pPr>
      <w:r>
        <w:rPr>
          <w:rFonts w:ascii="Calibri" w:hAnsi="Calibri" w:cs="Calibri"/>
          <w:i/>
          <w:color w:val="000000"/>
          <w:sz w:val="22"/>
          <w:szCs w:val="22"/>
          <w:lang w:eastAsia="fr-FR"/>
        </w:rPr>
        <w:t>** This fee increase will only be applicable in a second phase (Q1 2020)</w:t>
      </w:r>
    </w:p>
    <w:p w14:paraId="433B4996" w14:textId="3EA6C32D" w:rsidR="002745CA" w:rsidRPr="00C20E11" w:rsidRDefault="002745CA" w:rsidP="00AA1798">
      <w:pPr>
        <w:spacing w:after="0" w:line="240" w:lineRule="auto"/>
        <w:jc w:val="center"/>
        <w:rPr>
          <w:rFonts w:ascii="Calibri" w:hAnsi="Calibri" w:cs="Calibri"/>
          <w:b/>
          <w:bCs/>
          <w:sz w:val="22"/>
          <w:szCs w:val="22"/>
          <w:u w:val="single"/>
          <w:lang w:val="en-US"/>
        </w:rPr>
      </w:pPr>
    </w:p>
    <w:sectPr w:rsidR="002745CA" w:rsidRPr="00C20E11" w:rsidSect="00D667C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005" w:right="1134" w:bottom="1134" w:left="1531" w:header="1049"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7A2F" w14:textId="77777777" w:rsidR="00C9148E" w:rsidRDefault="00C9148E" w:rsidP="00DE45A0">
      <w:pPr>
        <w:spacing w:after="0" w:line="240" w:lineRule="auto"/>
      </w:pPr>
      <w:r>
        <w:separator/>
      </w:r>
    </w:p>
  </w:endnote>
  <w:endnote w:type="continuationSeparator" w:id="0">
    <w:p w14:paraId="4A254EF6" w14:textId="77777777" w:rsidR="00C9148E" w:rsidRDefault="00C9148E" w:rsidP="00DE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eSans-B8Extra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F97E" w14:textId="77777777" w:rsidR="008F39AF" w:rsidRDefault="008F39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28846"/>
      <w:docPartObj>
        <w:docPartGallery w:val="Page Numbers (Bottom of Page)"/>
        <w:docPartUnique/>
      </w:docPartObj>
    </w:sdtPr>
    <w:sdtEndPr/>
    <w:sdtContent>
      <w:p w14:paraId="2C2E95EA" w14:textId="21861245" w:rsidR="008F2EE3" w:rsidRDefault="008F2EE3">
        <w:pPr>
          <w:pStyle w:val="Pieddepage"/>
          <w:jc w:val="center"/>
        </w:pPr>
        <w:r>
          <w:rPr>
            <w:noProof/>
          </w:rPr>
          <w:fldChar w:fldCharType="begin"/>
        </w:r>
        <w:r>
          <w:rPr>
            <w:noProof/>
          </w:rPr>
          <w:instrText xml:space="preserve"> PAGE   \* MERGEFORMAT </w:instrText>
        </w:r>
        <w:r>
          <w:rPr>
            <w:noProof/>
          </w:rPr>
          <w:fldChar w:fldCharType="separate"/>
        </w:r>
        <w:r w:rsidR="00B1435F">
          <w:rPr>
            <w:noProof/>
          </w:rPr>
          <w:t>2</w:t>
        </w:r>
        <w:r>
          <w:rPr>
            <w:noProof/>
          </w:rPr>
          <w:fldChar w:fldCharType="end"/>
        </w:r>
      </w:p>
    </w:sdtContent>
  </w:sdt>
  <w:p w14:paraId="123A0FBF" w14:textId="77777777" w:rsidR="008F2EE3" w:rsidRDefault="008F2EE3" w:rsidP="00816F38">
    <w:pPr>
      <w:pStyle w:val="NormalNoSpac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12B" w14:textId="77777777" w:rsidR="008F2EE3" w:rsidRDefault="008F2EE3" w:rsidP="00CF6E58">
    <w:pPr>
      <w:pStyle w:val="Pieddepage"/>
      <w:ind w:left="-567"/>
    </w:pPr>
  </w:p>
  <w:p w14:paraId="10D01EC3" w14:textId="77777777" w:rsidR="008F2EE3" w:rsidRDefault="008F2EE3" w:rsidP="00CF6E58">
    <w:pPr>
      <w:pStyle w:val="Pieddepage"/>
      <w:ind w:left="-567"/>
    </w:pPr>
    <w:r>
      <w:rPr>
        <w:noProof/>
        <w:lang w:val="fr-FR" w:eastAsia="fr-FR"/>
      </w:rPr>
      <w:drawing>
        <wp:inline distT="0" distB="0" distL="0" distR="0" wp14:anchorId="0566F6F0" wp14:editId="5A1BF6E7">
          <wp:extent cx="6044565" cy="614680"/>
          <wp:effectExtent l="19050" t="0" r="0" b="0"/>
          <wp:docPr id="12" name="Picture 2"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
                  <a:stretch>
                    <a:fillRect/>
                  </a:stretch>
                </pic:blipFill>
                <pic:spPr>
                  <a:xfrm>
                    <a:off x="0" y="0"/>
                    <a:ext cx="6044565" cy="614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A4CC" w14:textId="77777777" w:rsidR="00C9148E" w:rsidRDefault="00C9148E" w:rsidP="00DE45A0">
      <w:pPr>
        <w:spacing w:after="0" w:line="240" w:lineRule="auto"/>
      </w:pPr>
      <w:r>
        <w:separator/>
      </w:r>
    </w:p>
  </w:footnote>
  <w:footnote w:type="continuationSeparator" w:id="0">
    <w:p w14:paraId="38835934" w14:textId="77777777" w:rsidR="00C9148E" w:rsidRDefault="00C9148E" w:rsidP="00DE4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1ABD" w14:textId="450ECE0B" w:rsidR="00B20A7D" w:rsidRDefault="00B20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4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1"/>
      <w:gridCol w:w="5117"/>
    </w:tblGrid>
    <w:tr w:rsidR="008F2EE3" w14:paraId="0F77B7F8" w14:textId="77777777" w:rsidTr="00BA5206">
      <w:trPr>
        <w:trHeight w:hRule="exact" w:val="1531"/>
      </w:trPr>
      <w:tc>
        <w:tcPr>
          <w:tcW w:w="5216" w:type="dxa"/>
        </w:tcPr>
        <w:p w14:paraId="74E75A41" w14:textId="77100792" w:rsidR="008F2EE3" w:rsidRDefault="008F2EE3" w:rsidP="000058A5">
          <w:pPr>
            <w:pStyle w:val="En-tte"/>
          </w:pPr>
          <w:bookmarkStart w:id="1" w:name="LCHLogo2"/>
          <w:r>
            <w:rPr>
              <w:noProof/>
              <w:lang w:val="fr-FR" w:eastAsia="fr-FR"/>
            </w:rPr>
            <w:drawing>
              <wp:inline distT="0" distB="0" distL="0" distR="0" wp14:anchorId="1949518C" wp14:editId="2CCA1D49">
                <wp:extent cx="2344674" cy="301752"/>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 Clearnet logo NEW AUG 2008.jpg"/>
                        <pic:cNvPicPr/>
                      </pic:nvPicPr>
                      <pic:blipFill>
                        <a:blip r:embed="rId1">
                          <a:extLst>
                            <a:ext uri="{28A0092B-C50C-407E-A947-70E740481C1C}">
                              <a14:useLocalDpi xmlns:a14="http://schemas.microsoft.com/office/drawing/2010/main" val="0"/>
                            </a:ext>
                          </a:extLst>
                        </a:blip>
                        <a:stretch>
                          <a:fillRect/>
                        </a:stretch>
                      </pic:blipFill>
                      <pic:spPr>
                        <a:xfrm>
                          <a:off x="0" y="0"/>
                          <a:ext cx="2344674" cy="301752"/>
                        </a:xfrm>
                        <a:prstGeom prst="rect">
                          <a:avLst/>
                        </a:prstGeom>
                      </pic:spPr>
                    </pic:pic>
                  </a:graphicData>
                </a:graphic>
              </wp:inline>
            </w:drawing>
          </w:r>
          <w:bookmarkEnd w:id="1"/>
        </w:p>
      </w:tc>
      <w:tc>
        <w:tcPr>
          <w:tcW w:w="5103" w:type="dxa"/>
        </w:tcPr>
        <w:p w14:paraId="6A7E6F10" w14:textId="77777777" w:rsidR="008F2EE3" w:rsidRPr="00601E80" w:rsidRDefault="008F2EE3" w:rsidP="00BA5206">
          <w:pPr>
            <w:pStyle w:val="LCHConfidential"/>
          </w:pPr>
        </w:p>
      </w:tc>
    </w:tr>
  </w:tbl>
  <w:p w14:paraId="7ED961EF" w14:textId="64035861" w:rsidR="008F2EE3" w:rsidRDefault="008F2EE3" w:rsidP="00AA4B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4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1"/>
      <w:gridCol w:w="5117"/>
    </w:tblGrid>
    <w:tr w:rsidR="008F2EE3" w14:paraId="390FE009" w14:textId="77777777" w:rsidTr="001C69B5">
      <w:trPr>
        <w:trHeight w:hRule="exact" w:val="1531"/>
      </w:trPr>
      <w:tc>
        <w:tcPr>
          <w:tcW w:w="5231" w:type="dxa"/>
        </w:tcPr>
        <w:p w14:paraId="7A5B9190" w14:textId="77777777" w:rsidR="008F2EE3" w:rsidRDefault="008F2EE3">
          <w:pPr>
            <w:pStyle w:val="En-tte"/>
          </w:pPr>
          <w:r>
            <w:rPr>
              <w:noProof/>
              <w:lang w:val="fr-FR" w:eastAsia="fr-FR"/>
            </w:rPr>
            <w:drawing>
              <wp:inline distT="0" distB="0" distL="0" distR="0" wp14:anchorId="7D03428D" wp14:editId="011D198E">
                <wp:extent cx="2503608" cy="552450"/>
                <wp:effectExtent l="19050" t="0" r="0" b="0"/>
                <wp:docPr id="11" name="Picture 0" descr="LCH with part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 with partner JPEG.jpg"/>
                        <pic:cNvPicPr/>
                      </pic:nvPicPr>
                      <pic:blipFill>
                        <a:blip r:embed="rId1"/>
                        <a:srcRect l="3716" t="40328" r="-2344" b="37838"/>
                        <a:stretch>
                          <a:fillRect/>
                        </a:stretch>
                      </pic:blipFill>
                      <pic:spPr>
                        <a:xfrm>
                          <a:off x="0" y="0"/>
                          <a:ext cx="2503608" cy="552450"/>
                        </a:xfrm>
                        <a:prstGeom prst="rect">
                          <a:avLst/>
                        </a:prstGeom>
                      </pic:spPr>
                    </pic:pic>
                  </a:graphicData>
                </a:graphic>
              </wp:inline>
            </w:drawing>
          </w:r>
        </w:p>
        <w:p w14:paraId="25EC4962" w14:textId="77777777" w:rsidR="008F2EE3" w:rsidRDefault="008F2EE3">
          <w:pPr>
            <w:pStyle w:val="En-tte"/>
          </w:pPr>
        </w:p>
      </w:tc>
      <w:tc>
        <w:tcPr>
          <w:tcW w:w="5117" w:type="dxa"/>
        </w:tcPr>
        <w:p w14:paraId="74C8090B" w14:textId="77777777" w:rsidR="008F2EE3" w:rsidRPr="00601E80" w:rsidRDefault="008F2EE3" w:rsidP="00075576">
          <w:pPr>
            <w:pStyle w:val="LCHConfidential"/>
          </w:pPr>
          <w:bookmarkStart w:id="2" w:name="LCHPandC1"/>
          <w:bookmarkStart w:id="3" w:name="LCHPandC"/>
          <w:bookmarkEnd w:id="2"/>
          <w:r w:rsidRPr="00601E80">
            <w:t xml:space="preserve"> </w:t>
          </w:r>
          <w:bookmarkEnd w:id="3"/>
        </w:p>
      </w:tc>
    </w:tr>
  </w:tbl>
  <w:p w14:paraId="3112889F" w14:textId="05D12F43" w:rsidR="008F2EE3" w:rsidRDefault="008F2EE3" w:rsidP="00D323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39B"/>
    <w:multiLevelType w:val="multilevel"/>
    <w:tmpl w:val="44EEED08"/>
    <w:lvl w:ilvl="0">
      <w:start w:val="1"/>
      <w:numFmt w:val="decimal"/>
      <w:pStyle w:val="Titre1"/>
      <w:lvlText w:val="%1"/>
      <w:lvlJc w:val="left"/>
      <w:pPr>
        <w:ind w:left="0" w:hanging="680"/>
      </w:pPr>
      <w:rPr>
        <w:rFonts w:hint="default"/>
      </w:rPr>
    </w:lvl>
    <w:lvl w:ilvl="1">
      <w:start w:val="1"/>
      <w:numFmt w:val="decimal"/>
      <w:pStyle w:val="Titre2"/>
      <w:lvlText w:val="%1.%2"/>
      <w:lvlJc w:val="left"/>
      <w:pPr>
        <w:ind w:left="0" w:hanging="680"/>
      </w:pPr>
      <w:rPr>
        <w:rFonts w:hint="default"/>
      </w:rPr>
    </w:lvl>
    <w:lvl w:ilvl="2">
      <w:start w:val="1"/>
      <w:numFmt w:val="decimal"/>
      <w:pStyle w:val="Titre3"/>
      <w:lvlText w:val="%1.%2.%3"/>
      <w:lvlJc w:val="left"/>
      <w:pPr>
        <w:ind w:left="0" w:hanging="680"/>
      </w:pPr>
      <w:rPr>
        <w:rFonts w:hint="default"/>
      </w:rPr>
    </w:lvl>
    <w:lvl w:ilvl="3">
      <w:start w:val="1"/>
      <w:numFmt w:val="decimal"/>
      <w:pStyle w:val="NumbList1"/>
      <w:lvlText w:val="%4"/>
      <w:lvlJc w:val="left"/>
      <w:pPr>
        <w:ind w:left="425" w:hanging="425"/>
      </w:pPr>
      <w:rPr>
        <w:rFonts w:hint="default"/>
      </w:rPr>
    </w:lvl>
    <w:lvl w:ilvl="4">
      <w:start w:val="1"/>
      <w:numFmt w:val="lowerLetter"/>
      <w:pStyle w:val="NumbList2"/>
      <w:lvlText w:val="%5"/>
      <w:lvlJc w:val="left"/>
      <w:pPr>
        <w:ind w:left="425" w:firstLine="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FE53A7"/>
    <w:multiLevelType w:val="hybridMultilevel"/>
    <w:tmpl w:val="341C9E84"/>
    <w:lvl w:ilvl="0" w:tplc="010457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E91F86"/>
    <w:multiLevelType w:val="hybridMultilevel"/>
    <w:tmpl w:val="44DAEB54"/>
    <w:lvl w:ilvl="0" w:tplc="7FA2E6C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3E87828"/>
    <w:multiLevelType w:val="hybridMultilevel"/>
    <w:tmpl w:val="4CA0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3551A5"/>
    <w:multiLevelType w:val="hybridMultilevel"/>
    <w:tmpl w:val="294A8B04"/>
    <w:lvl w:ilvl="0" w:tplc="8604E11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D1232"/>
    <w:multiLevelType w:val="multilevel"/>
    <w:tmpl w:val="EE0CD77C"/>
    <w:lvl w:ilvl="0">
      <w:start w:val="1"/>
      <w:numFmt w:val="decimal"/>
      <w:pStyle w:val="Level1"/>
      <w:lvlText w:val="CHAPTER %1"/>
      <w:lvlJc w:val="left"/>
      <w:pPr>
        <w:tabs>
          <w:tab w:val="num" w:pos="2524"/>
        </w:tabs>
        <w:ind w:left="2524" w:hanging="680"/>
      </w:pPr>
      <w:rPr>
        <w:rFonts w:ascii="Times New Roman" w:hAnsi="Times New Roman" w:cs="Times New Roman" w:hint="default"/>
        <w:b/>
        <w:i w:val="0"/>
        <w:sz w:val="24"/>
        <w:szCs w:val="24"/>
      </w:rPr>
    </w:lvl>
    <w:lvl w:ilvl="1">
      <w:start w:val="1"/>
      <w:numFmt w:val="decimal"/>
      <w:lvlRestart w:val="0"/>
      <w:pStyle w:val="Level2"/>
      <w:lvlText w:val="Section %2"/>
      <w:lvlJc w:val="left"/>
      <w:pPr>
        <w:tabs>
          <w:tab w:val="num" w:pos="0"/>
        </w:tabs>
        <w:ind w:left="0" w:firstLine="0"/>
      </w:pPr>
      <w:rPr>
        <w:rFonts w:ascii="Arial Bold" w:hAnsi="Arial Bold" w:cs="Times New Roman" w:hint="default"/>
        <w:b/>
        <w:i w:val="0"/>
        <w:color w:val="FFFFFF" w:themeColor="background1"/>
        <w:kern w:val="0"/>
        <w:sz w:val="21"/>
      </w:rPr>
    </w:lvl>
    <w:lvl w:ilvl="2">
      <w:start w:val="1"/>
      <w:numFmt w:val="decimal"/>
      <w:lvlRestart w:val="0"/>
      <w:pStyle w:val="Level3"/>
      <w:lvlText w:val="Section %2.%3"/>
      <w:lvlJc w:val="left"/>
      <w:pPr>
        <w:tabs>
          <w:tab w:val="num" w:pos="0"/>
        </w:tabs>
        <w:ind w:left="0" w:firstLine="0"/>
      </w:pPr>
      <w:rPr>
        <w:rFonts w:cs="Times New Roman" w:hint="default"/>
        <w:b/>
        <w:i w:val="0"/>
        <w:color w:val="FFFFFF" w:themeColor="background1"/>
        <w:sz w:val="20"/>
      </w:rPr>
    </w:lvl>
    <w:lvl w:ilvl="3">
      <w:start w:val="1"/>
      <w:numFmt w:val="decimal"/>
      <w:pStyle w:val="Level4"/>
      <w:lvlText w:val="Section %2.%3.%4"/>
      <w:lvlJc w:val="left"/>
      <w:pPr>
        <w:tabs>
          <w:tab w:val="num" w:pos="1560"/>
        </w:tabs>
        <w:ind w:left="1560" w:firstLine="0"/>
      </w:pPr>
      <w:rPr>
        <w:rFonts w:asciiTheme="minorHAnsi" w:hAnsiTheme="minorHAnsi" w:cs="Times New Roman" w:hint="default"/>
        <w:b/>
        <w:i w:val="0"/>
        <w:sz w:val="24"/>
        <w:szCs w:val="24"/>
      </w:rPr>
    </w:lvl>
    <w:lvl w:ilvl="4">
      <w:start w:val="1"/>
      <w:numFmt w:val="decimal"/>
      <w:pStyle w:val="Level5"/>
      <w:lvlText w:val="Article %2.%3.%4.%5"/>
      <w:lvlJc w:val="left"/>
      <w:pPr>
        <w:tabs>
          <w:tab w:val="num" w:pos="8556"/>
        </w:tabs>
        <w:ind w:left="0" w:firstLine="0"/>
      </w:pPr>
      <w:rPr>
        <w:rFonts w:cs="Times New Roman" w:hint="default"/>
        <w:b/>
        <w:i w:val="0"/>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6" w15:restartNumberingAfterBreak="0">
    <w:nsid w:val="6B4C114D"/>
    <w:multiLevelType w:val="hybridMultilevel"/>
    <w:tmpl w:val="86BC3C46"/>
    <w:lvl w:ilvl="0" w:tplc="957E9C7A">
      <w:start w:val="1"/>
      <w:numFmt w:val="decimal"/>
      <w:pStyle w:val="Table"/>
      <w:lvlText w:val="Table %1."/>
      <w:lvlJc w:val="left"/>
      <w:pPr>
        <w:ind w:left="360" w:hanging="360"/>
      </w:pPr>
      <w:rPr>
        <w:rFonts w:hint="default"/>
        <w:color w:val="00539F" w:themeColor="text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A5B88"/>
    <w:multiLevelType w:val="singleLevel"/>
    <w:tmpl w:val="A078BB1A"/>
    <w:lvl w:ilvl="0">
      <w:start w:val="1"/>
      <w:numFmt w:val="lowerRoman"/>
      <w:pStyle w:val="roman2"/>
      <w:lvlText w:val="(%1)"/>
      <w:lvlJc w:val="left"/>
      <w:pPr>
        <w:tabs>
          <w:tab w:val="num" w:pos="965"/>
        </w:tabs>
        <w:ind w:left="965" w:hanging="681"/>
      </w:pPr>
      <w:rPr>
        <w:rFonts w:asciiTheme="minorHAnsi" w:hAnsiTheme="minorHAnsi" w:cs="Times New Roman" w:hint="default"/>
        <w:b w:val="0"/>
        <w:i w:val="0"/>
        <w:strike w:val="0"/>
        <w:color w:val="auto"/>
        <w:sz w:val="22"/>
        <w:szCs w:val="22"/>
      </w:rPr>
    </w:lvl>
  </w:abstractNum>
  <w:abstractNum w:abstractNumId="8" w15:restartNumberingAfterBreak="0">
    <w:nsid w:val="7C201FE0"/>
    <w:multiLevelType w:val="hybridMultilevel"/>
    <w:tmpl w:val="FB56CE1E"/>
    <w:lvl w:ilvl="0" w:tplc="E4403228">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lvlOverride w:ilvl="0">
      <w:startOverride w:val="1"/>
    </w:lvlOverride>
  </w:num>
  <w:num w:numId="6">
    <w:abstractNumId w:val="5"/>
  </w:num>
  <w:num w:numId="7">
    <w:abstractNumId w:val="2"/>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14337" style="mso-position-horizontal-relative:page;mso-position-vertical-relative:page"/>
  </w:hdrShapeDefaults>
  <w:footnotePr>
    <w:footnote w:id="-1"/>
    <w:footnote w:id="0"/>
  </w:footnotePr>
  <w:endnotePr>
    <w:endnote w:id="-1"/>
    <w:endnote w:id="0"/>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1.0"/>
    <w:docVar w:name="InitialTemplateVersion" w:val="1.0"/>
  </w:docVars>
  <w:rsids>
    <w:rsidRoot w:val="00844C4F"/>
    <w:rsid w:val="00001082"/>
    <w:rsid w:val="000058A5"/>
    <w:rsid w:val="00017D7E"/>
    <w:rsid w:val="000217C6"/>
    <w:rsid w:val="000256BC"/>
    <w:rsid w:val="00025C41"/>
    <w:rsid w:val="00033F77"/>
    <w:rsid w:val="000373A4"/>
    <w:rsid w:val="0005078D"/>
    <w:rsid w:val="00051DF3"/>
    <w:rsid w:val="000528C6"/>
    <w:rsid w:val="000573C9"/>
    <w:rsid w:val="000654C3"/>
    <w:rsid w:val="0006748A"/>
    <w:rsid w:val="00075576"/>
    <w:rsid w:val="00076D8E"/>
    <w:rsid w:val="00077CE9"/>
    <w:rsid w:val="0008306D"/>
    <w:rsid w:val="00085998"/>
    <w:rsid w:val="00092F6D"/>
    <w:rsid w:val="0009332E"/>
    <w:rsid w:val="00095ACE"/>
    <w:rsid w:val="000962E7"/>
    <w:rsid w:val="000A207C"/>
    <w:rsid w:val="000D169E"/>
    <w:rsid w:val="000E0DF5"/>
    <w:rsid w:val="000E2545"/>
    <w:rsid w:val="000E2B8E"/>
    <w:rsid w:val="000E5D43"/>
    <w:rsid w:val="000E7BA1"/>
    <w:rsid w:val="000F1AEF"/>
    <w:rsid w:val="000F38F5"/>
    <w:rsid w:val="000F5F8C"/>
    <w:rsid w:val="00101654"/>
    <w:rsid w:val="00101CBB"/>
    <w:rsid w:val="00102834"/>
    <w:rsid w:val="00112472"/>
    <w:rsid w:val="00113B27"/>
    <w:rsid w:val="00116D74"/>
    <w:rsid w:val="00117B6A"/>
    <w:rsid w:val="00120F9A"/>
    <w:rsid w:val="0013166F"/>
    <w:rsid w:val="00131991"/>
    <w:rsid w:val="00137261"/>
    <w:rsid w:val="001425B4"/>
    <w:rsid w:val="00145AB0"/>
    <w:rsid w:val="00152D2B"/>
    <w:rsid w:val="00163DDA"/>
    <w:rsid w:val="00164B7F"/>
    <w:rsid w:val="001677B1"/>
    <w:rsid w:val="00171883"/>
    <w:rsid w:val="00175010"/>
    <w:rsid w:val="0017633A"/>
    <w:rsid w:val="0018052C"/>
    <w:rsid w:val="00180C2A"/>
    <w:rsid w:val="001816B1"/>
    <w:rsid w:val="001822B0"/>
    <w:rsid w:val="00191540"/>
    <w:rsid w:val="00193A4F"/>
    <w:rsid w:val="00195EEA"/>
    <w:rsid w:val="001A129E"/>
    <w:rsid w:val="001A5930"/>
    <w:rsid w:val="001A7C8C"/>
    <w:rsid w:val="001B1A36"/>
    <w:rsid w:val="001B4D51"/>
    <w:rsid w:val="001B4EB7"/>
    <w:rsid w:val="001C185A"/>
    <w:rsid w:val="001C501F"/>
    <w:rsid w:val="001C69B5"/>
    <w:rsid w:val="001C6E76"/>
    <w:rsid w:val="001C6F1A"/>
    <w:rsid w:val="001D0E49"/>
    <w:rsid w:val="001D49F1"/>
    <w:rsid w:val="001E0F62"/>
    <w:rsid w:val="001E16D6"/>
    <w:rsid w:val="001E1A96"/>
    <w:rsid w:val="001E2900"/>
    <w:rsid w:val="001E2C0D"/>
    <w:rsid w:val="001E31E4"/>
    <w:rsid w:val="001F0657"/>
    <w:rsid w:val="001F1AC1"/>
    <w:rsid w:val="001F2C54"/>
    <w:rsid w:val="001F4768"/>
    <w:rsid w:val="001F5BC2"/>
    <w:rsid w:val="00201800"/>
    <w:rsid w:val="00202BBF"/>
    <w:rsid w:val="00204D30"/>
    <w:rsid w:val="0020663D"/>
    <w:rsid w:val="00211989"/>
    <w:rsid w:val="00213F16"/>
    <w:rsid w:val="00215EE1"/>
    <w:rsid w:val="00221153"/>
    <w:rsid w:val="00230523"/>
    <w:rsid w:val="0023295D"/>
    <w:rsid w:val="002371C3"/>
    <w:rsid w:val="0024104A"/>
    <w:rsid w:val="002448BB"/>
    <w:rsid w:val="00255215"/>
    <w:rsid w:val="00272470"/>
    <w:rsid w:val="00274554"/>
    <w:rsid w:val="002745CA"/>
    <w:rsid w:val="00277BC1"/>
    <w:rsid w:val="0028356B"/>
    <w:rsid w:val="00285AAC"/>
    <w:rsid w:val="00286232"/>
    <w:rsid w:val="00292584"/>
    <w:rsid w:val="00293971"/>
    <w:rsid w:val="00294020"/>
    <w:rsid w:val="00297161"/>
    <w:rsid w:val="002A0ADD"/>
    <w:rsid w:val="002A6B4C"/>
    <w:rsid w:val="002A70B1"/>
    <w:rsid w:val="002C337D"/>
    <w:rsid w:val="002C65DA"/>
    <w:rsid w:val="002D1B5A"/>
    <w:rsid w:val="002D2450"/>
    <w:rsid w:val="002D7B3A"/>
    <w:rsid w:val="002E4B23"/>
    <w:rsid w:val="002F20B0"/>
    <w:rsid w:val="002F2456"/>
    <w:rsid w:val="002F405F"/>
    <w:rsid w:val="003014DD"/>
    <w:rsid w:val="0030335E"/>
    <w:rsid w:val="00304DEC"/>
    <w:rsid w:val="0030574A"/>
    <w:rsid w:val="003175BB"/>
    <w:rsid w:val="00322008"/>
    <w:rsid w:val="003230AA"/>
    <w:rsid w:val="00325367"/>
    <w:rsid w:val="00327599"/>
    <w:rsid w:val="00330309"/>
    <w:rsid w:val="00330D0A"/>
    <w:rsid w:val="00334A0B"/>
    <w:rsid w:val="0033554A"/>
    <w:rsid w:val="00336561"/>
    <w:rsid w:val="003455FE"/>
    <w:rsid w:val="00346F5A"/>
    <w:rsid w:val="003472C2"/>
    <w:rsid w:val="00347AFF"/>
    <w:rsid w:val="00347D8A"/>
    <w:rsid w:val="0035361C"/>
    <w:rsid w:val="003556A7"/>
    <w:rsid w:val="00362311"/>
    <w:rsid w:val="00363A1F"/>
    <w:rsid w:val="00364CCD"/>
    <w:rsid w:val="00366019"/>
    <w:rsid w:val="00367DC1"/>
    <w:rsid w:val="0037349C"/>
    <w:rsid w:val="0037577D"/>
    <w:rsid w:val="003834D4"/>
    <w:rsid w:val="00384380"/>
    <w:rsid w:val="00384674"/>
    <w:rsid w:val="003A3143"/>
    <w:rsid w:val="003A32D6"/>
    <w:rsid w:val="003A7364"/>
    <w:rsid w:val="003B03E0"/>
    <w:rsid w:val="003B39EA"/>
    <w:rsid w:val="003C46E5"/>
    <w:rsid w:val="003C53A3"/>
    <w:rsid w:val="003C5568"/>
    <w:rsid w:val="003C618C"/>
    <w:rsid w:val="003D3144"/>
    <w:rsid w:val="003D410A"/>
    <w:rsid w:val="003D7FE3"/>
    <w:rsid w:val="003E1A8C"/>
    <w:rsid w:val="003E6304"/>
    <w:rsid w:val="003E7217"/>
    <w:rsid w:val="004023FB"/>
    <w:rsid w:val="00402D73"/>
    <w:rsid w:val="004108A9"/>
    <w:rsid w:val="004164E2"/>
    <w:rsid w:val="00416E3C"/>
    <w:rsid w:val="0041714D"/>
    <w:rsid w:val="004217A7"/>
    <w:rsid w:val="0042328C"/>
    <w:rsid w:val="00423DD0"/>
    <w:rsid w:val="00425E21"/>
    <w:rsid w:val="0042665F"/>
    <w:rsid w:val="00431DA1"/>
    <w:rsid w:val="004321A3"/>
    <w:rsid w:val="00432B2E"/>
    <w:rsid w:val="00433050"/>
    <w:rsid w:val="00440CDD"/>
    <w:rsid w:val="00445E3E"/>
    <w:rsid w:val="00446AF4"/>
    <w:rsid w:val="00446B51"/>
    <w:rsid w:val="004554CD"/>
    <w:rsid w:val="00460D63"/>
    <w:rsid w:val="00460E77"/>
    <w:rsid w:val="00463851"/>
    <w:rsid w:val="00463B66"/>
    <w:rsid w:val="0046585D"/>
    <w:rsid w:val="004661AF"/>
    <w:rsid w:val="0046737B"/>
    <w:rsid w:val="00472ACB"/>
    <w:rsid w:val="004733B4"/>
    <w:rsid w:val="00475186"/>
    <w:rsid w:val="00476661"/>
    <w:rsid w:val="00480729"/>
    <w:rsid w:val="004828EC"/>
    <w:rsid w:val="00483FE4"/>
    <w:rsid w:val="00484485"/>
    <w:rsid w:val="0048674A"/>
    <w:rsid w:val="00486C9D"/>
    <w:rsid w:val="0049498E"/>
    <w:rsid w:val="0049525E"/>
    <w:rsid w:val="00495904"/>
    <w:rsid w:val="00496850"/>
    <w:rsid w:val="00497719"/>
    <w:rsid w:val="004A619A"/>
    <w:rsid w:val="004B18AC"/>
    <w:rsid w:val="004B1DFE"/>
    <w:rsid w:val="004B2390"/>
    <w:rsid w:val="004B55E5"/>
    <w:rsid w:val="004B5DA1"/>
    <w:rsid w:val="004B6D09"/>
    <w:rsid w:val="004D2F76"/>
    <w:rsid w:val="004D3872"/>
    <w:rsid w:val="004D4973"/>
    <w:rsid w:val="004F0E8B"/>
    <w:rsid w:val="004F3831"/>
    <w:rsid w:val="004F5DD1"/>
    <w:rsid w:val="00500FF2"/>
    <w:rsid w:val="00507C4B"/>
    <w:rsid w:val="005152A5"/>
    <w:rsid w:val="00520BB4"/>
    <w:rsid w:val="00520C33"/>
    <w:rsid w:val="00523CD8"/>
    <w:rsid w:val="00527B3D"/>
    <w:rsid w:val="00541F48"/>
    <w:rsid w:val="005421D4"/>
    <w:rsid w:val="005442A1"/>
    <w:rsid w:val="005517F7"/>
    <w:rsid w:val="005525B6"/>
    <w:rsid w:val="005546CF"/>
    <w:rsid w:val="005547F3"/>
    <w:rsid w:val="00554F6B"/>
    <w:rsid w:val="00562BED"/>
    <w:rsid w:val="00565961"/>
    <w:rsid w:val="00565AA7"/>
    <w:rsid w:val="005667E1"/>
    <w:rsid w:val="00573ECB"/>
    <w:rsid w:val="00577080"/>
    <w:rsid w:val="00584C28"/>
    <w:rsid w:val="00591532"/>
    <w:rsid w:val="00596074"/>
    <w:rsid w:val="00596AE2"/>
    <w:rsid w:val="005976C0"/>
    <w:rsid w:val="005A075E"/>
    <w:rsid w:val="005A0B28"/>
    <w:rsid w:val="005A42DF"/>
    <w:rsid w:val="005A6332"/>
    <w:rsid w:val="005B0B82"/>
    <w:rsid w:val="005B50C2"/>
    <w:rsid w:val="005B54EE"/>
    <w:rsid w:val="005C225C"/>
    <w:rsid w:val="005C4A03"/>
    <w:rsid w:val="005C4D37"/>
    <w:rsid w:val="005E1CF0"/>
    <w:rsid w:val="005E6B34"/>
    <w:rsid w:val="005F31CA"/>
    <w:rsid w:val="005F4343"/>
    <w:rsid w:val="005F76EF"/>
    <w:rsid w:val="005F7F41"/>
    <w:rsid w:val="00601E80"/>
    <w:rsid w:val="006053B1"/>
    <w:rsid w:val="00605CE2"/>
    <w:rsid w:val="0061379A"/>
    <w:rsid w:val="00613C1F"/>
    <w:rsid w:val="00613E71"/>
    <w:rsid w:val="006161F8"/>
    <w:rsid w:val="006176E7"/>
    <w:rsid w:val="0062248C"/>
    <w:rsid w:val="00622B45"/>
    <w:rsid w:val="00627AA2"/>
    <w:rsid w:val="006319C8"/>
    <w:rsid w:val="00632A32"/>
    <w:rsid w:val="006333BC"/>
    <w:rsid w:val="00634A28"/>
    <w:rsid w:val="00646767"/>
    <w:rsid w:val="006469B2"/>
    <w:rsid w:val="00651C0B"/>
    <w:rsid w:val="00652B88"/>
    <w:rsid w:val="00653703"/>
    <w:rsid w:val="00654236"/>
    <w:rsid w:val="0065717E"/>
    <w:rsid w:val="00661576"/>
    <w:rsid w:val="006625DB"/>
    <w:rsid w:val="00665F08"/>
    <w:rsid w:val="00672624"/>
    <w:rsid w:val="006756E6"/>
    <w:rsid w:val="006764BE"/>
    <w:rsid w:val="00681826"/>
    <w:rsid w:val="006819F0"/>
    <w:rsid w:val="006856F9"/>
    <w:rsid w:val="00687839"/>
    <w:rsid w:val="00695EF3"/>
    <w:rsid w:val="006A2CB4"/>
    <w:rsid w:val="006A305B"/>
    <w:rsid w:val="006A3A8B"/>
    <w:rsid w:val="006A7DCE"/>
    <w:rsid w:val="006B1EDB"/>
    <w:rsid w:val="006B4A86"/>
    <w:rsid w:val="006B6549"/>
    <w:rsid w:val="006B73B0"/>
    <w:rsid w:val="006C1587"/>
    <w:rsid w:val="006C2413"/>
    <w:rsid w:val="006C6384"/>
    <w:rsid w:val="006C6404"/>
    <w:rsid w:val="006D0B7B"/>
    <w:rsid w:val="006D4D77"/>
    <w:rsid w:val="006D620E"/>
    <w:rsid w:val="006E7253"/>
    <w:rsid w:val="006F114C"/>
    <w:rsid w:val="006F53E9"/>
    <w:rsid w:val="0070313E"/>
    <w:rsid w:val="00714FD6"/>
    <w:rsid w:val="00717818"/>
    <w:rsid w:val="00723D7B"/>
    <w:rsid w:val="0072672E"/>
    <w:rsid w:val="0073113E"/>
    <w:rsid w:val="00731EB7"/>
    <w:rsid w:val="007332E1"/>
    <w:rsid w:val="00742FB2"/>
    <w:rsid w:val="00743493"/>
    <w:rsid w:val="0074579F"/>
    <w:rsid w:val="007472C5"/>
    <w:rsid w:val="007477FD"/>
    <w:rsid w:val="00751D2C"/>
    <w:rsid w:val="00754A7A"/>
    <w:rsid w:val="007552C5"/>
    <w:rsid w:val="00760EFA"/>
    <w:rsid w:val="007803B8"/>
    <w:rsid w:val="00784F21"/>
    <w:rsid w:val="00786D78"/>
    <w:rsid w:val="00787F38"/>
    <w:rsid w:val="007933B8"/>
    <w:rsid w:val="007945AD"/>
    <w:rsid w:val="007A4F63"/>
    <w:rsid w:val="007A6BAD"/>
    <w:rsid w:val="007A7C26"/>
    <w:rsid w:val="007B0010"/>
    <w:rsid w:val="007B4F1E"/>
    <w:rsid w:val="007B6F1C"/>
    <w:rsid w:val="007C38F3"/>
    <w:rsid w:val="007C43F4"/>
    <w:rsid w:val="007C5B8E"/>
    <w:rsid w:val="007C77BC"/>
    <w:rsid w:val="007D1AC0"/>
    <w:rsid w:val="007D59F2"/>
    <w:rsid w:val="007E0CEC"/>
    <w:rsid w:val="007E518F"/>
    <w:rsid w:val="007E7D3F"/>
    <w:rsid w:val="007F0243"/>
    <w:rsid w:val="007F06B7"/>
    <w:rsid w:val="007F0E4D"/>
    <w:rsid w:val="007F1108"/>
    <w:rsid w:val="007F1475"/>
    <w:rsid w:val="007F4829"/>
    <w:rsid w:val="007F569C"/>
    <w:rsid w:val="007F79B9"/>
    <w:rsid w:val="00807179"/>
    <w:rsid w:val="00807F6E"/>
    <w:rsid w:val="00810261"/>
    <w:rsid w:val="00810E04"/>
    <w:rsid w:val="00816F38"/>
    <w:rsid w:val="00822500"/>
    <w:rsid w:val="00831C0A"/>
    <w:rsid w:val="00832BBE"/>
    <w:rsid w:val="00832DB7"/>
    <w:rsid w:val="0083315F"/>
    <w:rsid w:val="00833885"/>
    <w:rsid w:val="008363EB"/>
    <w:rsid w:val="008366F0"/>
    <w:rsid w:val="00837439"/>
    <w:rsid w:val="0083768E"/>
    <w:rsid w:val="00844C4F"/>
    <w:rsid w:val="0084592C"/>
    <w:rsid w:val="00847E16"/>
    <w:rsid w:val="0085390C"/>
    <w:rsid w:val="00854F35"/>
    <w:rsid w:val="008612DD"/>
    <w:rsid w:val="0086284B"/>
    <w:rsid w:val="00870413"/>
    <w:rsid w:val="008716C6"/>
    <w:rsid w:val="00871B02"/>
    <w:rsid w:val="0087539D"/>
    <w:rsid w:val="00883F28"/>
    <w:rsid w:val="00891A11"/>
    <w:rsid w:val="0089336D"/>
    <w:rsid w:val="00895E5D"/>
    <w:rsid w:val="008963A6"/>
    <w:rsid w:val="0089670C"/>
    <w:rsid w:val="008A4061"/>
    <w:rsid w:val="008A40A0"/>
    <w:rsid w:val="008B2C51"/>
    <w:rsid w:val="008B4886"/>
    <w:rsid w:val="008B5EBB"/>
    <w:rsid w:val="008B6E5B"/>
    <w:rsid w:val="008C0B5E"/>
    <w:rsid w:val="008C4955"/>
    <w:rsid w:val="008C7E51"/>
    <w:rsid w:val="008F2EE3"/>
    <w:rsid w:val="008F39AF"/>
    <w:rsid w:val="008F7CBC"/>
    <w:rsid w:val="00906335"/>
    <w:rsid w:val="0091264D"/>
    <w:rsid w:val="00917A6C"/>
    <w:rsid w:val="009214C8"/>
    <w:rsid w:val="0092237B"/>
    <w:rsid w:val="00924025"/>
    <w:rsid w:val="009279C9"/>
    <w:rsid w:val="00932ECD"/>
    <w:rsid w:val="0093442A"/>
    <w:rsid w:val="00937F5E"/>
    <w:rsid w:val="00942206"/>
    <w:rsid w:val="009424B7"/>
    <w:rsid w:val="009431E9"/>
    <w:rsid w:val="00944C41"/>
    <w:rsid w:val="009469D0"/>
    <w:rsid w:val="009508ED"/>
    <w:rsid w:val="00952175"/>
    <w:rsid w:val="0095439E"/>
    <w:rsid w:val="00954D9B"/>
    <w:rsid w:val="00955B2D"/>
    <w:rsid w:val="00957EE5"/>
    <w:rsid w:val="009601CE"/>
    <w:rsid w:val="00960DBD"/>
    <w:rsid w:val="00964708"/>
    <w:rsid w:val="009801AE"/>
    <w:rsid w:val="0098603E"/>
    <w:rsid w:val="00991C26"/>
    <w:rsid w:val="009967CC"/>
    <w:rsid w:val="00996B4B"/>
    <w:rsid w:val="009A1A95"/>
    <w:rsid w:val="009A2327"/>
    <w:rsid w:val="009B0E1E"/>
    <w:rsid w:val="009B115D"/>
    <w:rsid w:val="009B5C55"/>
    <w:rsid w:val="009B60AD"/>
    <w:rsid w:val="009B624F"/>
    <w:rsid w:val="009C124C"/>
    <w:rsid w:val="009C169A"/>
    <w:rsid w:val="009C41A7"/>
    <w:rsid w:val="009C7718"/>
    <w:rsid w:val="009E14D4"/>
    <w:rsid w:val="009E1A9E"/>
    <w:rsid w:val="009E3395"/>
    <w:rsid w:val="009E3706"/>
    <w:rsid w:val="009E470F"/>
    <w:rsid w:val="00A004B9"/>
    <w:rsid w:val="00A01316"/>
    <w:rsid w:val="00A03873"/>
    <w:rsid w:val="00A0584E"/>
    <w:rsid w:val="00A06FC2"/>
    <w:rsid w:val="00A071D1"/>
    <w:rsid w:val="00A10898"/>
    <w:rsid w:val="00A10C82"/>
    <w:rsid w:val="00A10F16"/>
    <w:rsid w:val="00A11029"/>
    <w:rsid w:val="00A121FB"/>
    <w:rsid w:val="00A13785"/>
    <w:rsid w:val="00A149FE"/>
    <w:rsid w:val="00A17DD2"/>
    <w:rsid w:val="00A202E9"/>
    <w:rsid w:val="00A221F4"/>
    <w:rsid w:val="00A26AD3"/>
    <w:rsid w:val="00A27EEC"/>
    <w:rsid w:val="00A3586A"/>
    <w:rsid w:val="00A36375"/>
    <w:rsid w:val="00A43EBB"/>
    <w:rsid w:val="00A46D84"/>
    <w:rsid w:val="00A47CB8"/>
    <w:rsid w:val="00A57A52"/>
    <w:rsid w:val="00A57D86"/>
    <w:rsid w:val="00A6439F"/>
    <w:rsid w:val="00A65BB6"/>
    <w:rsid w:val="00A67FBF"/>
    <w:rsid w:val="00A73DFC"/>
    <w:rsid w:val="00A76715"/>
    <w:rsid w:val="00A7684F"/>
    <w:rsid w:val="00A80D2E"/>
    <w:rsid w:val="00A81331"/>
    <w:rsid w:val="00A85823"/>
    <w:rsid w:val="00A921FA"/>
    <w:rsid w:val="00A93C22"/>
    <w:rsid w:val="00A977F5"/>
    <w:rsid w:val="00AA00AA"/>
    <w:rsid w:val="00AA1798"/>
    <w:rsid w:val="00AA1F22"/>
    <w:rsid w:val="00AA3F36"/>
    <w:rsid w:val="00AA4B33"/>
    <w:rsid w:val="00AA5B9F"/>
    <w:rsid w:val="00AB1BD7"/>
    <w:rsid w:val="00AB4555"/>
    <w:rsid w:val="00AB63F0"/>
    <w:rsid w:val="00AC51EF"/>
    <w:rsid w:val="00AC7273"/>
    <w:rsid w:val="00AD75AE"/>
    <w:rsid w:val="00AE12EF"/>
    <w:rsid w:val="00AE3C7A"/>
    <w:rsid w:val="00AE5016"/>
    <w:rsid w:val="00AE675E"/>
    <w:rsid w:val="00AE6EBF"/>
    <w:rsid w:val="00AE709E"/>
    <w:rsid w:val="00AF358C"/>
    <w:rsid w:val="00AF38A7"/>
    <w:rsid w:val="00AF43A7"/>
    <w:rsid w:val="00B023C6"/>
    <w:rsid w:val="00B027D1"/>
    <w:rsid w:val="00B072D5"/>
    <w:rsid w:val="00B1435F"/>
    <w:rsid w:val="00B20A7D"/>
    <w:rsid w:val="00B212DF"/>
    <w:rsid w:val="00B21C63"/>
    <w:rsid w:val="00B22AE3"/>
    <w:rsid w:val="00B23420"/>
    <w:rsid w:val="00B23A3F"/>
    <w:rsid w:val="00B25FAA"/>
    <w:rsid w:val="00B302AF"/>
    <w:rsid w:val="00B32086"/>
    <w:rsid w:val="00B42C63"/>
    <w:rsid w:val="00B438F0"/>
    <w:rsid w:val="00B44F0D"/>
    <w:rsid w:val="00B4733F"/>
    <w:rsid w:val="00B52F13"/>
    <w:rsid w:val="00B571D2"/>
    <w:rsid w:val="00B5799E"/>
    <w:rsid w:val="00B63DC8"/>
    <w:rsid w:val="00B6657B"/>
    <w:rsid w:val="00B66F7A"/>
    <w:rsid w:val="00B80B8E"/>
    <w:rsid w:val="00B90D99"/>
    <w:rsid w:val="00B933A1"/>
    <w:rsid w:val="00B94BFD"/>
    <w:rsid w:val="00B97800"/>
    <w:rsid w:val="00BA0578"/>
    <w:rsid w:val="00BA5206"/>
    <w:rsid w:val="00BA5D5A"/>
    <w:rsid w:val="00BA69E6"/>
    <w:rsid w:val="00BB09EA"/>
    <w:rsid w:val="00BB0BBE"/>
    <w:rsid w:val="00BB0D0F"/>
    <w:rsid w:val="00BB2CCC"/>
    <w:rsid w:val="00BB5865"/>
    <w:rsid w:val="00BC23D6"/>
    <w:rsid w:val="00BC453F"/>
    <w:rsid w:val="00BC4574"/>
    <w:rsid w:val="00BC630E"/>
    <w:rsid w:val="00BC73F5"/>
    <w:rsid w:val="00BE51F4"/>
    <w:rsid w:val="00BE635A"/>
    <w:rsid w:val="00BE76C2"/>
    <w:rsid w:val="00BF2C7E"/>
    <w:rsid w:val="00BF5296"/>
    <w:rsid w:val="00BF5B94"/>
    <w:rsid w:val="00BF7191"/>
    <w:rsid w:val="00BF7DCC"/>
    <w:rsid w:val="00C00DE7"/>
    <w:rsid w:val="00C016BF"/>
    <w:rsid w:val="00C03841"/>
    <w:rsid w:val="00C123CB"/>
    <w:rsid w:val="00C13374"/>
    <w:rsid w:val="00C13C46"/>
    <w:rsid w:val="00C20E11"/>
    <w:rsid w:val="00C21845"/>
    <w:rsid w:val="00C30F0C"/>
    <w:rsid w:val="00C32108"/>
    <w:rsid w:val="00C32E45"/>
    <w:rsid w:val="00C33161"/>
    <w:rsid w:val="00C34000"/>
    <w:rsid w:val="00C3438A"/>
    <w:rsid w:val="00C35EA2"/>
    <w:rsid w:val="00C37DDA"/>
    <w:rsid w:val="00C4017A"/>
    <w:rsid w:val="00C41483"/>
    <w:rsid w:val="00C41767"/>
    <w:rsid w:val="00C45239"/>
    <w:rsid w:val="00C51489"/>
    <w:rsid w:val="00C61EE7"/>
    <w:rsid w:val="00C62BC3"/>
    <w:rsid w:val="00C65087"/>
    <w:rsid w:val="00C67EAC"/>
    <w:rsid w:val="00C70B75"/>
    <w:rsid w:val="00C739EE"/>
    <w:rsid w:val="00C747C9"/>
    <w:rsid w:val="00C75386"/>
    <w:rsid w:val="00C755B8"/>
    <w:rsid w:val="00C75C01"/>
    <w:rsid w:val="00C85CE3"/>
    <w:rsid w:val="00C85E64"/>
    <w:rsid w:val="00C9148E"/>
    <w:rsid w:val="00CA2AD6"/>
    <w:rsid w:val="00CA40A7"/>
    <w:rsid w:val="00CA4D75"/>
    <w:rsid w:val="00CA6E56"/>
    <w:rsid w:val="00CA72D7"/>
    <w:rsid w:val="00CB208E"/>
    <w:rsid w:val="00CB2096"/>
    <w:rsid w:val="00CB2F73"/>
    <w:rsid w:val="00CB3EB2"/>
    <w:rsid w:val="00CB5BAF"/>
    <w:rsid w:val="00CC24E3"/>
    <w:rsid w:val="00CC3075"/>
    <w:rsid w:val="00CC4723"/>
    <w:rsid w:val="00CC6C9E"/>
    <w:rsid w:val="00CC7255"/>
    <w:rsid w:val="00CD102D"/>
    <w:rsid w:val="00CD1D1C"/>
    <w:rsid w:val="00CE2FA1"/>
    <w:rsid w:val="00CE308B"/>
    <w:rsid w:val="00CE3C67"/>
    <w:rsid w:val="00CF1105"/>
    <w:rsid w:val="00CF6E58"/>
    <w:rsid w:val="00D00638"/>
    <w:rsid w:val="00D0140A"/>
    <w:rsid w:val="00D02A89"/>
    <w:rsid w:val="00D04A98"/>
    <w:rsid w:val="00D0612F"/>
    <w:rsid w:val="00D07F88"/>
    <w:rsid w:val="00D101AA"/>
    <w:rsid w:val="00D12FB0"/>
    <w:rsid w:val="00D165F8"/>
    <w:rsid w:val="00D22FDA"/>
    <w:rsid w:val="00D25D1A"/>
    <w:rsid w:val="00D30BC0"/>
    <w:rsid w:val="00D32315"/>
    <w:rsid w:val="00D336F8"/>
    <w:rsid w:val="00D346E0"/>
    <w:rsid w:val="00D35B38"/>
    <w:rsid w:val="00D37156"/>
    <w:rsid w:val="00D41CD5"/>
    <w:rsid w:val="00D44246"/>
    <w:rsid w:val="00D46216"/>
    <w:rsid w:val="00D47A24"/>
    <w:rsid w:val="00D51B0A"/>
    <w:rsid w:val="00D54707"/>
    <w:rsid w:val="00D5617F"/>
    <w:rsid w:val="00D568F9"/>
    <w:rsid w:val="00D57781"/>
    <w:rsid w:val="00D60F71"/>
    <w:rsid w:val="00D61D53"/>
    <w:rsid w:val="00D6308B"/>
    <w:rsid w:val="00D65B11"/>
    <w:rsid w:val="00D667CD"/>
    <w:rsid w:val="00D708FB"/>
    <w:rsid w:val="00D74D1B"/>
    <w:rsid w:val="00D7766A"/>
    <w:rsid w:val="00D807A7"/>
    <w:rsid w:val="00D80BD7"/>
    <w:rsid w:val="00D84940"/>
    <w:rsid w:val="00D868DF"/>
    <w:rsid w:val="00D87B96"/>
    <w:rsid w:val="00D9502E"/>
    <w:rsid w:val="00D9596F"/>
    <w:rsid w:val="00D960B3"/>
    <w:rsid w:val="00D9761A"/>
    <w:rsid w:val="00DB2369"/>
    <w:rsid w:val="00DB3473"/>
    <w:rsid w:val="00DB6929"/>
    <w:rsid w:val="00DB7152"/>
    <w:rsid w:val="00DC39BE"/>
    <w:rsid w:val="00DC6F16"/>
    <w:rsid w:val="00DD0680"/>
    <w:rsid w:val="00DD1910"/>
    <w:rsid w:val="00DD42E0"/>
    <w:rsid w:val="00DD6C05"/>
    <w:rsid w:val="00DE3073"/>
    <w:rsid w:val="00DE45A0"/>
    <w:rsid w:val="00DF13ED"/>
    <w:rsid w:val="00DF1C5F"/>
    <w:rsid w:val="00DF2631"/>
    <w:rsid w:val="00DF5435"/>
    <w:rsid w:val="00E0073C"/>
    <w:rsid w:val="00E0294F"/>
    <w:rsid w:val="00E05EE8"/>
    <w:rsid w:val="00E07941"/>
    <w:rsid w:val="00E15988"/>
    <w:rsid w:val="00E16FAE"/>
    <w:rsid w:val="00E214A4"/>
    <w:rsid w:val="00E25023"/>
    <w:rsid w:val="00E31006"/>
    <w:rsid w:val="00E32BD3"/>
    <w:rsid w:val="00E41EF3"/>
    <w:rsid w:val="00E4265F"/>
    <w:rsid w:val="00E45ECB"/>
    <w:rsid w:val="00E47767"/>
    <w:rsid w:val="00E5100B"/>
    <w:rsid w:val="00E51CCF"/>
    <w:rsid w:val="00E5251F"/>
    <w:rsid w:val="00E531A7"/>
    <w:rsid w:val="00E55113"/>
    <w:rsid w:val="00E56361"/>
    <w:rsid w:val="00E64C6A"/>
    <w:rsid w:val="00E66866"/>
    <w:rsid w:val="00E70DDE"/>
    <w:rsid w:val="00E730DC"/>
    <w:rsid w:val="00E73168"/>
    <w:rsid w:val="00E75C59"/>
    <w:rsid w:val="00E8013C"/>
    <w:rsid w:val="00E831DB"/>
    <w:rsid w:val="00E838F9"/>
    <w:rsid w:val="00E853B3"/>
    <w:rsid w:val="00E91013"/>
    <w:rsid w:val="00E91EF4"/>
    <w:rsid w:val="00E945D4"/>
    <w:rsid w:val="00E96674"/>
    <w:rsid w:val="00E96AC7"/>
    <w:rsid w:val="00EA2930"/>
    <w:rsid w:val="00EA537E"/>
    <w:rsid w:val="00EA5E85"/>
    <w:rsid w:val="00EA5F09"/>
    <w:rsid w:val="00EB731D"/>
    <w:rsid w:val="00EC0D10"/>
    <w:rsid w:val="00EC0E74"/>
    <w:rsid w:val="00EC1094"/>
    <w:rsid w:val="00ED4CA7"/>
    <w:rsid w:val="00ED7960"/>
    <w:rsid w:val="00ED7C68"/>
    <w:rsid w:val="00ED7C9E"/>
    <w:rsid w:val="00EE2C40"/>
    <w:rsid w:val="00EE4317"/>
    <w:rsid w:val="00EF097A"/>
    <w:rsid w:val="00EF671B"/>
    <w:rsid w:val="00F01203"/>
    <w:rsid w:val="00F02C0D"/>
    <w:rsid w:val="00F03D36"/>
    <w:rsid w:val="00F13883"/>
    <w:rsid w:val="00F13EAF"/>
    <w:rsid w:val="00F14982"/>
    <w:rsid w:val="00F155FA"/>
    <w:rsid w:val="00F1755A"/>
    <w:rsid w:val="00F22869"/>
    <w:rsid w:val="00F22FA1"/>
    <w:rsid w:val="00F31391"/>
    <w:rsid w:val="00F33136"/>
    <w:rsid w:val="00F37A09"/>
    <w:rsid w:val="00F402A3"/>
    <w:rsid w:val="00F42416"/>
    <w:rsid w:val="00F4264D"/>
    <w:rsid w:val="00F431D3"/>
    <w:rsid w:val="00F461EA"/>
    <w:rsid w:val="00F46E4F"/>
    <w:rsid w:val="00F5170B"/>
    <w:rsid w:val="00F52304"/>
    <w:rsid w:val="00F549B8"/>
    <w:rsid w:val="00F55BA4"/>
    <w:rsid w:val="00F572E5"/>
    <w:rsid w:val="00F62873"/>
    <w:rsid w:val="00F63C0A"/>
    <w:rsid w:val="00F6447F"/>
    <w:rsid w:val="00F66E50"/>
    <w:rsid w:val="00F71A15"/>
    <w:rsid w:val="00F721FC"/>
    <w:rsid w:val="00F73D74"/>
    <w:rsid w:val="00F7644C"/>
    <w:rsid w:val="00F8017D"/>
    <w:rsid w:val="00F92CCE"/>
    <w:rsid w:val="00F96DF0"/>
    <w:rsid w:val="00FA4F15"/>
    <w:rsid w:val="00FA7D17"/>
    <w:rsid w:val="00FB0A74"/>
    <w:rsid w:val="00FB0D88"/>
    <w:rsid w:val="00FB14DE"/>
    <w:rsid w:val="00FB334B"/>
    <w:rsid w:val="00FB5320"/>
    <w:rsid w:val="00FB68C0"/>
    <w:rsid w:val="00FC0780"/>
    <w:rsid w:val="00FC0DD6"/>
    <w:rsid w:val="00FC2688"/>
    <w:rsid w:val="00FC45B5"/>
    <w:rsid w:val="00FC584B"/>
    <w:rsid w:val="00FC64F9"/>
    <w:rsid w:val="00FC66E0"/>
    <w:rsid w:val="00FC7179"/>
    <w:rsid w:val="00FD01C4"/>
    <w:rsid w:val="00FD3862"/>
    <w:rsid w:val="00FD5615"/>
    <w:rsid w:val="00FD689F"/>
    <w:rsid w:val="00FD7065"/>
    <w:rsid w:val="00FD7AF0"/>
    <w:rsid w:val="00FE57AF"/>
    <w:rsid w:val="00FF2086"/>
    <w:rsid w:val="00FF5A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o:shapelayout v:ext="edit">
      <o:idmap v:ext="edit" data="1"/>
    </o:shapelayout>
  </w:shapeDefaults>
  <w:decimalSymbol w:val=","/>
  <w:listSeparator w:val=";"/>
  <w14:docId w14:val="668FC16E"/>
  <w15:docId w15:val="{A6F7E200-556F-44E7-961C-FC0807F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 w:defSemiHidden="0" w:defUnhideWhenUsed="0" w:defQFormat="0" w:count="371">
    <w:lsdException w:name="Normal" w:qFormat="1"/>
    <w:lsdException w:name="heading 1" w:uiPriority="0"/>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9"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0B28"/>
    <w:pPr>
      <w:spacing w:after="240" w:line="240" w:lineRule="atLeast"/>
    </w:pPr>
    <w:rPr>
      <w:rFonts w:eastAsia="Arial Unicode MS"/>
      <w:szCs w:val="24"/>
      <w:lang w:eastAsia="en-US"/>
    </w:rPr>
  </w:style>
  <w:style w:type="paragraph" w:styleId="Titre1">
    <w:name w:val="heading 1"/>
    <w:basedOn w:val="Normal"/>
    <w:next w:val="Normal"/>
    <w:link w:val="Titre1Car"/>
    <w:rsid w:val="00E16FAE"/>
    <w:pPr>
      <w:keepNext/>
      <w:keepLines/>
      <w:pageBreakBefore/>
      <w:numPr>
        <w:numId w:val="3"/>
      </w:numPr>
      <w:outlineLvl w:val="0"/>
    </w:pPr>
    <w:rPr>
      <w:rFonts w:eastAsiaTheme="majorEastAsia" w:cstheme="majorBidi"/>
      <w:bCs/>
      <w:color w:val="00539F" w:themeColor="text2"/>
      <w:sz w:val="40"/>
      <w:szCs w:val="28"/>
    </w:rPr>
  </w:style>
  <w:style w:type="paragraph" w:styleId="Titre2">
    <w:name w:val="heading 2"/>
    <w:basedOn w:val="Normal"/>
    <w:next w:val="Normal"/>
    <w:link w:val="Titre2Car"/>
    <w:qFormat/>
    <w:rsid w:val="00E16FAE"/>
    <w:pPr>
      <w:keepNext/>
      <w:keepLines/>
      <w:numPr>
        <w:ilvl w:val="1"/>
        <w:numId w:val="3"/>
      </w:numPr>
      <w:spacing w:before="240" w:after="120"/>
      <w:outlineLvl w:val="1"/>
    </w:pPr>
    <w:rPr>
      <w:rFonts w:eastAsiaTheme="majorEastAsia" w:cstheme="majorBidi"/>
      <w:bCs/>
      <w:color w:val="00539F" w:themeColor="text2"/>
      <w:sz w:val="28"/>
      <w:szCs w:val="26"/>
    </w:rPr>
  </w:style>
  <w:style w:type="paragraph" w:styleId="Titre3">
    <w:name w:val="heading 3"/>
    <w:basedOn w:val="Normal"/>
    <w:next w:val="Normal"/>
    <w:link w:val="Titre3Car"/>
    <w:qFormat/>
    <w:rsid w:val="00E16FAE"/>
    <w:pPr>
      <w:keepNext/>
      <w:keepLines/>
      <w:numPr>
        <w:ilvl w:val="2"/>
        <w:numId w:val="3"/>
      </w:numPr>
      <w:spacing w:before="240" w:after="0"/>
      <w:outlineLvl w:val="2"/>
    </w:pPr>
    <w:rPr>
      <w:rFonts w:eastAsiaTheme="majorEastAsia" w:cstheme="majorBidi"/>
      <w:bCs/>
      <w:color w:val="00539F" w:themeColor="text2"/>
    </w:rPr>
  </w:style>
  <w:style w:type="paragraph" w:styleId="Titre4">
    <w:name w:val="heading 4"/>
    <w:basedOn w:val="Normal"/>
    <w:next w:val="Normal"/>
    <w:link w:val="Titre4Car"/>
    <w:uiPriority w:val="9"/>
    <w:semiHidden/>
    <w:qFormat/>
    <w:rsid w:val="00EF097A"/>
    <w:pPr>
      <w:keepNext/>
      <w:keepLines/>
      <w:spacing w:before="240" w:after="0"/>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1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oSpace">
    <w:name w:val="NormalNoSpace"/>
    <w:basedOn w:val="Normal"/>
    <w:qFormat/>
    <w:rsid w:val="00B22AE3"/>
    <w:pPr>
      <w:spacing w:after="0"/>
    </w:pPr>
  </w:style>
  <w:style w:type="character" w:customStyle="1" w:styleId="Titre3Car">
    <w:name w:val="Titre 3 Car"/>
    <w:basedOn w:val="Policepardfaut"/>
    <w:link w:val="Titre3"/>
    <w:rsid w:val="00EF097A"/>
    <w:rPr>
      <w:rFonts w:eastAsiaTheme="majorEastAsia" w:cstheme="majorBidi"/>
      <w:bCs/>
      <w:color w:val="00539F" w:themeColor="text2"/>
      <w:szCs w:val="24"/>
      <w:lang w:eastAsia="en-US"/>
    </w:rPr>
  </w:style>
  <w:style w:type="paragraph" w:styleId="En-tte">
    <w:name w:val="header"/>
    <w:basedOn w:val="Normal"/>
    <w:link w:val="En-tteCar"/>
    <w:uiPriority w:val="9"/>
    <w:semiHidden/>
    <w:rsid w:val="009B60AD"/>
    <w:pPr>
      <w:tabs>
        <w:tab w:val="center" w:pos="4513"/>
        <w:tab w:val="right" w:pos="9026"/>
      </w:tabs>
      <w:spacing w:after="0" w:line="240" w:lineRule="auto"/>
    </w:pPr>
  </w:style>
  <w:style w:type="character" w:customStyle="1" w:styleId="En-tteCar">
    <w:name w:val="En-tête Car"/>
    <w:basedOn w:val="Policepardfaut"/>
    <w:link w:val="En-tte"/>
    <w:uiPriority w:val="9"/>
    <w:semiHidden/>
    <w:rsid w:val="009B60AD"/>
    <w:rPr>
      <w:szCs w:val="24"/>
      <w:lang w:eastAsia="en-US"/>
    </w:rPr>
  </w:style>
  <w:style w:type="paragraph" w:styleId="Pieddepage">
    <w:name w:val="footer"/>
    <w:basedOn w:val="Normal"/>
    <w:link w:val="PieddepageCar"/>
    <w:uiPriority w:val="99"/>
    <w:rsid w:val="009B60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60AD"/>
    <w:rPr>
      <w:szCs w:val="24"/>
      <w:lang w:eastAsia="en-US"/>
    </w:rPr>
  </w:style>
  <w:style w:type="character" w:customStyle="1" w:styleId="Titre1Car">
    <w:name w:val="Titre 1 Car"/>
    <w:basedOn w:val="Policepardfaut"/>
    <w:link w:val="Titre1"/>
    <w:rsid w:val="00C62BC3"/>
    <w:rPr>
      <w:rFonts w:eastAsiaTheme="majorEastAsia" w:cstheme="majorBidi"/>
      <w:bCs/>
      <w:color w:val="00539F" w:themeColor="text2"/>
      <w:sz w:val="40"/>
      <w:szCs w:val="28"/>
      <w:lang w:eastAsia="en-US"/>
    </w:rPr>
  </w:style>
  <w:style w:type="character" w:customStyle="1" w:styleId="Titre2Car">
    <w:name w:val="Titre 2 Car"/>
    <w:basedOn w:val="Policepardfaut"/>
    <w:link w:val="Titre2"/>
    <w:rsid w:val="00EF097A"/>
    <w:rPr>
      <w:rFonts w:eastAsiaTheme="majorEastAsia" w:cstheme="majorBidi"/>
      <w:bCs/>
      <w:color w:val="00539F" w:themeColor="text2"/>
      <w:sz w:val="28"/>
      <w:szCs w:val="26"/>
      <w:lang w:eastAsia="en-US"/>
    </w:rPr>
  </w:style>
  <w:style w:type="character" w:customStyle="1" w:styleId="Titre4Car">
    <w:name w:val="Titre 4 Car"/>
    <w:basedOn w:val="Policepardfaut"/>
    <w:link w:val="Titre4"/>
    <w:uiPriority w:val="9"/>
    <w:semiHidden/>
    <w:rsid w:val="00EF097A"/>
    <w:rPr>
      <w:rFonts w:eastAsiaTheme="majorEastAsia" w:cstheme="majorBidi"/>
      <w:b/>
      <w:bCs/>
      <w:i/>
      <w:iCs/>
      <w:szCs w:val="24"/>
      <w:lang w:val="en-US" w:eastAsia="en-US"/>
    </w:rPr>
  </w:style>
  <w:style w:type="paragraph" w:styleId="Textedebulles">
    <w:name w:val="Balloon Text"/>
    <w:basedOn w:val="Normal"/>
    <w:link w:val="TextedebullesCar"/>
    <w:uiPriority w:val="9"/>
    <w:rsid w:val="001E3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
    <w:rsid w:val="00C62BC3"/>
    <w:rPr>
      <w:rFonts w:ascii="Tahoma" w:hAnsi="Tahoma" w:cs="Tahoma"/>
      <w:sz w:val="16"/>
      <w:szCs w:val="16"/>
      <w:lang w:val="en-US" w:eastAsia="en-US"/>
    </w:rPr>
  </w:style>
  <w:style w:type="paragraph" w:styleId="Corpsdetexte">
    <w:name w:val="Body Text"/>
    <w:basedOn w:val="Normal"/>
    <w:link w:val="CorpsdetexteCar"/>
    <w:uiPriority w:val="9"/>
    <w:semiHidden/>
    <w:unhideWhenUsed/>
    <w:rsid w:val="00661576"/>
    <w:pPr>
      <w:spacing w:after="120"/>
    </w:pPr>
  </w:style>
  <w:style w:type="character" w:customStyle="1" w:styleId="CorpsdetexteCar">
    <w:name w:val="Corps de texte Car"/>
    <w:basedOn w:val="Policepardfaut"/>
    <w:link w:val="Corpsdetexte"/>
    <w:uiPriority w:val="9"/>
    <w:semiHidden/>
    <w:rsid w:val="00C62BC3"/>
    <w:rPr>
      <w:szCs w:val="24"/>
      <w:lang w:val="en-US" w:eastAsia="en-US"/>
    </w:rPr>
  </w:style>
  <w:style w:type="paragraph" w:customStyle="1" w:styleId="Yours">
    <w:name w:val="Yours"/>
    <w:basedOn w:val="Normal"/>
    <w:uiPriority w:val="3"/>
    <w:qFormat/>
    <w:rsid w:val="00201800"/>
    <w:pPr>
      <w:keepNext/>
      <w:spacing w:after="1200"/>
    </w:pPr>
  </w:style>
  <w:style w:type="paragraph" w:customStyle="1" w:styleId="NormalSm">
    <w:name w:val="NormalSm"/>
    <w:basedOn w:val="Normal"/>
    <w:uiPriority w:val="9"/>
    <w:semiHidden/>
    <w:qFormat/>
    <w:rsid w:val="007803B8"/>
    <w:rPr>
      <w:sz w:val="18"/>
    </w:rPr>
  </w:style>
  <w:style w:type="paragraph" w:customStyle="1" w:styleId="NormalSmNoSpace">
    <w:name w:val="NormalSmNoSpace"/>
    <w:basedOn w:val="NormalSm"/>
    <w:uiPriority w:val="9"/>
    <w:semiHidden/>
    <w:qFormat/>
    <w:rsid w:val="00832DB7"/>
    <w:pPr>
      <w:spacing w:after="0" w:line="200" w:lineRule="atLeast"/>
    </w:pPr>
    <w:rPr>
      <w:sz w:val="16"/>
    </w:rPr>
  </w:style>
  <w:style w:type="paragraph" w:customStyle="1" w:styleId="Bullet1">
    <w:name w:val="Bullet1"/>
    <w:basedOn w:val="Normal"/>
    <w:uiPriority w:val="9"/>
    <w:qFormat/>
    <w:rsid w:val="003556A7"/>
    <w:pPr>
      <w:numPr>
        <w:numId w:val="1"/>
      </w:numPr>
      <w:spacing w:after="0"/>
      <w:ind w:left="425" w:hanging="425"/>
    </w:pPr>
  </w:style>
  <w:style w:type="paragraph" w:customStyle="1" w:styleId="Bullet1Last">
    <w:name w:val="Bullet1Last"/>
    <w:basedOn w:val="Bullet1"/>
    <w:next w:val="Normal"/>
    <w:uiPriority w:val="9"/>
    <w:qFormat/>
    <w:rsid w:val="003556A7"/>
    <w:pPr>
      <w:spacing w:after="240"/>
    </w:pPr>
  </w:style>
  <w:style w:type="paragraph" w:customStyle="1" w:styleId="Heading">
    <w:name w:val="Heading"/>
    <w:basedOn w:val="Normal"/>
    <w:next w:val="Normal"/>
    <w:uiPriority w:val="9"/>
    <w:qFormat/>
    <w:rsid w:val="007E518F"/>
    <w:pPr>
      <w:keepNext/>
    </w:pPr>
    <w:rPr>
      <w:b/>
    </w:rPr>
  </w:style>
  <w:style w:type="paragraph" w:customStyle="1" w:styleId="LCHAddress">
    <w:name w:val="LCHAddress"/>
    <w:basedOn w:val="Normal"/>
    <w:uiPriority w:val="9"/>
    <w:semiHidden/>
    <w:qFormat/>
    <w:rsid w:val="00364CCD"/>
    <w:pPr>
      <w:autoSpaceDE w:val="0"/>
      <w:autoSpaceDN w:val="0"/>
      <w:adjustRightInd w:val="0"/>
      <w:spacing w:after="0" w:line="220" w:lineRule="atLeast"/>
      <w:jc w:val="right"/>
    </w:pPr>
    <w:rPr>
      <w:rFonts w:asciiTheme="minorHAnsi" w:eastAsia="Times New Roman" w:hAnsiTheme="minorHAnsi" w:cs="TheSans-B8ExtraBold"/>
      <w:bCs/>
      <w:color w:val="4D4E53"/>
      <w:sz w:val="18"/>
      <w:szCs w:val="18"/>
      <w:lang w:eastAsia="en-GB"/>
    </w:rPr>
  </w:style>
  <w:style w:type="paragraph" w:customStyle="1" w:styleId="LCHRegText">
    <w:name w:val="LCHRegText"/>
    <w:basedOn w:val="Pieddepage"/>
    <w:uiPriority w:val="9"/>
    <w:semiHidden/>
    <w:qFormat/>
    <w:rsid w:val="00364CCD"/>
    <w:pPr>
      <w:spacing w:before="280"/>
      <w:ind w:left="-680"/>
      <w:jc w:val="right"/>
    </w:pPr>
    <w:rPr>
      <w:rFonts w:asciiTheme="minorHAnsi" w:eastAsia="Times New Roman" w:hAnsiTheme="minorHAnsi" w:cs="TheSans-B5Plain"/>
      <w:color w:val="4D4E53"/>
      <w:spacing w:val="-2"/>
      <w:sz w:val="12"/>
      <w:szCs w:val="12"/>
      <w:lang w:eastAsia="en-GB"/>
    </w:rPr>
  </w:style>
  <w:style w:type="table" w:customStyle="1" w:styleId="LCHClearnet">
    <w:name w:val="LCHClearnet"/>
    <w:basedOn w:val="TableauNormal"/>
    <w:uiPriority w:val="99"/>
    <w:qFormat/>
    <w:rsid w:val="00C45239"/>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EC3DF" w:themeFill="accent6"/>
    </w:tcPr>
    <w:tblStylePr w:type="firstRow">
      <w:rPr>
        <w:color w:val="FFFFFF" w:themeColor="background1"/>
      </w:rPr>
      <w:tblPr/>
      <w:tcPr>
        <w:shd w:val="clear" w:color="auto" w:fill="00539F" w:themeFill="text2"/>
      </w:tcPr>
    </w:tblStylePr>
    <w:tblStylePr w:type="band2Horz">
      <w:tblPr/>
      <w:tcPr>
        <w:tcBorders>
          <w:top w:val="nil"/>
          <w:left w:val="nil"/>
          <w:bottom w:val="nil"/>
          <w:right w:val="nil"/>
          <w:insideH w:val="single" w:sz="4" w:space="0" w:color="9EC3DF" w:themeColor="accent6"/>
          <w:insideV w:val="single" w:sz="4" w:space="0" w:color="9EC3DF" w:themeColor="accent6"/>
        </w:tcBorders>
        <w:shd w:val="clear" w:color="auto" w:fill="FFFFFF" w:themeFill="background1"/>
      </w:tcPr>
    </w:tblStylePr>
  </w:style>
  <w:style w:type="table" w:styleId="Effetsdetableau3D1">
    <w:name w:val="Table 3D effects 1"/>
    <w:basedOn w:val="TableauNormal"/>
    <w:rsid w:val="00C45239"/>
    <w:pPr>
      <w:spacing w:after="2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C45239"/>
    <w:pPr>
      <w:spacing w:after="2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C45239"/>
    <w:pPr>
      <w:spacing w:after="2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CHConfidential">
    <w:name w:val="LCHConfidential"/>
    <w:basedOn w:val="En-tte"/>
    <w:uiPriority w:val="9"/>
    <w:semiHidden/>
    <w:qFormat/>
    <w:rsid w:val="005B50C2"/>
    <w:pPr>
      <w:spacing w:before="180"/>
      <w:jc w:val="right"/>
    </w:pPr>
    <w:rPr>
      <w:b/>
      <w:sz w:val="24"/>
    </w:rPr>
  </w:style>
  <w:style w:type="paragraph" w:customStyle="1" w:styleId="Bullet2">
    <w:name w:val="Bullet2"/>
    <w:basedOn w:val="Normal"/>
    <w:uiPriority w:val="3"/>
    <w:qFormat/>
    <w:rsid w:val="003556A7"/>
    <w:pPr>
      <w:numPr>
        <w:numId w:val="2"/>
      </w:numPr>
      <w:spacing w:after="0"/>
      <w:ind w:left="850" w:hanging="425"/>
    </w:pPr>
  </w:style>
  <w:style w:type="paragraph" w:customStyle="1" w:styleId="Bullet2Last">
    <w:name w:val="Bullet2Last"/>
    <w:basedOn w:val="Bullet2"/>
    <w:next w:val="Normal"/>
    <w:uiPriority w:val="3"/>
    <w:qFormat/>
    <w:rsid w:val="003556A7"/>
    <w:pPr>
      <w:spacing w:after="240"/>
    </w:pPr>
  </w:style>
  <w:style w:type="paragraph" w:customStyle="1" w:styleId="Heading1NoNumb">
    <w:name w:val="Heading 1NoNumb"/>
    <w:basedOn w:val="Titre1"/>
    <w:next w:val="Normal"/>
    <w:uiPriority w:val="1"/>
    <w:qFormat/>
    <w:rsid w:val="00E16FAE"/>
    <w:pPr>
      <w:numPr>
        <w:numId w:val="0"/>
      </w:numPr>
    </w:pPr>
  </w:style>
  <w:style w:type="paragraph" w:customStyle="1" w:styleId="Heading1NoTOC">
    <w:name w:val="Heading 1NoTOC"/>
    <w:basedOn w:val="Heading1NoNumb"/>
    <w:uiPriority w:val="9"/>
    <w:qFormat/>
    <w:rsid w:val="00E16FAE"/>
  </w:style>
  <w:style w:type="paragraph" w:customStyle="1" w:styleId="Heading2NoNumb">
    <w:name w:val="Heading 2NoNumb"/>
    <w:basedOn w:val="Titre2"/>
    <w:next w:val="Normal"/>
    <w:uiPriority w:val="1"/>
    <w:qFormat/>
    <w:rsid w:val="00E16FAE"/>
    <w:pPr>
      <w:numPr>
        <w:ilvl w:val="0"/>
        <w:numId w:val="0"/>
      </w:numPr>
    </w:pPr>
  </w:style>
  <w:style w:type="paragraph" w:customStyle="1" w:styleId="Heading3NoNumb">
    <w:name w:val="Heading 3NoNumb"/>
    <w:basedOn w:val="Titre3"/>
    <w:next w:val="Normal"/>
    <w:uiPriority w:val="1"/>
    <w:qFormat/>
    <w:rsid w:val="00E16FAE"/>
    <w:pPr>
      <w:numPr>
        <w:ilvl w:val="0"/>
        <w:numId w:val="0"/>
      </w:numPr>
    </w:pPr>
  </w:style>
  <w:style w:type="paragraph" w:customStyle="1" w:styleId="NumbList1">
    <w:name w:val="NumbList1"/>
    <w:basedOn w:val="Normal"/>
    <w:uiPriority w:val="3"/>
    <w:qFormat/>
    <w:rsid w:val="00E16FAE"/>
    <w:pPr>
      <w:numPr>
        <w:ilvl w:val="3"/>
        <w:numId w:val="3"/>
      </w:numPr>
      <w:spacing w:after="0"/>
    </w:pPr>
  </w:style>
  <w:style w:type="paragraph" w:customStyle="1" w:styleId="NumbList1Last">
    <w:name w:val="NumbList1Last"/>
    <w:basedOn w:val="NumbList1"/>
    <w:next w:val="Normal"/>
    <w:uiPriority w:val="3"/>
    <w:qFormat/>
    <w:rsid w:val="003556A7"/>
    <w:pPr>
      <w:spacing w:after="240"/>
    </w:pPr>
  </w:style>
  <w:style w:type="paragraph" w:customStyle="1" w:styleId="NumbList2">
    <w:name w:val="NumbList2"/>
    <w:basedOn w:val="Normal"/>
    <w:uiPriority w:val="3"/>
    <w:qFormat/>
    <w:rsid w:val="003556A7"/>
    <w:pPr>
      <w:numPr>
        <w:ilvl w:val="4"/>
        <w:numId w:val="3"/>
      </w:numPr>
      <w:spacing w:after="0"/>
      <w:ind w:left="850" w:hanging="425"/>
    </w:pPr>
  </w:style>
  <w:style w:type="paragraph" w:customStyle="1" w:styleId="NumbList2Last">
    <w:name w:val="NumbList2Last"/>
    <w:basedOn w:val="NumbList2"/>
    <w:next w:val="Normal"/>
    <w:uiPriority w:val="3"/>
    <w:qFormat/>
    <w:rsid w:val="003556A7"/>
    <w:pPr>
      <w:spacing w:after="240"/>
    </w:pPr>
  </w:style>
  <w:style w:type="paragraph" w:styleId="Citation">
    <w:name w:val="Quote"/>
    <w:basedOn w:val="Normal"/>
    <w:next w:val="Normal"/>
    <w:link w:val="CitationCar"/>
    <w:uiPriority w:val="5"/>
    <w:qFormat/>
    <w:rsid w:val="00E16FAE"/>
    <w:pPr>
      <w:spacing w:after="120"/>
    </w:pPr>
    <w:rPr>
      <w:i/>
      <w:iCs/>
      <w:color w:val="00539F" w:themeColor="text2"/>
    </w:rPr>
  </w:style>
  <w:style w:type="character" w:customStyle="1" w:styleId="CitationCar">
    <w:name w:val="Citation Car"/>
    <w:basedOn w:val="Policepardfaut"/>
    <w:link w:val="Citation"/>
    <w:uiPriority w:val="5"/>
    <w:rsid w:val="00E16FAE"/>
    <w:rPr>
      <w:rFonts w:eastAsia="Arial Unicode MS"/>
      <w:i/>
      <w:iCs/>
      <w:color w:val="00539F" w:themeColor="text2"/>
      <w:szCs w:val="24"/>
      <w:lang w:eastAsia="en-US"/>
    </w:rPr>
  </w:style>
  <w:style w:type="paragraph" w:customStyle="1" w:styleId="QuoteSource">
    <w:name w:val="QuoteSource"/>
    <w:basedOn w:val="Citation"/>
    <w:uiPriority w:val="5"/>
    <w:qFormat/>
    <w:rsid w:val="00E16FAE"/>
    <w:pPr>
      <w:spacing w:after="240"/>
      <w:jc w:val="right"/>
    </w:pPr>
    <w:rPr>
      <w:b/>
    </w:rPr>
  </w:style>
  <w:style w:type="paragraph" w:customStyle="1" w:styleId="Sous-titre1">
    <w:name w:val="Sous-titre1"/>
    <w:basedOn w:val="Titre"/>
    <w:uiPriority w:val="7"/>
    <w:qFormat/>
    <w:rsid w:val="00E16FAE"/>
    <w:pPr>
      <w:pBdr>
        <w:bottom w:val="none" w:sz="0" w:space="0" w:color="auto"/>
      </w:pBdr>
      <w:spacing w:after="600"/>
    </w:pPr>
    <w:rPr>
      <w:color w:val="000000" w:themeColor="text1"/>
      <w:sz w:val="36"/>
    </w:rPr>
  </w:style>
  <w:style w:type="paragraph" w:styleId="Titre">
    <w:name w:val="Title"/>
    <w:basedOn w:val="Normal"/>
    <w:next w:val="Normal"/>
    <w:link w:val="TitreCar"/>
    <w:uiPriority w:val="9"/>
    <w:semiHidden/>
    <w:qFormat/>
    <w:rsid w:val="00E16FAE"/>
    <w:pPr>
      <w:pBdr>
        <w:bottom w:val="single" w:sz="8" w:space="4" w:color="AC1A2F" w:themeColor="accent1"/>
      </w:pBdr>
      <w:spacing w:after="300" w:line="240" w:lineRule="auto"/>
      <w:contextualSpacing/>
    </w:pPr>
    <w:rPr>
      <w:rFonts w:asciiTheme="majorHAnsi" w:eastAsiaTheme="majorEastAsia" w:hAnsiTheme="majorHAnsi" w:cstheme="majorBidi"/>
      <w:color w:val="003E77" w:themeColor="text2" w:themeShade="BF"/>
      <w:spacing w:val="5"/>
      <w:kern w:val="28"/>
      <w:sz w:val="52"/>
      <w:szCs w:val="52"/>
    </w:rPr>
  </w:style>
  <w:style w:type="character" w:customStyle="1" w:styleId="TitreCar">
    <w:name w:val="Titre Car"/>
    <w:basedOn w:val="Policepardfaut"/>
    <w:link w:val="Titre"/>
    <w:uiPriority w:val="9"/>
    <w:semiHidden/>
    <w:rsid w:val="00E16FAE"/>
    <w:rPr>
      <w:rFonts w:asciiTheme="majorHAnsi" w:eastAsiaTheme="majorEastAsia" w:hAnsiTheme="majorHAnsi" w:cstheme="majorBidi"/>
      <w:color w:val="003E77" w:themeColor="text2" w:themeShade="BF"/>
      <w:spacing w:val="5"/>
      <w:kern w:val="28"/>
      <w:sz w:val="52"/>
      <w:szCs w:val="52"/>
      <w:lang w:eastAsia="en-US"/>
    </w:rPr>
  </w:style>
  <w:style w:type="paragraph" w:styleId="Sous-titre">
    <w:name w:val="Subtitle"/>
    <w:basedOn w:val="Normal"/>
    <w:next w:val="Normal"/>
    <w:link w:val="Sous-titreCar"/>
    <w:uiPriority w:val="9"/>
    <w:semiHidden/>
    <w:qFormat/>
    <w:rsid w:val="00E16FAE"/>
  </w:style>
  <w:style w:type="character" w:customStyle="1" w:styleId="Sous-titreCar">
    <w:name w:val="Sous-titre Car"/>
    <w:basedOn w:val="Policepardfaut"/>
    <w:link w:val="Sous-titre"/>
    <w:uiPriority w:val="9"/>
    <w:semiHidden/>
    <w:rsid w:val="00E16FAE"/>
    <w:rPr>
      <w:rFonts w:eastAsia="Arial Unicode MS"/>
      <w:szCs w:val="24"/>
      <w:lang w:eastAsia="en-US"/>
    </w:rPr>
  </w:style>
  <w:style w:type="paragraph" w:customStyle="1" w:styleId="Table">
    <w:name w:val="Table"/>
    <w:basedOn w:val="Normal"/>
    <w:uiPriority w:val="5"/>
    <w:qFormat/>
    <w:rsid w:val="00E16FAE"/>
    <w:pPr>
      <w:numPr>
        <w:numId w:val="4"/>
      </w:numPr>
    </w:pPr>
  </w:style>
  <w:style w:type="paragraph" w:customStyle="1" w:styleId="LCHDocTitle">
    <w:name w:val="LCHDocTitle"/>
    <w:basedOn w:val="Normal"/>
    <w:uiPriority w:val="9"/>
    <w:qFormat/>
    <w:rsid w:val="00C41483"/>
    <w:rPr>
      <w:sz w:val="60"/>
    </w:rPr>
  </w:style>
  <w:style w:type="paragraph" w:customStyle="1" w:styleId="LCHInfo">
    <w:name w:val="LCHInfo"/>
    <w:basedOn w:val="NormalNoSpace"/>
    <w:uiPriority w:val="9"/>
    <w:qFormat/>
    <w:rsid w:val="00C41483"/>
    <w:rPr>
      <w:sz w:val="16"/>
    </w:rPr>
  </w:style>
  <w:style w:type="paragraph" w:customStyle="1" w:styleId="NormalIndent">
    <w:name w:val="NormalIndent"/>
    <w:basedOn w:val="Normal"/>
    <w:uiPriority w:val="1"/>
    <w:qFormat/>
    <w:rsid w:val="00CB5BAF"/>
    <w:pPr>
      <w:ind w:left="340"/>
    </w:pPr>
  </w:style>
  <w:style w:type="character" w:styleId="Lienhypertexte">
    <w:name w:val="Hyperlink"/>
    <w:basedOn w:val="Policepardfaut"/>
    <w:uiPriority w:val="99"/>
    <w:unhideWhenUsed/>
    <w:rsid w:val="00D57781"/>
    <w:rPr>
      <w:color w:val="00539F"/>
      <w:u w:val="single"/>
    </w:rPr>
  </w:style>
  <w:style w:type="paragraph" w:styleId="Paragraphedeliste">
    <w:name w:val="List Paragraph"/>
    <w:basedOn w:val="Normal"/>
    <w:link w:val="ParagraphedelisteCar"/>
    <w:uiPriority w:val="34"/>
    <w:qFormat/>
    <w:rsid w:val="00D57781"/>
    <w:pPr>
      <w:spacing w:after="0" w:line="240" w:lineRule="auto"/>
      <w:ind w:left="720"/>
    </w:pPr>
    <w:rPr>
      <w:rFonts w:ascii="Times New Roman" w:eastAsia="Times New Roman" w:hAnsi="Times New Roman"/>
      <w:sz w:val="24"/>
      <w:lang w:val="fr-FR" w:eastAsia="fr-FR"/>
    </w:rPr>
  </w:style>
  <w:style w:type="character" w:customStyle="1" w:styleId="ParagraphedelisteCar">
    <w:name w:val="Paragraphe de liste Car"/>
    <w:basedOn w:val="Policepardfaut"/>
    <w:link w:val="Paragraphedeliste"/>
    <w:uiPriority w:val="34"/>
    <w:rsid w:val="00D57781"/>
    <w:rPr>
      <w:rFonts w:ascii="Times New Roman" w:hAnsi="Times New Roman"/>
      <w:sz w:val="24"/>
      <w:szCs w:val="24"/>
      <w:lang w:val="fr-FR" w:eastAsia="fr-FR"/>
    </w:rPr>
  </w:style>
  <w:style w:type="paragraph" w:styleId="Textebrut">
    <w:name w:val="Plain Text"/>
    <w:basedOn w:val="Normal"/>
    <w:link w:val="TextebrutCar"/>
    <w:uiPriority w:val="99"/>
    <w:unhideWhenUsed/>
    <w:rsid w:val="00FB0D88"/>
    <w:pPr>
      <w:spacing w:after="0" w:line="240" w:lineRule="auto"/>
    </w:pPr>
    <w:rPr>
      <w:rFonts w:ascii="Consolas" w:eastAsiaTheme="minorHAnsi" w:hAnsi="Consolas" w:cs="Consolas"/>
      <w:sz w:val="21"/>
      <w:szCs w:val="21"/>
      <w:lang w:val="fr-FR" w:eastAsia="fr-FR"/>
    </w:rPr>
  </w:style>
  <w:style w:type="character" w:customStyle="1" w:styleId="TextebrutCar">
    <w:name w:val="Texte brut Car"/>
    <w:basedOn w:val="Policepardfaut"/>
    <w:link w:val="Textebrut"/>
    <w:uiPriority w:val="99"/>
    <w:rsid w:val="00FB0D88"/>
    <w:rPr>
      <w:rFonts w:ascii="Consolas" w:eastAsiaTheme="minorHAnsi" w:hAnsi="Consolas" w:cs="Consolas"/>
      <w:sz w:val="21"/>
      <w:szCs w:val="21"/>
      <w:lang w:val="fr-FR" w:eastAsia="fr-FR"/>
    </w:rPr>
  </w:style>
  <w:style w:type="paragraph" w:styleId="Notedebasdepage">
    <w:name w:val="footnote text"/>
    <w:basedOn w:val="Normal"/>
    <w:link w:val="NotedebasdepageCar"/>
    <w:uiPriority w:val="19"/>
    <w:semiHidden/>
    <w:rsid w:val="00C747C9"/>
    <w:pPr>
      <w:spacing w:after="0" w:line="240" w:lineRule="auto"/>
    </w:pPr>
    <w:rPr>
      <w:szCs w:val="20"/>
    </w:rPr>
  </w:style>
  <w:style w:type="character" w:customStyle="1" w:styleId="NotedebasdepageCar">
    <w:name w:val="Note de bas de page Car"/>
    <w:basedOn w:val="Policepardfaut"/>
    <w:link w:val="Notedebasdepage"/>
    <w:uiPriority w:val="9"/>
    <w:semiHidden/>
    <w:rsid w:val="00C747C9"/>
    <w:rPr>
      <w:rFonts w:eastAsia="Arial Unicode MS"/>
      <w:lang w:eastAsia="en-US"/>
    </w:rPr>
  </w:style>
  <w:style w:type="character" w:styleId="Appelnotedebasdep">
    <w:name w:val="footnote reference"/>
    <w:basedOn w:val="Policepardfaut"/>
    <w:uiPriority w:val="19"/>
    <w:semiHidden/>
    <w:rsid w:val="00C747C9"/>
    <w:rPr>
      <w:vertAlign w:val="superscript"/>
    </w:rPr>
  </w:style>
  <w:style w:type="paragraph" w:styleId="Rvision">
    <w:name w:val="Revision"/>
    <w:hidden/>
    <w:uiPriority w:val="99"/>
    <w:semiHidden/>
    <w:rsid w:val="004164E2"/>
    <w:rPr>
      <w:rFonts w:eastAsia="Arial Unicode MS"/>
      <w:szCs w:val="24"/>
      <w:lang w:eastAsia="en-US"/>
    </w:rPr>
  </w:style>
  <w:style w:type="paragraph" w:customStyle="1" w:styleId="roman2">
    <w:name w:val="roman 2"/>
    <w:basedOn w:val="Normal"/>
    <w:uiPriority w:val="99"/>
    <w:rsid w:val="00F22FA1"/>
    <w:pPr>
      <w:numPr>
        <w:numId w:val="5"/>
      </w:numPr>
      <w:spacing w:after="140" w:line="290" w:lineRule="auto"/>
      <w:jc w:val="both"/>
    </w:pPr>
    <w:rPr>
      <w:rFonts w:eastAsia="Times New Roman"/>
      <w:kern w:val="20"/>
      <w:szCs w:val="20"/>
    </w:rPr>
  </w:style>
  <w:style w:type="paragraph" w:customStyle="1" w:styleId="Level1">
    <w:name w:val="Level 1"/>
    <w:basedOn w:val="Normal"/>
    <w:next w:val="Normal"/>
    <w:uiPriority w:val="99"/>
    <w:rsid w:val="009B0E1E"/>
    <w:pPr>
      <w:keepNext/>
      <w:numPr>
        <w:numId w:val="6"/>
      </w:numPr>
      <w:spacing w:before="280" w:after="140" w:line="290" w:lineRule="auto"/>
      <w:jc w:val="both"/>
      <w:outlineLvl w:val="0"/>
    </w:pPr>
    <w:rPr>
      <w:rFonts w:eastAsia="Times New Roman"/>
      <w:b/>
      <w:bCs/>
      <w:kern w:val="20"/>
      <w:sz w:val="22"/>
      <w:szCs w:val="32"/>
    </w:rPr>
  </w:style>
  <w:style w:type="paragraph" w:customStyle="1" w:styleId="Level2">
    <w:name w:val="Level 2"/>
    <w:basedOn w:val="Normal"/>
    <w:uiPriority w:val="99"/>
    <w:rsid w:val="009B0E1E"/>
    <w:pPr>
      <w:numPr>
        <w:ilvl w:val="1"/>
        <w:numId w:val="6"/>
      </w:numPr>
      <w:spacing w:after="140" w:line="290" w:lineRule="auto"/>
      <w:jc w:val="both"/>
    </w:pPr>
    <w:rPr>
      <w:rFonts w:eastAsia="Times New Roman"/>
      <w:kern w:val="20"/>
      <w:szCs w:val="28"/>
    </w:rPr>
  </w:style>
  <w:style w:type="paragraph" w:customStyle="1" w:styleId="Level3">
    <w:name w:val="Level 3"/>
    <w:basedOn w:val="Normal"/>
    <w:uiPriority w:val="99"/>
    <w:rsid w:val="009B0E1E"/>
    <w:pPr>
      <w:numPr>
        <w:ilvl w:val="2"/>
        <w:numId w:val="6"/>
      </w:numPr>
      <w:spacing w:after="140" w:line="290" w:lineRule="auto"/>
      <w:jc w:val="both"/>
    </w:pPr>
    <w:rPr>
      <w:rFonts w:eastAsia="Times New Roman"/>
      <w:szCs w:val="28"/>
    </w:rPr>
  </w:style>
  <w:style w:type="paragraph" w:customStyle="1" w:styleId="Level4">
    <w:name w:val="Level 4"/>
    <w:basedOn w:val="Normal"/>
    <w:uiPriority w:val="99"/>
    <w:rsid w:val="009B0E1E"/>
    <w:pPr>
      <w:keepNext/>
      <w:numPr>
        <w:ilvl w:val="3"/>
        <w:numId w:val="6"/>
      </w:numPr>
      <w:spacing w:after="140" w:line="290" w:lineRule="auto"/>
      <w:jc w:val="both"/>
    </w:pPr>
    <w:rPr>
      <w:rFonts w:eastAsia="Times New Roman"/>
      <w:b/>
      <w:kern w:val="20"/>
      <w:sz w:val="24"/>
      <w:szCs w:val="20"/>
      <w:lang w:val="en-US"/>
    </w:rPr>
  </w:style>
  <w:style w:type="paragraph" w:customStyle="1" w:styleId="Level5">
    <w:name w:val="Level 5"/>
    <w:basedOn w:val="Normal"/>
    <w:uiPriority w:val="99"/>
    <w:rsid w:val="009B0E1E"/>
    <w:pPr>
      <w:numPr>
        <w:ilvl w:val="4"/>
        <w:numId w:val="6"/>
      </w:numPr>
      <w:spacing w:after="140" w:line="290" w:lineRule="auto"/>
      <w:jc w:val="both"/>
    </w:pPr>
    <w:rPr>
      <w:rFonts w:eastAsia="Times New Roman"/>
      <w:kern w:val="20"/>
    </w:rPr>
  </w:style>
  <w:style w:type="paragraph" w:customStyle="1" w:styleId="Level6">
    <w:name w:val="Level 6"/>
    <w:basedOn w:val="Normal"/>
    <w:uiPriority w:val="99"/>
    <w:rsid w:val="009B0E1E"/>
    <w:pPr>
      <w:numPr>
        <w:ilvl w:val="5"/>
        <w:numId w:val="6"/>
      </w:numPr>
      <w:spacing w:after="140" w:line="290" w:lineRule="auto"/>
      <w:jc w:val="both"/>
    </w:pPr>
    <w:rPr>
      <w:rFonts w:eastAsia="Times New Roman"/>
      <w:kern w:val="20"/>
    </w:rPr>
  </w:style>
  <w:style w:type="paragraph" w:customStyle="1" w:styleId="Level7">
    <w:name w:val="Level 7"/>
    <w:basedOn w:val="Normal"/>
    <w:uiPriority w:val="99"/>
    <w:rsid w:val="009B0E1E"/>
    <w:pPr>
      <w:numPr>
        <w:ilvl w:val="6"/>
        <w:numId w:val="6"/>
      </w:numPr>
      <w:spacing w:after="140" w:line="290" w:lineRule="auto"/>
      <w:jc w:val="both"/>
      <w:outlineLvl w:val="6"/>
    </w:pPr>
    <w:rPr>
      <w:rFonts w:eastAsia="Times New Roman"/>
      <w:kern w:val="20"/>
    </w:rPr>
  </w:style>
  <w:style w:type="paragraph" w:customStyle="1" w:styleId="Level8">
    <w:name w:val="Level 8"/>
    <w:basedOn w:val="Normal"/>
    <w:uiPriority w:val="99"/>
    <w:rsid w:val="009B0E1E"/>
    <w:pPr>
      <w:numPr>
        <w:ilvl w:val="7"/>
        <w:numId w:val="6"/>
      </w:numPr>
      <w:spacing w:after="140" w:line="290" w:lineRule="auto"/>
      <w:jc w:val="both"/>
      <w:outlineLvl w:val="7"/>
    </w:pPr>
    <w:rPr>
      <w:rFonts w:eastAsia="Times New Roman"/>
      <w:kern w:val="20"/>
    </w:rPr>
  </w:style>
  <w:style w:type="paragraph" w:customStyle="1" w:styleId="Level9">
    <w:name w:val="Level 9"/>
    <w:basedOn w:val="Normal"/>
    <w:uiPriority w:val="99"/>
    <w:rsid w:val="009B0E1E"/>
    <w:pPr>
      <w:numPr>
        <w:ilvl w:val="8"/>
        <w:numId w:val="6"/>
      </w:numPr>
      <w:spacing w:after="140" w:line="290" w:lineRule="auto"/>
      <w:jc w:val="both"/>
      <w:outlineLvl w:val="8"/>
    </w:pPr>
    <w:rPr>
      <w:rFonts w:eastAsia="Times New Roman"/>
      <w:kern w:val="20"/>
    </w:rPr>
  </w:style>
  <w:style w:type="character" w:styleId="Marquedecommentaire">
    <w:name w:val="annotation reference"/>
    <w:basedOn w:val="Policepardfaut"/>
    <w:uiPriority w:val="9"/>
    <w:semiHidden/>
    <w:rsid w:val="00460D63"/>
    <w:rPr>
      <w:sz w:val="16"/>
      <w:szCs w:val="16"/>
    </w:rPr>
  </w:style>
  <w:style w:type="paragraph" w:styleId="Commentaire">
    <w:name w:val="annotation text"/>
    <w:basedOn w:val="Normal"/>
    <w:link w:val="CommentaireCar"/>
    <w:uiPriority w:val="9"/>
    <w:semiHidden/>
    <w:rsid w:val="00460D63"/>
    <w:pPr>
      <w:spacing w:line="240" w:lineRule="auto"/>
    </w:pPr>
    <w:rPr>
      <w:szCs w:val="20"/>
    </w:rPr>
  </w:style>
  <w:style w:type="character" w:customStyle="1" w:styleId="CommentaireCar">
    <w:name w:val="Commentaire Car"/>
    <w:basedOn w:val="Policepardfaut"/>
    <w:link w:val="Commentaire"/>
    <w:uiPriority w:val="9"/>
    <w:semiHidden/>
    <w:rsid w:val="00460D63"/>
    <w:rPr>
      <w:rFonts w:eastAsia="Arial Unicode MS"/>
      <w:lang w:eastAsia="en-US"/>
    </w:rPr>
  </w:style>
  <w:style w:type="paragraph" w:styleId="Objetducommentaire">
    <w:name w:val="annotation subject"/>
    <w:basedOn w:val="Commentaire"/>
    <w:next w:val="Commentaire"/>
    <w:link w:val="ObjetducommentaireCar"/>
    <w:uiPriority w:val="9"/>
    <w:semiHidden/>
    <w:rsid w:val="00460D63"/>
    <w:rPr>
      <w:b/>
      <w:bCs/>
    </w:rPr>
  </w:style>
  <w:style w:type="character" w:customStyle="1" w:styleId="ObjetducommentaireCar">
    <w:name w:val="Objet du commentaire Car"/>
    <w:basedOn w:val="CommentaireCar"/>
    <w:link w:val="Objetducommentaire"/>
    <w:uiPriority w:val="9"/>
    <w:semiHidden/>
    <w:rsid w:val="00460D63"/>
    <w:rPr>
      <w:rFonts w:eastAsia="Arial Unicode MS"/>
      <w:b/>
      <w:bCs/>
      <w:lang w:eastAsia="en-US"/>
    </w:rPr>
  </w:style>
  <w:style w:type="paragraph" w:customStyle="1" w:styleId="Default">
    <w:name w:val="Default"/>
    <w:rsid w:val="00286232"/>
    <w:pPr>
      <w:autoSpaceDE w:val="0"/>
      <w:autoSpaceDN w:val="0"/>
      <w:adjustRightInd w:val="0"/>
    </w:pPr>
    <w:rPr>
      <w:rFonts w:cs="Arial"/>
      <w:color w:val="000000"/>
      <w:sz w:val="24"/>
      <w:szCs w:val="24"/>
      <w:lang w:val="fr-FR"/>
    </w:rPr>
  </w:style>
  <w:style w:type="table" w:customStyle="1" w:styleId="TableauGrille2-Accentuation51">
    <w:name w:val="Tableau Grille 2 - Accentuation 51"/>
    <w:basedOn w:val="TableauNormal"/>
    <w:uiPriority w:val="47"/>
    <w:rsid w:val="00D667CD"/>
    <w:rPr>
      <w:rFonts w:asciiTheme="minorHAnsi" w:eastAsiaTheme="minorHAnsi" w:hAnsiTheme="minorHAnsi" w:cstheme="minorBidi"/>
      <w:sz w:val="22"/>
      <w:szCs w:val="22"/>
      <w:lang w:eastAsia="en-US"/>
    </w:rPr>
    <w:tblPr>
      <w:tblStyleRowBandSize w:val="1"/>
      <w:tblStyleColBandSize w:val="1"/>
      <w:tblBorders>
        <w:top w:val="single" w:sz="2" w:space="0" w:color="B4CED3" w:themeColor="accent5" w:themeTint="99"/>
        <w:bottom w:val="single" w:sz="2" w:space="0" w:color="B4CED3" w:themeColor="accent5" w:themeTint="99"/>
        <w:insideH w:val="single" w:sz="2" w:space="0" w:color="B4CED3" w:themeColor="accent5" w:themeTint="99"/>
        <w:insideV w:val="single" w:sz="2" w:space="0" w:color="B4CED3" w:themeColor="accent5" w:themeTint="99"/>
      </w:tblBorders>
    </w:tblPr>
    <w:tblStylePr w:type="firstRow">
      <w:rPr>
        <w:b/>
        <w:bCs/>
      </w:rPr>
      <w:tblPr/>
      <w:tcPr>
        <w:tcBorders>
          <w:top w:val="nil"/>
          <w:bottom w:val="single" w:sz="12" w:space="0" w:color="B4CED3" w:themeColor="accent5" w:themeTint="99"/>
          <w:insideH w:val="nil"/>
          <w:insideV w:val="nil"/>
        </w:tcBorders>
        <w:shd w:val="clear" w:color="auto" w:fill="FFFFFF" w:themeFill="background1"/>
      </w:tcPr>
    </w:tblStylePr>
    <w:tblStylePr w:type="lastRow">
      <w:rPr>
        <w:b/>
        <w:bCs/>
      </w:rPr>
      <w:tblPr/>
      <w:tcPr>
        <w:tcBorders>
          <w:top w:val="double" w:sz="2" w:space="0" w:color="B4CE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customStyle="1" w:styleId="CommentTextChar">
    <w:name w:val="Comment Text Char"/>
    <w:uiPriority w:val="99"/>
    <w:semiHidden/>
    <w:rsid w:val="00D336F8"/>
    <w:rPr>
      <w:snapToGrid w:val="0"/>
    </w:rPr>
  </w:style>
  <w:style w:type="character" w:styleId="Lienhypertextesuivivisit">
    <w:name w:val="FollowedHyperlink"/>
    <w:basedOn w:val="Policepardfaut"/>
    <w:uiPriority w:val="9"/>
    <w:semiHidden/>
    <w:unhideWhenUsed/>
    <w:rsid w:val="00AA4B33"/>
    <w:rPr>
      <w:color w:val="9EC3D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6041">
      <w:bodyDiv w:val="1"/>
      <w:marLeft w:val="0"/>
      <w:marRight w:val="0"/>
      <w:marTop w:val="0"/>
      <w:marBottom w:val="0"/>
      <w:divBdr>
        <w:top w:val="none" w:sz="0" w:space="0" w:color="auto"/>
        <w:left w:val="none" w:sz="0" w:space="0" w:color="auto"/>
        <w:bottom w:val="none" w:sz="0" w:space="0" w:color="auto"/>
        <w:right w:val="none" w:sz="0" w:space="0" w:color="auto"/>
      </w:divBdr>
    </w:div>
    <w:div w:id="749500966">
      <w:bodyDiv w:val="1"/>
      <w:marLeft w:val="0"/>
      <w:marRight w:val="0"/>
      <w:marTop w:val="0"/>
      <w:marBottom w:val="0"/>
      <w:divBdr>
        <w:top w:val="none" w:sz="0" w:space="0" w:color="auto"/>
        <w:left w:val="none" w:sz="0" w:space="0" w:color="auto"/>
        <w:bottom w:val="none" w:sz="0" w:space="0" w:color="auto"/>
        <w:right w:val="none" w:sz="0" w:space="0" w:color="auto"/>
      </w:divBdr>
    </w:div>
    <w:div w:id="1356036369">
      <w:bodyDiv w:val="1"/>
      <w:marLeft w:val="0"/>
      <w:marRight w:val="0"/>
      <w:marTop w:val="0"/>
      <w:marBottom w:val="0"/>
      <w:divBdr>
        <w:top w:val="none" w:sz="0" w:space="0" w:color="auto"/>
        <w:left w:val="none" w:sz="0" w:space="0" w:color="auto"/>
        <w:bottom w:val="none" w:sz="0" w:space="0" w:color="auto"/>
        <w:right w:val="none" w:sz="0" w:space="0" w:color="auto"/>
      </w:divBdr>
      <w:divsChild>
        <w:div w:id="1184590811">
          <w:marLeft w:val="274"/>
          <w:marRight w:val="0"/>
          <w:marTop w:val="0"/>
          <w:marBottom w:val="0"/>
          <w:divBdr>
            <w:top w:val="none" w:sz="0" w:space="0" w:color="auto"/>
            <w:left w:val="none" w:sz="0" w:space="0" w:color="auto"/>
            <w:bottom w:val="none" w:sz="0" w:space="0" w:color="auto"/>
            <w:right w:val="none" w:sz="0" w:space="0" w:color="auto"/>
          </w:divBdr>
        </w:div>
      </w:divsChild>
    </w:div>
    <w:div w:id="1432093952">
      <w:bodyDiv w:val="1"/>
      <w:marLeft w:val="0"/>
      <w:marRight w:val="0"/>
      <w:marTop w:val="0"/>
      <w:marBottom w:val="0"/>
      <w:divBdr>
        <w:top w:val="none" w:sz="0" w:space="0" w:color="auto"/>
        <w:left w:val="none" w:sz="0" w:space="0" w:color="auto"/>
        <w:bottom w:val="none" w:sz="0" w:space="0" w:color="auto"/>
        <w:right w:val="none" w:sz="0" w:space="0" w:color="auto"/>
      </w:divBdr>
    </w:div>
    <w:div w:id="1460952325">
      <w:bodyDiv w:val="1"/>
      <w:marLeft w:val="0"/>
      <w:marRight w:val="0"/>
      <w:marTop w:val="0"/>
      <w:marBottom w:val="0"/>
      <w:divBdr>
        <w:top w:val="none" w:sz="0" w:space="0" w:color="auto"/>
        <w:left w:val="none" w:sz="0" w:space="0" w:color="auto"/>
        <w:bottom w:val="none" w:sz="0" w:space="0" w:color="auto"/>
        <w:right w:val="none" w:sz="0" w:space="0" w:color="auto"/>
      </w:divBdr>
      <w:divsChild>
        <w:div w:id="1030106794">
          <w:marLeft w:val="0"/>
          <w:marRight w:val="0"/>
          <w:marTop w:val="0"/>
          <w:marBottom w:val="0"/>
          <w:divBdr>
            <w:top w:val="none" w:sz="0" w:space="0" w:color="auto"/>
            <w:left w:val="none" w:sz="0" w:space="0" w:color="auto"/>
            <w:bottom w:val="none" w:sz="0" w:space="0" w:color="auto"/>
            <w:right w:val="none" w:sz="0" w:space="0" w:color="auto"/>
          </w:divBdr>
          <w:divsChild>
            <w:div w:id="166873725">
              <w:marLeft w:val="0"/>
              <w:marRight w:val="0"/>
              <w:marTop w:val="0"/>
              <w:marBottom w:val="0"/>
              <w:divBdr>
                <w:top w:val="none" w:sz="0" w:space="0" w:color="auto"/>
                <w:left w:val="none" w:sz="0" w:space="0" w:color="auto"/>
                <w:bottom w:val="none" w:sz="0" w:space="0" w:color="auto"/>
                <w:right w:val="none" w:sz="0" w:space="0" w:color="auto"/>
              </w:divBdr>
              <w:divsChild>
                <w:div w:id="1432965736">
                  <w:marLeft w:val="0"/>
                  <w:marRight w:val="0"/>
                  <w:marTop w:val="0"/>
                  <w:marBottom w:val="0"/>
                  <w:divBdr>
                    <w:top w:val="none" w:sz="0" w:space="0" w:color="auto"/>
                    <w:left w:val="none" w:sz="0" w:space="0" w:color="auto"/>
                    <w:bottom w:val="none" w:sz="0" w:space="0" w:color="auto"/>
                    <w:right w:val="none" w:sz="0" w:space="0" w:color="auto"/>
                  </w:divBdr>
                  <w:divsChild>
                    <w:div w:id="819887088">
                      <w:marLeft w:val="0"/>
                      <w:marRight w:val="0"/>
                      <w:marTop w:val="0"/>
                      <w:marBottom w:val="0"/>
                      <w:divBdr>
                        <w:top w:val="none" w:sz="0" w:space="0" w:color="auto"/>
                        <w:left w:val="none" w:sz="0" w:space="0" w:color="auto"/>
                        <w:bottom w:val="none" w:sz="0" w:space="0" w:color="auto"/>
                        <w:right w:val="none" w:sz="0" w:space="0" w:color="auto"/>
                      </w:divBdr>
                      <w:divsChild>
                        <w:div w:id="1829394576">
                          <w:marLeft w:val="0"/>
                          <w:marRight w:val="0"/>
                          <w:marTop w:val="0"/>
                          <w:marBottom w:val="0"/>
                          <w:divBdr>
                            <w:top w:val="none" w:sz="0" w:space="0" w:color="auto"/>
                            <w:left w:val="none" w:sz="0" w:space="0" w:color="auto"/>
                            <w:bottom w:val="none" w:sz="0" w:space="0" w:color="auto"/>
                            <w:right w:val="none" w:sz="0" w:space="0" w:color="auto"/>
                          </w:divBdr>
                          <w:divsChild>
                            <w:div w:id="490144267">
                              <w:marLeft w:val="0"/>
                              <w:marRight w:val="0"/>
                              <w:marTop w:val="0"/>
                              <w:marBottom w:val="0"/>
                              <w:divBdr>
                                <w:top w:val="none" w:sz="0" w:space="0" w:color="auto"/>
                                <w:left w:val="none" w:sz="0" w:space="0" w:color="auto"/>
                                <w:bottom w:val="none" w:sz="0" w:space="0" w:color="auto"/>
                                <w:right w:val="none" w:sz="0" w:space="0" w:color="auto"/>
                              </w:divBdr>
                              <w:divsChild>
                                <w:div w:id="1876381265">
                                  <w:marLeft w:val="0"/>
                                  <w:marRight w:val="0"/>
                                  <w:marTop w:val="0"/>
                                  <w:marBottom w:val="0"/>
                                  <w:divBdr>
                                    <w:top w:val="none" w:sz="0" w:space="0" w:color="auto"/>
                                    <w:left w:val="none" w:sz="0" w:space="0" w:color="auto"/>
                                    <w:bottom w:val="none" w:sz="0" w:space="0" w:color="auto"/>
                                    <w:right w:val="none" w:sz="0" w:space="0" w:color="auto"/>
                                  </w:divBdr>
                                </w:div>
                                <w:div w:id="82261987">
                                  <w:marLeft w:val="0"/>
                                  <w:marRight w:val="0"/>
                                  <w:marTop w:val="0"/>
                                  <w:marBottom w:val="0"/>
                                  <w:divBdr>
                                    <w:top w:val="none" w:sz="0" w:space="0" w:color="auto"/>
                                    <w:left w:val="none" w:sz="0" w:space="0" w:color="auto"/>
                                    <w:bottom w:val="none" w:sz="0" w:space="0" w:color="auto"/>
                                    <w:right w:val="none" w:sz="0" w:space="0" w:color="auto"/>
                                  </w:divBdr>
                                  <w:divsChild>
                                    <w:div w:id="587467833">
                                      <w:marLeft w:val="0"/>
                                      <w:marRight w:val="0"/>
                                      <w:marTop w:val="0"/>
                                      <w:marBottom w:val="0"/>
                                      <w:divBdr>
                                        <w:top w:val="none" w:sz="0" w:space="0" w:color="auto"/>
                                        <w:left w:val="none" w:sz="0" w:space="0" w:color="auto"/>
                                        <w:bottom w:val="none" w:sz="0" w:space="0" w:color="auto"/>
                                        <w:right w:val="none" w:sz="0" w:space="0" w:color="auto"/>
                                      </w:divBdr>
                                      <w:divsChild>
                                        <w:div w:id="340086567">
                                          <w:marLeft w:val="0"/>
                                          <w:marRight w:val="0"/>
                                          <w:marTop w:val="0"/>
                                          <w:marBottom w:val="0"/>
                                          <w:divBdr>
                                            <w:top w:val="none" w:sz="0" w:space="0" w:color="auto"/>
                                            <w:left w:val="none" w:sz="0" w:space="0" w:color="auto"/>
                                            <w:bottom w:val="none" w:sz="0" w:space="0" w:color="auto"/>
                                            <w:right w:val="none" w:sz="0" w:space="0" w:color="auto"/>
                                          </w:divBdr>
                                          <w:divsChild>
                                            <w:div w:id="1285501131">
                                              <w:marLeft w:val="0"/>
                                              <w:marRight w:val="0"/>
                                              <w:marTop w:val="0"/>
                                              <w:marBottom w:val="0"/>
                                              <w:divBdr>
                                                <w:top w:val="none" w:sz="0" w:space="0" w:color="auto"/>
                                                <w:left w:val="none" w:sz="0" w:space="0" w:color="auto"/>
                                                <w:bottom w:val="none" w:sz="0" w:space="0" w:color="auto"/>
                                                <w:right w:val="none" w:sz="0" w:space="0" w:color="auto"/>
                                              </w:divBdr>
                                              <w:divsChild>
                                                <w:div w:id="9157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56430">
      <w:bodyDiv w:val="1"/>
      <w:marLeft w:val="0"/>
      <w:marRight w:val="0"/>
      <w:marTop w:val="0"/>
      <w:marBottom w:val="0"/>
      <w:divBdr>
        <w:top w:val="none" w:sz="0" w:space="0" w:color="auto"/>
        <w:left w:val="none" w:sz="0" w:space="0" w:color="auto"/>
        <w:bottom w:val="none" w:sz="0" w:space="0" w:color="auto"/>
        <w:right w:val="none" w:sz="0" w:space="0" w:color="auto"/>
      </w:divBdr>
      <w:divsChild>
        <w:div w:id="333730086">
          <w:marLeft w:val="130"/>
          <w:marRight w:val="0"/>
          <w:marTop w:val="0"/>
          <w:marBottom w:val="0"/>
          <w:divBdr>
            <w:top w:val="none" w:sz="0" w:space="0" w:color="auto"/>
            <w:left w:val="none" w:sz="0" w:space="0" w:color="auto"/>
            <w:bottom w:val="none" w:sz="0" w:space="0" w:color="auto"/>
            <w:right w:val="none" w:sz="0" w:space="0" w:color="auto"/>
          </w:divBdr>
        </w:div>
        <w:div w:id="1584484764">
          <w:marLeft w:val="130"/>
          <w:marRight w:val="0"/>
          <w:marTop w:val="0"/>
          <w:marBottom w:val="0"/>
          <w:divBdr>
            <w:top w:val="none" w:sz="0" w:space="0" w:color="auto"/>
            <w:left w:val="none" w:sz="0" w:space="0" w:color="auto"/>
            <w:bottom w:val="none" w:sz="0" w:space="0" w:color="auto"/>
            <w:right w:val="none" w:sz="0" w:space="0" w:color="auto"/>
          </w:divBdr>
        </w:div>
        <w:div w:id="227738743">
          <w:marLeft w:val="130"/>
          <w:marRight w:val="0"/>
          <w:marTop w:val="0"/>
          <w:marBottom w:val="0"/>
          <w:divBdr>
            <w:top w:val="none" w:sz="0" w:space="0" w:color="auto"/>
            <w:left w:val="none" w:sz="0" w:space="0" w:color="auto"/>
            <w:bottom w:val="none" w:sz="0" w:space="0" w:color="auto"/>
            <w:right w:val="none" w:sz="0" w:space="0" w:color="auto"/>
          </w:divBdr>
        </w:div>
      </w:divsChild>
    </w:div>
    <w:div w:id="1858156543">
      <w:bodyDiv w:val="1"/>
      <w:marLeft w:val="0"/>
      <w:marRight w:val="0"/>
      <w:marTop w:val="0"/>
      <w:marBottom w:val="0"/>
      <w:divBdr>
        <w:top w:val="none" w:sz="0" w:space="0" w:color="auto"/>
        <w:left w:val="none" w:sz="0" w:space="0" w:color="auto"/>
        <w:bottom w:val="none" w:sz="0" w:space="0" w:color="auto"/>
        <w:right w:val="none" w:sz="0" w:space="0" w:color="auto"/>
      </w:divBdr>
    </w:div>
    <w:div w:id="1895700963">
      <w:bodyDiv w:val="1"/>
      <w:marLeft w:val="0"/>
      <w:marRight w:val="0"/>
      <w:marTop w:val="0"/>
      <w:marBottom w:val="0"/>
      <w:divBdr>
        <w:top w:val="none" w:sz="0" w:space="0" w:color="auto"/>
        <w:left w:val="none" w:sz="0" w:space="0" w:color="auto"/>
        <w:bottom w:val="none" w:sz="0" w:space="0" w:color="auto"/>
        <w:right w:val="none" w:sz="0" w:space="0" w:color="auto"/>
      </w:divBdr>
    </w:div>
    <w:div w:id="2125344503">
      <w:bodyDiv w:val="1"/>
      <w:marLeft w:val="0"/>
      <w:marRight w:val="0"/>
      <w:marTop w:val="0"/>
      <w:marBottom w:val="0"/>
      <w:divBdr>
        <w:top w:val="none" w:sz="0" w:space="0" w:color="auto"/>
        <w:left w:val="none" w:sz="0" w:space="0" w:color="auto"/>
        <w:bottom w:val="none" w:sz="0" w:space="0" w:color="auto"/>
        <w:right w:val="none" w:sz="0" w:space="0" w:color="auto"/>
      </w:divBdr>
      <w:divsChild>
        <w:div w:id="21393769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h.com/rules-regulations/proposed-rules-chang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FC855.6FA2F68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231;ois.faure@lch.com"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LCHClearnet">
      <a:dk1>
        <a:sysClr val="windowText" lastClr="000000"/>
      </a:dk1>
      <a:lt1>
        <a:sysClr val="window" lastClr="FFFFFF"/>
      </a:lt1>
      <a:dk2>
        <a:srgbClr val="00539F"/>
      </a:dk2>
      <a:lt2>
        <a:srgbClr val="A9A9AB"/>
      </a:lt2>
      <a:accent1>
        <a:srgbClr val="AC1A2F"/>
      </a:accent1>
      <a:accent2>
        <a:srgbClr val="5C3160"/>
      </a:accent2>
      <a:accent3>
        <a:srgbClr val="FF7900"/>
      </a:accent3>
      <a:accent4>
        <a:srgbClr val="006C56"/>
      </a:accent4>
      <a:accent5>
        <a:srgbClr val="83AEB6"/>
      </a:accent5>
      <a:accent6>
        <a:srgbClr val="9EC3DF"/>
      </a:accent6>
      <a:hlink>
        <a:srgbClr val="00539F"/>
      </a:hlink>
      <a:folHlink>
        <a:srgbClr val="9EC3DF"/>
      </a:folHlink>
    </a:clrScheme>
    <a:fontScheme name="Cinv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1D6E540CCC254048B8E0FCE06EED486C" ma:contentTypeVersion="28" ma:contentTypeDescription="" ma:contentTypeScope="" ma:versionID="361b1764cfc470876e45aaf082b381a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970c2ae5-967d-4db4-a481-cb405b0ad6b3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2019-10-18T04:00:00+00:00</Document_x0020_Date>
    <Document_x0020_No xmlns="4b47aac5-4c46-444f-8595-ce09b406fc61">51222</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FE46791-918C-4220-8CB3-3C19F1B7FC9D}">
  <ds:schemaRefs>
    <ds:schemaRef ds:uri="http://schemas.openxmlformats.org/officeDocument/2006/bibliography"/>
  </ds:schemaRefs>
</ds:datastoreItem>
</file>

<file path=customXml/itemProps2.xml><?xml version="1.0" encoding="utf-8"?>
<ds:datastoreItem xmlns:ds="http://schemas.openxmlformats.org/officeDocument/2006/customXml" ds:itemID="{45B5B56B-068F-480D-9581-EF260A5F1F3B}"/>
</file>

<file path=customXml/itemProps3.xml><?xml version="1.0" encoding="utf-8"?>
<ds:datastoreItem xmlns:ds="http://schemas.openxmlformats.org/officeDocument/2006/customXml" ds:itemID="{534D8BE9-3D65-4918-8361-56FEC414B12D}"/>
</file>

<file path=customXml/itemProps4.xml><?xml version="1.0" encoding="utf-8"?>
<ds:datastoreItem xmlns:ds="http://schemas.openxmlformats.org/officeDocument/2006/customXml" ds:itemID="{43FF0146-98F2-4724-AE89-3AC397183284}"/>
</file>

<file path=customXml/itemProps5.xml><?xml version="1.0" encoding="utf-8"?>
<ds:datastoreItem xmlns:ds="http://schemas.openxmlformats.org/officeDocument/2006/customXml" ds:itemID="{39ABB06F-E2ED-4406-ACDC-051B63F3F26C}"/>
</file>

<file path=docProps/app.xml><?xml version="1.0" encoding="utf-8"?>
<Properties xmlns="http://schemas.openxmlformats.org/officeDocument/2006/extended-properties" xmlns:vt="http://schemas.openxmlformats.org/officeDocument/2006/docPropsVTypes">
  <Template>Normal</Template>
  <TotalTime>89</TotalTime>
  <Pages>4</Pages>
  <Words>864</Words>
  <Characters>4872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LCH.Clearnet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LCHSA Self certficiation</dc:title>
  <dc:creator>Mohamed Meziane</dc:creator>
  <cp:lastModifiedBy>Meziane, Mohamed (LCH)</cp:lastModifiedBy>
  <cp:revision>6</cp:revision>
  <cp:lastPrinted>2019-03-29T18:16:00Z</cp:lastPrinted>
  <dcterms:created xsi:type="dcterms:W3CDTF">2019-10-17T12:02:00Z</dcterms:created>
  <dcterms:modified xsi:type="dcterms:W3CDTF">2019-10-18T08:13:00Z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0x01010045B0BEB1BCDC4B408D1662109AEB4638001D6E540CCC254048B8E0FCE06EED486C</vt:lpwstr>
  </property>
  <property fmtid="{D5CDD505-2E9C-101B-9397-08002B2CF9AE}" pid="3" name="_CopySource">
    <vt:lpwstr>\\cftc.gov\dfsbts\PRD\Portal\TempFileArchive\ed557f02-8a26-4cc9-badf-01fa92c97c40\LCHSA_Extension Collat+Fees_CFTC SelfCert_Formal_17 Oct 2019.docx</vt:lpwstr>
  </property>
  <property fmtid="{D5CDD505-2E9C-101B-9397-08002B2CF9AE}" pid="4" name="Order">
    <vt:r8>838900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