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14" w:rsidRPr="00C46059" w:rsidRDefault="00D25B14" w:rsidP="00D25B14">
      <w:pPr>
        <w:pStyle w:val="NoSpacing"/>
        <w:ind w:left="2620" w:firstLine="1310"/>
        <w:rPr>
          <w:rFonts w:ascii="Times New Roman" w:eastAsia="Calibri" w:hAnsi="Times New Roman" w:cs="Times New Roman"/>
          <w:b/>
          <w:bCs/>
          <w:color w:val="333333"/>
          <w:sz w:val="24"/>
          <w:szCs w:val="24"/>
        </w:rPr>
      </w:pPr>
      <w:bookmarkStart w:id="0" w:name="_GoBack"/>
      <w:bookmarkEnd w:id="0"/>
    </w:p>
    <w:p w:rsidR="00D25B14" w:rsidRPr="00C46059" w:rsidRDefault="00D25B14" w:rsidP="00D25B14">
      <w:pPr>
        <w:pStyle w:val="NoSpacing"/>
        <w:ind w:left="2620" w:firstLine="1310"/>
        <w:rPr>
          <w:rFonts w:ascii="Times New Roman" w:eastAsia="Calibri" w:hAnsi="Times New Roman" w:cs="Times New Roman"/>
          <w:b/>
          <w:bCs/>
          <w:color w:val="333333"/>
          <w:sz w:val="24"/>
          <w:szCs w:val="24"/>
        </w:rPr>
      </w:pPr>
    </w:p>
    <w:p w:rsidR="00D25B14" w:rsidRPr="00C46059" w:rsidRDefault="00D25B14" w:rsidP="00D25B14">
      <w:pPr>
        <w:pStyle w:val="NoSpacing"/>
        <w:ind w:left="2620" w:firstLine="1310"/>
        <w:rPr>
          <w:rFonts w:ascii="Times New Roman" w:eastAsia="Calibri" w:hAnsi="Times New Roman" w:cs="Times New Roman"/>
          <w:b/>
          <w:bCs/>
          <w:sz w:val="24"/>
          <w:szCs w:val="24"/>
        </w:rPr>
      </w:pPr>
      <w:r w:rsidRPr="00C46059">
        <w:rPr>
          <w:rFonts w:ascii="Times New Roman" w:eastAsia="Calibri" w:hAnsi="Times New Roman" w:cs="Times New Roman"/>
          <w:b/>
          <w:bCs/>
          <w:color w:val="333333"/>
          <w:sz w:val="24"/>
          <w:szCs w:val="24"/>
        </w:rPr>
        <w:t>Rule Self-Certification</w:t>
      </w:r>
    </w:p>
    <w:p w:rsidR="00D25B14" w:rsidRPr="00C46059" w:rsidRDefault="00D25B14" w:rsidP="00D25B14">
      <w:pPr>
        <w:pStyle w:val="NoSpacing"/>
        <w:rPr>
          <w:rFonts w:ascii="Times New Roman" w:eastAsia="Calibri" w:hAnsi="Times New Roman" w:cs="Times New Roman"/>
          <w:sz w:val="24"/>
          <w:szCs w:val="24"/>
          <w:u w:val="single"/>
        </w:rPr>
      </w:pPr>
    </w:p>
    <w:p w:rsidR="00D25B14" w:rsidRPr="00C46059" w:rsidRDefault="00D25B14" w:rsidP="00D25B14">
      <w:pPr>
        <w:pStyle w:val="NoSpacing"/>
        <w:rPr>
          <w:rFonts w:ascii="Times New Roman" w:hAnsi="Times New Roman" w:cs="Times New Roman"/>
          <w:sz w:val="24"/>
          <w:szCs w:val="24"/>
        </w:rPr>
      </w:pPr>
    </w:p>
    <w:p w:rsidR="00D25B14" w:rsidRPr="00C46059" w:rsidRDefault="00D25B14" w:rsidP="00D25B14">
      <w:pPr>
        <w:pStyle w:val="NoSpacing"/>
        <w:rPr>
          <w:rFonts w:ascii="Times New Roman" w:eastAsia="Calibri" w:hAnsi="Times New Roman" w:cs="Times New Roman"/>
          <w:sz w:val="24"/>
          <w:szCs w:val="24"/>
        </w:rPr>
      </w:pPr>
      <w:r w:rsidRPr="00C46059">
        <w:rPr>
          <w:rFonts w:ascii="Times New Roman" w:eastAsia="Calibri" w:hAnsi="Times New Roman" w:cs="Times New Roman"/>
          <w:sz w:val="24"/>
          <w:szCs w:val="24"/>
        </w:rPr>
        <w:t>October 26, 2016</w:t>
      </w:r>
    </w:p>
    <w:p w:rsidR="00D25B14" w:rsidRPr="00C46059" w:rsidRDefault="00D25B14" w:rsidP="00D25B14">
      <w:pPr>
        <w:pStyle w:val="NoSpacing"/>
        <w:rPr>
          <w:rFonts w:ascii="Times New Roman" w:eastAsia="Calibri" w:hAnsi="Times New Roman" w:cs="Times New Roman"/>
          <w:sz w:val="24"/>
          <w:szCs w:val="24"/>
        </w:rPr>
      </w:pPr>
    </w:p>
    <w:p w:rsidR="00D25B14" w:rsidRPr="00C46059" w:rsidRDefault="00D25B14" w:rsidP="00D25B14">
      <w:pPr>
        <w:pStyle w:val="NoSpacing"/>
        <w:rPr>
          <w:rFonts w:ascii="Times New Roman" w:eastAsia="Calibri" w:hAnsi="Times New Roman" w:cs="Times New Roman"/>
          <w:sz w:val="24"/>
          <w:szCs w:val="24"/>
        </w:rPr>
      </w:pPr>
      <w:r w:rsidRPr="00C46059">
        <w:rPr>
          <w:rFonts w:ascii="Times New Roman" w:eastAsia="Calibri" w:hAnsi="Times New Roman" w:cs="Times New Roman"/>
          <w:sz w:val="24"/>
          <w:szCs w:val="24"/>
        </w:rPr>
        <w:t>Christopher J. Kirkpatrick</w:t>
      </w:r>
    </w:p>
    <w:p w:rsidR="00D25B14" w:rsidRPr="00C46059" w:rsidRDefault="00D25B14" w:rsidP="00D25B14">
      <w:pPr>
        <w:pStyle w:val="NoSpacing"/>
        <w:rPr>
          <w:rFonts w:ascii="Times New Roman" w:eastAsia="Calibri" w:hAnsi="Times New Roman" w:cs="Times New Roman"/>
          <w:sz w:val="24"/>
          <w:szCs w:val="24"/>
        </w:rPr>
      </w:pPr>
      <w:r w:rsidRPr="00C46059">
        <w:rPr>
          <w:rFonts w:ascii="Times New Roman" w:eastAsia="Calibri" w:hAnsi="Times New Roman" w:cs="Times New Roman"/>
          <w:sz w:val="24"/>
          <w:szCs w:val="24"/>
        </w:rPr>
        <w:t>Office of the Secretariat</w:t>
      </w:r>
    </w:p>
    <w:p w:rsidR="00D25B14" w:rsidRPr="00C46059" w:rsidRDefault="00D25B14" w:rsidP="00D25B14">
      <w:pPr>
        <w:pStyle w:val="NoSpacing"/>
        <w:rPr>
          <w:rFonts w:ascii="Times New Roman" w:eastAsia="Calibri" w:hAnsi="Times New Roman" w:cs="Times New Roman"/>
          <w:sz w:val="24"/>
          <w:szCs w:val="24"/>
        </w:rPr>
      </w:pPr>
      <w:r w:rsidRPr="00C46059">
        <w:rPr>
          <w:rFonts w:ascii="Times New Roman" w:eastAsia="Calibri" w:hAnsi="Times New Roman" w:cs="Times New Roman"/>
          <w:sz w:val="24"/>
          <w:szCs w:val="24"/>
        </w:rPr>
        <w:t>Commodity Futures Trading Commission</w:t>
      </w:r>
    </w:p>
    <w:p w:rsidR="00D25B14" w:rsidRPr="00C46059" w:rsidRDefault="00D25B14" w:rsidP="00D25B14">
      <w:pPr>
        <w:pStyle w:val="NoSpacing"/>
        <w:rPr>
          <w:rFonts w:ascii="Times New Roman" w:eastAsia="Calibri" w:hAnsi="Times New Roman" w:cs="Times New Roman"/>
          <w:sz w:val="24"/>
          <w:szCs w:val="24"/>
        </w:rPr>
      </w:pPr>
      <w:r w:rsidRPr="00C46059">
        <w:rPr>
          <w:rFonts w:ascii="Times New Roman" w:eastAsia="Calibri" w:hAnsi="Times New Roman" w:cs="Times New Roman"/>
          <w:sz w:val="24"/>
          <w:szCs w:val="24"/>
        </w:rPr>
        <w:t>Three Lafayette Center</w:t>
      </w:r>
    </w:p>
    <w:p w:rsidR="00D25B14" w:rsidRPr="00C46059" w:rsidRDefault="00D25B14" w:rsidP="00D25B14">
      <w:pPr>
        <w:pStyle w:val="NoSpacing"/>
        <w:rPr>
          <w:rFonts w:ascii="Times New Roman" w:eastAsia="Calibri" w:hAnsi="Times New Roman" w:cs="Times New Roman"/>
          <w:sz w:val="24"/>
          <w:szCs w:val="24"/>
        </w:rPr>
      </w:pPr>
      <w:r w:rsidRPr="00C46059">
        <w:rPr>
          <w:rFonts w:ascii="Times New Roman" w:eastAsia="Calibri" w:hAnsi="Times New Roman" w:cs="Times New Roman"/>
          <w:sz w:val="24"/>
          <w:szCs w:val="24"/>
        </w:rPr>
        <w:t>1155 21</w:t>
      </w:r>
      <w:r w:rsidRPr="00C46059">
        <w:rPr>
          <w:rFonts w:ascii="Times New Roman" w:eastAsia="Calibri" w:hAnsi="Times New Roman" w:cs="Times New Roman"/>
          <w:sz w:val="24"/>
          <w:szCs w:val="24"/>
          <w:vertAlign w:val="superscript"/>
        </w:rPr>
        <w:t>st</w:t>
      </w:r>
      <w:r w:rsidRPr="00C46059">
        <w:rPr>
          <w:rFonts w:ascii="Times New Roman" w:eastAsia="Calibri" w:hAnsi="Times New Roman" w:cs="Times New Roman"/>
          <w:sz w:val="24"/>
          <w:szCs w:val="24"/>
        </w:rPr>
        <w:t xml:space="preserve"> Street, NW</w:t>
      </w:r>
    </w:p>
    <w:p w:rsidR="00D25B14" w:rsidRPr="00C46059" w:rsidRDefault="00D25B14" w:rsidP="00D25B14">
      <w:pPr>
        <w:pStyle w:val="NoSpacing"/>
        <w:rPr>
          <w:rFonts w:ascii="Times New Roman" w:eastAsia="Calibri" w:hAnsi="Times New Roman" w:cs="Times New Roman"/>
          <w:sz w:val="24"/>
          <w:szCs w:val="24"/>
        </w:rPr>
      </w:pPr>
      <w:r w:rsidRPr="00C46059">
        <w:rPr>
          <w:rFonts w:ascii="Times New Roman" w:eastAsia="Calibri" w:hAnsi="Times New Roman" w:cs="Times New Roman"/>
          <w:sz w:val="24"/>
          <w:szCs w:val="24"/>
        </w:rPr>
        <w:t>Washington, DC  20581</w:t>
      </w:r>
    </w:p>
    <w:p w:rsidR="00D25B14" w:rsidRPr="00C46059" w:rsidRDefault="00D25B14" w:rsidP="00D25B14">
      <w:pPr>
        <w:pStyle w:val="NoSpacing"/>
        <w:rPr>
          <w:rFonts w:ascii="Times New Roman" w:eastAsia="Times New Roman" w:hAnsi="Times New Roman" w:cs="Times New Roman"/>
          <w:sz w:val="24"/>
          <w:szCs w:val="24"/>
        </w:rPr>
      </w:pPr>
    </w:p>
    <w:p w:rsidR="00D25B14" w:rsidRPr="00C46059" w:rsidRDefault="00D25B14" w:rsidP="00D25B14">
      <w:pPr>
        <w:pStyle w:val="NoSpacing"/>
        <w:rPr>
          <w:rFonts w:ascii="Times New Roman" w:eastAsia="Calibri" w:hAnsi="Times New Roman" w:cs="Times New Roman"/>
          <w:b/>
          <w:sz w:val="24"/>
          <w:szCs w:val="24"/>
        </w:rPr>
      </w:pPr>
      <w:r w:rsidRPr="00C46059">
        <w:rPr>
          <w:rFonts w:ascii="Times New Roman" w:eastAsia="Calibri" w:hAnsi="Times New Roman" w:cs="Times New Roman"/>
          <w:sz w:val="24"/>
          <w:szCs w:val="24"/>
        </w:rPr>
        <w:t xml:space="preserve">Re:  </w:t>
      </w:r>
      <w:r w:rsidRPr="00C46059">
        <w:rPr>
          <w:rFonts w:ascii="Times New Roman" w:eastAsia="Calibri" w:hAnsi="Times New Roman" w:cs="Times New Roman"/>
          <w:b/>
          <w:sz w:val="24"/>
          <w:szCs w:val="24"/>
        </w:rPr>
        <w:t>Amendment to Off-Exchange Transactions Reference Guide</w:t>
      </w:r>
    </w:p>
    <w:p w:rsidR="00D25B14" w:rsidRPr="00C46059" w:rsidRDefault="00D25B14" w:rsidP="00D25B14">
      <w:pPr>
        <w:pStyle w:val="NoSpacing"/>
        <w:rPr>
          <w:rFonts w:ascii="Times New Roman" w:eastAsia="Calibri" w:hAnsi="Times New Roman" w:cs="Times New Roman"/>
          <w:b/>
          <w:sz w:val="24"/>
          <w:szCs w:val="24"/>
          <w:u w:val="single"/>
        </w:rPr>
      </w:pPr>
      <w:r w:rsidRPr="00C46059">
        <w:rPr>
          <w:rFonts w:ascii="Times New Roman" w:eastAsia="Calibri" w:hAnsi="Times New Roman" w:cs="Times New Roman"/>
          <w:b/>
          <w:sz w:val="24"/>
          <w:szCs w:val="24"/>
        </w:rPr>
        <w:t xml:space="preserve">       </w:t>
      </w:r>
      <w:r w:rsidRPr="00C46059">
        <w:rPr>
          <w:rFonts w:ascii="Times New Roman" w:eastAsia="Calibri" w:hAnsi="Times New Roman" w:cs="Times New Roman"/>
          <w:b/>
          <w:sz w:val="24"/>
          <w:szCs w:val="24"/>
          <w:u w:val="single"/>
        </w:rPr>
        <w:t>Reference File: SR-NFX-2016-97</w:t>
      </w:r>
    </w:p>
    <w:p w:rsidR="00D25B14" w:rsidRPr="00C46059" w:rsidRDefault="00D25B14" w:rsidP="00D25B14">
      <w:pPr>
        <w:pStyle w:val="NoSpacing"/>
        <w:ind w:hanging="720"/>
        <w:rPr>
          <w:rFonts w:ascii="Times New Roman" w:hAnsi="Times New Roman" w:cs="Times New Roman"/>
          <w:b/>
          <w:sz w:val="24"/>
          <w:szCs w:val="24"/>
          <w:u w:val="single"/>
        </w:rPr>
      </w:pPr>
    </w:p>
    <w:p w:rsidR="00D25B14" w:rsidRPr="00C46059" w:rsidRDefault="00D25B14" w:rsidP="00D25B14">
      <w:pPr>
        <w:pStyle w:val="NoSpacing"/>
        <w:rPr>
          <w:rFonts w:ascii="Times New Roman" w:eastAsia="Calibri" w:hAnsi="Times New Roman" w:cs="Times New Roman"/>
          <w:sz w:val="24"/>
          <w:szCs w:val="24"/>
        </w:rPr>
      </w:pPr>
      <w:r w:rsidRPr="00C46059">
        <w:rPr>
          <w:rFonts w:ascii="Times New Roman" w:eastAsia="Calibri" w:hAnsi="Times New Roman" w:cs="Times New Roman"/>
          <w:sz w:val="24"/>
          <w:szCs w:val="24"/>
        </w:rPr>
        <w:t>Dear Mr. Kirkpatrick:</w:t>
      </w:r>
    </w:p>
    <w:p w:rsidR="00D25B14" w:rsidRPr="00C46059" w:rsidRDefault="00D25B14" w:rsidP="00D25B14">
      <w:pPr>
        <w:pStyle w:val="NoSpacing"/>
        <w:rPr>
          <w:rFonts w:ascii="Times New Roman" w:eastAsia="Calibri" w:hAnsi="Times New Roman" w:cs="Times New Roman"/>
          <w:sz w:val="24"/>
          <w:szCs w:val="24"/>
        </w:rPr>
      </w:pPr>
    </w:p>
    <w:p w:rsidR="00D25B14" w:rsidRPr="00C46059" w:rsidRDefault="00D25B14" w:rsidP="00D25B14">
      <w:pPr>
        <w:pStyle w:val="NoSpacing"/>
        <w:ind w:firstLine="720"/>
        <w:contextualSpacing/>
        <w:jc w:val="both"/>
        <w:rPr>
          <w:rFonts w:ascii="Times New Roman" w:eastAsia="Calibri" w:hAnsi="Times New Roman" w:cs="Times New Roman"/>
          <w:sz w:val="24"/>
          <w:szCs w:val="24"/>
        </w:rPr>
      </w:pPr>
      <w:r w:rsidRPr="00C46059">
        <w:rPr>
          <w:rFonts w:ascii="Times New Roman" w:eastAsia="Calibri" w:hAnsi="Times New Roman" w:cs="Times New Roman"/>
          <w:sz w:val="24"/>
          <w:szCs w:val="24"/>
        </w:rPr>
        <w:t>Pursuant to Section 5c(c)(1) of the Commodity Exchange Act, as amended (“</w:t>
      </w:r>
      <w:r w:rsidRPr="00C46059">
        <w:rPr>
          <w:rFonts w:ascii="Times New Roman" w:eastAsia="Calibri" w:hAnsi="Times New Roman" w:cs="Times New Roman"/>
          <w:sz w:val="24"/>
          <w:szCs w:val="24"/>
          <w:u w:val="single"/>
        </w:rPr>
        <w:t>Act</w:t>
      </w:r>
      <w:r w:rsidRPr="00C46059">
        <w:rPr>
          <w:rFonts w:ascii="Times New Roman" w:eastAsia="Calibri" w:hAnsi="Times New Roman" w:cs="Times New Roman"/>
          <w:sz w:val="24"/>
          <w:szCs w:val="24"/>
        </w:rPr>
        <w:t xml:space="preserve">”), and Section </w:t>
      </w:r>
      <w:r w:rsidRPr="00C46059">
        <w:rPr>
          <w:rFonts w:ascii="Times New Roman" w:hAnsi="Times New Roman" w:cs="Times New Roman"/>
          <w:sz w:val="24"/>
          <w:szCs w:val="24"/>
        </w:rPr>
        <w:t xml:space="preserve">40.6(a) </w:t>
      </w:r>
      <w:r w:rsidRPr="00C46059">
        <w:rPr>
          <w:rFonts w:ascii="Times New Roman" w:eastAsia="Calibri" w:hAnsi="Times New Roman" w:cs="Times New Roman"/>
          <w:sz w:val="24"/>
          <w:szCs w:val="24"/>
        </w:rPr>
        <w:t>of the regulations promulgated by the Commodity Futures Trading Commission (“CFTC” or the “Commission”) under the Act, NASDAQ Futures, Inc. (“</w:t>
      </w:r>
      <w:smartTag w:uri="urn:schemas-microsoft-com:office:smarttags" w:element="stockticker">
        <w:r w:rsidRPr="00C46059">
          <w:rPr>
            <w:rFonts w:ascii="Times New Roman" w:eastAsia="Calibri" w:hAnsi="Times New Roman" w:cs="Times New Roman"/>
            <w:sz w:val="24"/>
            <w:szCs w:val="24"/>
            <w:u w:val="single"/>
          </w:rPr>
          <w:t>NFX</w:t>
        </w:r>
      </w:smartTag>
      <w:r w:rsidRPr="00C46059">
        <w:rPr>
          <w:rFonts w:ascii="Times New Roman" w:eastAsia="Calibri" w:hAnsi="Times New Roman" w:cs="Times New Roman"/>
          <w:sz w:val="24"/>
          <w:szCs w:val="24"/>
        </w:rPr>
        <w:t>” or “</w:t>
      </w:r>
      <w:r w:rsidRPr="00C46059">
        <w:rPr>
          <w:rFonts w:ascii="Times New Roman" w:eastAsia="Calibri" w:hAnsi="Times New Roman" w:cs="Times New Roman"/>
          <w:sz w:val="24"/>
          <w:szCs w:val="24"/>
          <w:u w:val="single"/>
        </w:rPr>
        <w:t>Exchange</w:t>
      </w:r>
      <w:r w:rsidRPr="00C46059">
        <w:rPr>
          <w:rFonts w:ascii="Times New Roman" w:eastAsia="Calibri" w:hAnsi="Times New Roman" w:cs="Times New Roman"/>
          <w:sz w:val="24"/>
          <w:szCs w:val="24"/>
        </w:rPr>
        <w:t xml:space="preserve">”) amends its Off-Exchange Transactions Reference Guide (“Reference Guide”) to clarify the extent to which counterparties to a block trade may enter into anticipatory hedging transactions in advance of consummating a block trade.  The amended Reference Guide also contains technical corrections to update links to websites and the </w:t>
      </w:r>
      <w:r w:rsidR="00857111">
        <w:rPr>
          <w:rFonts w:ascii="Times New Roman" w:eastAsia="Calibri" w:hAnsi="Times New Roman" w:cs="Times New Roman"/>
          <w:sz w:val="24"/>
          <w:szCs w:val="24"/>
        </w:rPr>
        <w:t xml:space="preserve">sample </w:t>
      </w:r>
      <w:r w:rsidRPr="00C46059">
        <w:rPr>
          <w:rFonts w:ascii="Times New Roman" w:eastAsia="Calibri" w:hAnsi="Times New Roman" w:cs="Times New Roman"/>
          <w:sz w:val="24"/>
          <w:szCs w:val="24"/>
        </w:rPr>
        <w:t xml:space="preserve">list of Energy Futures and Options contracts and their block trade minimums.  </w:t>
      </w:r>
      <w:r w:rsidR="00213807">
        <w:rPr>
          <w:rFonts w:ascii="Times New Roman" w:eastAsia="Calibri" w:hAnsi="Times New Roman" w:cs="Times New Roman"/>
          <w:sz w:val="24"/>
          <w:szCs w:val="24"/>
        </w:rPr>
        <w:t>The effective trade date of the amended Reference Guide will be</w:t>
      </w:r>
      <w:r w:rsidR="00120C4C">
        <w:rPr>
          <w:rFonts w:ascii="Times New Roman" w:eastAsia="Calibri" w:hAnsi="Times New Roman" w:cs="Times New Roman"/>
          <w:sz w:val="24"/>
          <w:szCs w:val="24"/>
        </w:rPr>
        <w:t xml:space="preserve"> for the Open Session on November 9</w:t>
      </w:r>
      <w:r w:rsidR="00213807">
        <w:rPr>
          <w:rFonts w:ascii="Times New Roman" w:eastAsia="Calibri" w:hAnsi="Times New Roman" w:cs="Times New Roman"/>
          <w:sz w:val="24"/>
          <w:szCs w:val="24"/>
        </w:rPr>
        <w:t>, 2016, for the trade date</w:t>
      </w:r>
      <w:r w:rsidR="00120C4C">
        <w:rPr>
          <w:rFonts w:ascii="Times New Roman" w:eastAsia="Calibri" w:hAnsi="Times New Roman" w:cs="Times New Roman"/>
          <w:sz w:val="24"/>
          <w:szCs w:val="24"/>
        </w:rPr>
        <w:t xml:space="preserve"> November 10</w:t>
      </w:r>
      <w:r w:rsidR="00213807">
        <w:rPr>
          <w:rFonts w:ascii="Times New Roman" w:eastAsia="Calibri" w:hAnsi="Times New Roman" w:cs="Times New Roman"/>
          <w:sz w:val="24"/>
          <w:szCs w:val="24"/>
        </w:rPr>
        <w:t xml:space="preserve">, 2016.  </w:t>
      </w:r>
    </w:p>
    <w:p w:rsidR="00D25B14" w:rsidRPr="00C46059" w:rsidRDefault="00D25B14" w:rsidP="00D25B14">
      <w:pPr>
        <w:pStyle w:val="NoSpacing"/>
        <w:ind w:firstLine="720"/>
        <w:contextualSpacing/>
        <w:jc w:val="both"/>
        <w:rPr>
          <w:rFonts w:ascii="Times New Roman" w:eastAsia="Calibri" w:hAnsi="Times New Roman" w:cs="Times New Roman"/>
          <w:sz w:val="24"/>
          <w:szCs w:val="24"/>
        </w:rPr>
      </w:pPr>
    </w:p>
    <w:p w:rsidR="00D25B14" w:rsidRPr="00C46059" w:rsidRDefault="00D25B14" w:rsidP="00D25B14">
      <w:pPr>
        <w:pStyle w:val="NoSpacing"/>
        <w:ind w:firstLine="720"/>
        <w:contextualSpacing/>
        <w:jc w:val="both"/>
        <w:rPr>
          <w:rFonts w:ascii="Times New Roman" w:hAnsi="Times New Roman" w:cs="Times New Roman"/>
          <w:sz w:val="24"/>
          <w:szCs w:val="24"/>
        </w:rPr>
      </w:pPr>
      <w:r w:rsidRPr="00C46059">
        <w:rPr>
          <w:rFonts w:ascii="Times New Roman" w:eastAsia="Calibri" w:hAnsi="Times New Roman" w:cs="Times New Roman"/>
          <w:sz w:val="24"/>
          <w:szCs w:val="24"/>
        </w:rPr>
        <w:t xml:space="preserve">Under the amended Reference Guide, counter-parties negotiating a block trade may enter into anticipatory hedging positions if they have a good faith belief that the block trade will be consummated.  </w:t>
      </w:r>
      <w:r w:rsidRPr="00C46059">
        <w:rPr>
          <w:rFonts w:ascii="Times New Roman" w:eastAsia="Times New Roman" w:hAnsi="Times New Roman" w:cs="Times New Roman"/>
          <w:color w:val="000000"/>
          <w:sz w:val="24"/>
          <w:szCs w:val="24"/>
        </w:rPr>
        <w:t xml:space="preserve">Pre-hedging or anticipatory hedging is prohibited where an intermediary takes the opposite side of a block trade with a customer.  In cases where an intermediary is a party to a block trade with a customer as counter-party, the intermediary may not establish an offsetting position prior to the consummation of the block trade in any account which is owned or controlled by, or in which an ownership interest is held by, or for the proprietary account of the employer of, the intermediary.  </w:t>
      </w:r>
    </w:p>
    <w:p w:rsidR="00D25B14" w:rsidRPr="00C46059" w:rsidRDefault="00D25B14" w:rsidP="00D25B14">
      <w:pPr>
        <w:pStyle w:val="NoSpacing"/>
        <w:ind w:firstLine="720"/>
        <w:contextualSpacing/>
        <w:rPr>
          <w:rFonts w:ascii="Times New Roman" w:eastAsia="Calibri" w:hAnsi="Times New Roman" w:cs="Times New Roman"/>
          <w:sz w:val="24"/>
          <w:szCs w:val="24"/>
        </w:rPr>
      </w:pPr>
    </w:p>
    <w:p w:rsidR="00D25B14" w:rsidRPr="00C46059" w:rsidRDefault="00D25B14" w:rsidP="00D25B14">
      <w:pPr>
        <w:pStyle w:val="NoSpacing"/>
        <w:ind w:firstLine="720"/>
        <w:contextualSpacing/>
        <w:rPr>
          <w:rFonts w:ascii="Times New Roman" w:eastAsia="Calibri" w:hAnsi="Times New Roman" w:cs="Times New Roman"/>
          <w:sz w:val="24"/>
          <w:szCs w:val="24"/>
        </w:rPr>
      </w:pPr>
      <w:r w:rsidRPr="00C46059">
        <w:rPr>
          <w:rFonts w:ascii="Times New Roman" w:eastAsia="Calibri" w:hAnsi="Times New Roman" w:cs="Times New Roman"/>
          <w:sz w:val="24"/>
          <w:szCs w:val="24"/>
        </w:rPr>
        <w:t xml:space="preserve">The Exchange certifies that the amendments comply with the Act and CFTC regulations promulgated thereunder.  The Exchange has reviewed the Core Principles applicable to Designated Contract Markets and finds the amended Reference Guide to be in compliance with the Core Principles, in particular, Core Principles 2, 9 and 12.   </w:t>
      </w:r>
    </w:p>
    <w:p w:rsidR="00B50A1E" w:rsidRDefault="00B50A1E" w:rsidP="00D25B14">
      <w:pPr>
        <w:pStyle w:val="Default"/>
        <w:spacing w:after="27"/>
        <w:contextualSpacing/>
        <w:jc w:val="both"/>
        <w:rPr>
          <w:rFonts w:ascii="Times New Roman" w:hAnsi="Times New Roman" w:cs="Times New Roman"/>
        </w:rPr>
        <w:sectPr w:rsidR="00B50A1E" w:rsidSect="00D25B14">
          <w:footerReference w:type="even" r:id="rId11"/>
          <w:footerReference w:type="default" r:id="rId12"/>
          <w:headerReference w:type="first" r:id="rId13"/>
          <w:pgSz w:w="11899" w:h="16838" w:code="1"/>
          <w:pgMar w:top="1440" w:right="1440" w:bottom="1354" w:left="1440" w:header="720" w:footer="576" w:gutter="0"/>
          <w:cols w:space="720"/>
          <w:titlePg/>
          <w:docGrid w:linePitch="360"/>
        </w:sectPr>
      </w:pPr>
    </w:p>
    <w:p w:rsidR="00D25B14" w:rsidRPr="00C46059" w:rsidRDefault="00D25B14" w:rsidP="00D25B14">
      <w:pPr>
        <w:pStyle w:val="Default"/>
        <w:spacing w:after="27"/>
        <w:contextualSpacing/>
        <w:jc w:val="both"/>
        <w:rPr>
          <w:rFonts w:ascii="Times New Roman" w:hAnsi="Times New Roman" w:cs="Times New Roman"/>
        </w:rPr>
      </w:pPr>
    </w:p>
    <w:p w:rsidR="00D25B14" w:rsidRPr="00C46059" w:rsidRDefault="00D25B14" w:rsidP="00D25B14">
      <w:pPr>
        <w:autoSpaceDE w:val="0"/>
        <w:autoSpaceDN w:val="0"/>
        <w:spacing w:line="240" w:lineRule="auto"/>
        <w:contextualSpacing/>
        <w:rPr>
          <w:rFonts w:ascii="Times New Roman" w:hAnsi="Times New Roman"/>
          <w:color w:val="000000"/>
          <w:sz w:val="24"/>
        </w:rPr>
      </w:pPr>
      <w:r w:rsidRPr="00C46059">
        <w:rPr>
          <w:rFonts w:ascii="Times New Roman" w:hAnsi="Times New Roman"/>
          <w:color w:val="000000"/>
          <w:sz w:val="24"/>
        </w:rPr>
        <w:t xml:space="preserve">• </w:t>
      </w:r>
      <w:r w:rsidRPr="00C46059">
        <w:rPr>
          <w:rFonts w:ascii="Times New Roman" w:hAnsi="Times New Roman"/>
          <w:i/>
          <w:color w:val="000000"/>
          <w:sz w:val="24"/>
        </w:rPr>
        <w:t>Core Principle 2, Compliance with Rules</w:t>
      </w:r>
      <w:r w:rsidRPr="00C46059">
        <w:rPr>
          <w:rFonts w:ascii="Times New Roman" w:hAnsi="Times New Roman"/>
          <w:color w:val="000000"/>
          <w:sz w:val="24"/>
        </w:rPr>
        <w:t xml:space="preserve">.  The Exchange specifies the manner in which Futures Participants may access and trade on NFX.  Chapter II, Section I provides for the qualifications and rules of participation applicable to Futures Participants as well as Authorized Traders.  Futures Participants must utilize the Exchange’s services in a responsible manner, comply with Rules, cooperate with Exchange investigations and inquiries and observe high standards of integrity.  </w:t>
      </w:r>
    </w:p>
    <w:p w:rsidR="00D25B14" w:rsidRPr="00C46059" w:rsidRDefault="00D25B14" w:rsidP="00D25B14">
      <w:pPr>
        <w:pStyle w:val="Default"/>
        <w:spacing w:after="27"/>
        <w:contextualSpacing/>
        <w:jc w:val="both"/>
        <w:rPr>
          <w:rFonts w:ascii="Times New Roman" w:eastAsia="Calibri" w:hAnsi="Times New Roman" w:cs="Times New Roman"/>
        </w:rPr>
      </w:pPr>
    </w:p>
    <w:p w:rsidR="00D25B14" w:rsidRPr="00C46059" w:rsidRDefault="00D25B14" w:rsidP="00D25B14">
      <w:pPr>
        <w:jc w:val="both"/>
        <w:rPr>
          <w:rFonts w:ascii="Times New Roman" w:hAnsi="Times New Roman"/>
          <w:sz w:val="24"/>
        </w:rPr>
      </w:pPr>
      <w:r w:rsidRPr="00C46059">
        <w:rPr>
          <w:rFonts w:ascii="Times New Roman" w:eastAsia="Calibri" w:hAnsi="Times New Roman"/>
          <w:sz w:val="24"/>
        </w:rPr>
        <w:t xml:space="preserve">• </w:t>
      </w:r>
      <w:r w:rsidRPr="00C46059">
        <w:rPr>
          <w:rFonts w:ascii="Times New Roman" w:eastAsia="Calibri" w:hAnsi="Times New Roman"/>
          <w:i/>
          <w:sz w:val="24"/>
        </w:rPr>
        <w:t>Core Principle 9, Execution of Transactions.</w:t>
      </w:r>
      <w:r w:rsidRPr="00C46059">
        <w:rPr>
          <w:rFonts w:ascii="Times New Roman" w:eastAsia="Calibri" w:hAnsi="Times New Roman"/>
          <w:sz w:val="24"/>
        </w:rPr>
        <w:t xml:space="preserve">  </w:t>
      </w:r>
      <w:r w:rsidRPr="00C46059">
        <w:rPr>
          <w:rFonts w:ascii="Times New Roman" w:hAnsi="Times New Roman"/>
          <w:sz w:val="24"/>
        </w:rPr>
        <w:t xml:space="preserve">The Exchange’s Rules at Chapter IV, Section 11, Block Trades, provide for Block Trades.  Minimum block trade sizes are set forth with the contract specifications for each contract.  In addition, the Exchange provides guidance related to Block Trades at Appendix B of the Rules.  The amended Reference Guide provides a framework to allow market participant to hedge their anticipated exposure while adhering to the procedural requirements of the Exchange’s block trade rules.  </w:t>
      </w:r>
    </w:p>
    <w:p w:rsidR="00C46059" w:rsidRPr="00C46059" w:rsidRDefault="00C46059" w:rsidP="00D25B14">
      <w:pPr>
        <w:jc w:val="both"/>
        <w:rPr>
          <w:rFonts w:ascii="Times New Roman" w:eastAsia="Calibri" w:hAnsi="Times New Roman"/>
          <w:i/>
          <w:sz w:val="24"/>
        </w:rPr>
      </w:pPr>
    </w:p>
    <w:p w:rsidR="00D25B14" w:rsidRPr="00C46059" w:rsidRDefault="00D25B14" w:rsidP="00D25B14">
      <w:pPr>
        <w:pStyle w:val="NoSpacing"/>
        <w:contextualSpacing/>
        <w:jc w:val="both"/>
        <w:rPr>
          <w:rFonts w:ascii="Times New Roman" w:eastAsia="Calibri" w:hAnsi="Times New Roman" w:cs="Times New Roman"/>
          <w:sz w:val="24"/>
          <w:szCs w:val="24"/>
        </w:rPr>
      </w:pPr>
      <w:r w:rsidRPr="00C46059">
        <w:rPr>
          <w:rFonts w:ascii="Times New Roman" w:eastAsia="Calibri" w:hAnsi="Times New Roman" w:cs="Times New Roman"/>
          <w:sz w:val="24"/>
          <w:szCs w:val="24"/>
        </w:rPr>
        <w:t xml:space="preserve">• </w:t>
      </w:r>
      <w:r w:rsidRPr="00C46059">
        <w:rPr>
          <w:rFonts w:ascii="Times New Roman" w:eastAsia="Calibri" w:hAnsi="Times New Roman" w:cs="Times New Roman"/>
          <w:i/>
          <w:sz w:val="24"/>
          <w:szCs w:val="24"/>
        </w:rPr>
        <w:t>Core Principle 12, Protection of Markets &amp; Market Participants</w:t>
      </w:r>
      <w:r w:rsidRPr="00C46059">
        <w:rPr>
          <w:rFonts w:ascii="Times New Roman" w:eastAsia="Calibri" w:hAnsi="Times New Roman" w:cs="Times New Roman"/>
          <w:sz w:val="24"/>
          <w:szCs w:val="24"/>
        </w:rPr>
        <w:t xml:space="preserve">.  </w:t>
      </w:r>
      <w:r w:rsidRPr="00C46059">
        <w:rPr>
          <w:rFonts w:ascii="Times New Roman" w:hAnsi="Times New Roman" w:cs="Times New Roman"/>
          <w:sz w:val="24"/>
          <w:szCs w:val="24"/>
        </w:rPr>
        <w:t xml:space="preserve">The Exchange’s Rules at Chapter III includes various Rules designed to protect the market and market participants from abusive, disruptive, fraudulent, noncompetitive and unfair conduct and trades practices.  Improper conduct and trade practices will be investigated and adjudicated as described in Chapter VI of the Exchange’s Rules.  The Exchange and NFA conduct real-time market monitoring as well as trade practice, market and financial monitoring.  The amended Reference Guide allows market participants to hedge their anticipated exposure under the pending block trade, while limiting the ability of intermediaries to gain an unfair advantage when entering into block transactions with customers.  </w:t>
      </w:r>
    </w:p>
    <w:p w:rsidR="00D25B14" w:rsidRPr="00C46059" w:rsidRDefault="00D25B14" w:rsidP="00D25B14">
      <w:pPr>
        <w:pStyle w:val="Default"/>
        <w:spacing w:after="27"/>
        <w:contextualSpacing/>
        <w:jc w:val="both"/>
        <w:rPr>
          <w:rFonts w:ascii="Times New Roman" w:eastAsia="Calibri" w:hAnsi="Times New Roman" w:cs="Times New Roman"/>
        </w:rPr>
      </w:pPr>
    </w:p>
    <w:p w:rsidR="00D25B14" w:rsidRPr="00C46059" w:rsidRDefault="00D25B14" w:rsidP="00D25B14">
      <w:pPr>
        <w:pStyle w:val="Default"/>
        <w:spacing w:after="27"/>
        <w:ind w:firstLine="720"/>
        <w:contextualSpacing/>
        <w:jc w:val="both"/>
        <w:rPr>
          <w:rFonts w:ascii="Times New Roman" w:hAnsi="Times New Roman" w:cs="Times New Roman"/>
        </w:rPr>
      </w:pPr>
      <w:r w:rsidRPr="00C46059">
        <w:rPr>
          <w:rFonts w:ascii="Times New Roman" w:hAnsi="Times New Roman" w:cs="Times New Roman"/>
        </w:rPr>
        <w:t xml:space="preserve">There were no opposing views among the Exchange’s Board of Directors, members or market participants.  The Exchange hereby certifies that the amendments to </w:t>
      </w:r>
      <w:r w:rsidRPr="00C46059">
        <w:rPr>
          <w:rFonts w:ascii="Times New Roman" w:eastAsia="Calibri" w:hAnsi="Times New Roman" w:cs="Times New Roman"/>
        </w:rPr>
        <w:t xml:space="preserve">Chapter IV, Section 10 and the </w:t>
      </w:r>
      <w:r w:rsidRPr="00C46059">
        <w:rPr>
          <w:rFonts w:ascii="Times New Roman" w:hAnsi="Times New Roman" w:cs="Times New Roman"/>
        </w:rPr>
        <w:t>Reference Guide comply with the Commodity Exchange Act and regulations thereunder.  The Exchange also certifies that a notice of pending certification with the Commission and a copy of this submission have been concurrently posted on the Exchange’s website at</w:t>
      </w:r>
      <w:r w:rsidRPr="00C46059">
        <w:rPr>
          <w:rFonts w:ascii="Times New Roman" w:eastAsia="Calibri" w:hAnsi="Times New Roman" w:cs="Times New Roman"/>
        </w:rPr>
        <w:t xml:space="preserve"> </w:t>
      </w:r>
      <w:hyperlink r:id="rId14" w:history="1">
        <w:r w:rsidRPr="00C46059">
          <w:rPr>
            <w:rStyle w:val="Hyperlink"/>
            <w:rFonts w:ascii="Times New Roman" w:eastAsia="Arial" w:hAnsi="Times New Roman"/>
            <w:b w:val="0"/>
            <w:color w:val="auto"/>
            <w:sz w:val="24"/>
          </w:rPr>
          <w:t>business.nasdaq.com/futures</w:t>
        </w:r>
      </w:hyperlink>
      <w:r w:rsidRPr="00C46059">
        <w:rPr>
          <w:rFonts w:ascii="Times New Roman" w:hAnsi="Times New Roman" w:cs="Times New Roman"/>
        </w:rPr>
        <w:t xml:space="preserve">.  A Futures Trader Alert, informing NFX’s Futures Participants of the new Reference Guide is attached to this certification as Exhibit B.  </w:t>
      </w:r>
    </w:p>
    <w:p w:rsidR="00D25B14" w:rsidRPr="00C46059" w:rsidRDefault="00D25B14" w:rsidP="00D25B14">
      <w:pPr>
        <w:pStyle w:val="Default"/>
        <w:spacing w:after="27"/>
        <w:ind w:firstLine="720"/>
        <w:contextualSpacing/>
        <w:jc w:val="both"/>
        <w:rPr>
          <w:rFonts w:ascii="Times New Roman" w:hAnsi="Times New Roman" w:cs="Times New Roman"/>
        </w:rPr>
      </w:pPr>
    </w:p>
    <w:p w:rsidR="00D25B14" w:rsidRPr="00C46059" w:rsidRDefault="00D25B14" w:rsidP="00D25B14">
      <w:pPr>
        <w:spacing w:line="240" w:lineRule="auto"/>
        <w:ind w:firstLine="720"/>
        <w:contextualSpacing/>
        <w:rPr>
          <w:rFonts w:ascii="Times New Roman" w:hAnsi="Times New Roman"/>
          <w:sz w:val="24"/>
        </w:rPr>
      </w:pPr>
      <w:r w:rsidRPr="00C46059">
        <w:rPr>
          <w:rFonts w:ascii="Times New Roman" w:hAnsi="Times New Roman"/>
          <w:sz w:val="24"/>
        </w:rPr>
        <w:t xml:space="preserve">If you require any additional information regarding the submission, please contact Aravind Menon at +1-301-978-8416 or via e-mail at </w:t>
      </w:r>
      <w:hyperlink r:id="rId15" w:history="1">
        <w:r w:rsidRPr="00C46059">
          <w:rPr>
            <w:rStyle w:val="Hyperlink"/>
            <w:rFonts w:ascii="Times New Roman" w:eastAsia="Arial" w:hAnsi="Times New Roman"/>
            <w:b w:val="0"/>
            <w:color w:val="auto"/>
            <w:sz w:val="24"/>
          </w:rPr>
          <w:t>aravind.menon@nasdaq.com</w:t>
        </w:r>
      </w:hyperlink>
      <w:r w:rsidRPr="00C46059">
        <w:rPr>
          <w:rFonts w:ascii="Times New Roman" w:hAnsi="Times New Roman"/>
          <w:sz w:val="24"/>
        </w:rPr>
        <w:t>.  Please reference SR-NFX-2016-97 in any related correspondence.</w:t>
      </w:r>
    </w:p>
    <w:p w:rsidR="00D25B14" w:rsidRDefault="00D25B14" w:rsidP="00D25B14">
      <w:pPr>
        <w:spacing w:line="240" w:lineRule="auto"/>
        <w:contextualSpacing/>
        <w:rPr>
          <w:rFonts w:ascii="Times New Roman" w:hAnsi="Times New Roman"/>
          <w:sz w:val="24"/>
        </w:rPr>
      </w:pPr>
    </w:p>
    <w:p w:rsidR="00C46059" w:rsidRPr="00C46059" w:rsidRDefault="00C46059" w:rsidP="00D25B14">
      <w:pPr>
        <w:spacing w:line="240" w:lineRule="auto"/>
        <w:contextualSpacing/>
        <w:rPr>
          <w:rFonts w:ascii="Times New Roman" w:hAnsi="Times New Roman"/>
          <w:sz w:val="24"/>
        </w:rPr>
      </w:pPr>
    </w:p>
    <w:p w:rsidR="00D25B14" w:rsidRPr="00C46059" w:rsidRDefault="00D25B14" w:rsidP="00D25B14">
      <w:pPr>
        <w:pStyle w:val="NoSpacing"/>
        <w:ind w:firstLine="720"/>
        <w:contextualSpacing/>
        <w:rPr>
          <w:rFonts w:ascii="Times New Roman" w:eastAsia="Calibri" w:hAnsi="Times New Roman" w:cs="Times New Roman"/>
          <w:sz w:val="24"/>
          <w:szCs w:val="24"/>
        </w:rPr>
      </w:pPr>
      <w:r w:rsidRPr="00C46059">
        <w:rPr>
          <w:rFonts w:ascii="Times New Roman" w:eastAsia="Calibri" w:hAnsi="Times New Roman" w:cs="Times New Roman"/>
          <w:noProof/>
          <w:sz w:val="24"/>
          <w:szCs w:val="24"/>
        </w:rPr>
        <w:drawing>
          <wp:anchor distT="0" distB="0" distL="114300" distR="114300" simplePos="0" relativeHeight="251674112" behindDoc="1" locked="0" layoutInCell="1" allowOverlap="1" wp14:anchorId="74DAFF8B" wp14:editId="108A5E00">
            <wp:simplePos x="0" y="0"/>
            <wp:positionH relativeFrom="column">
              <wp:posOffset>2615565</wp:posOffset>
            </wp:positionH>
            <wp:positionV relativeFrom="paragraph">
              <wp:posOffset>48260</wp:posOffset>
            </wp:positionV>
            <wp:extent cx="275272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752725" cy="638175"/>
                    </a:xfrm>
                    <a:prstGeom prst="rect">
                      <a:avLst/>
                    </a:prstGeom>
                    <a:noFill/>
                    <a:ln w="9525">
                      <a:noFill/>
                      <a:miter lim="800000"/>
                      <a:headEnd/>
                      <a:tailEnd/>
                    </a:ln>
                  </pic:spPr>
                </pic:pic>
              </a:graphicData>
            </a:graphic>
          </wp:anchor>
        </w:drawing>
      </w:r>
      <w:r w:rsidR="00C46059">
        <w:rPr>
          <w:rFonts w:ascii="Times New Roman" w:eastAsia="Calibri" w:hAnsi="Times New Roman" w:cs="Times New Roman"/>
          <w:sz w:val="24"/>
          <w:szCs w:val="24"/>
        </w:rPr>
        <w:tab/>
      </w:r>
      <w:r w:rsidR="00C46059">
        <w:rPr>
          <w:rFonts w:ascii="Times New Roman" w:eastAsia="Calibri" w:hAnsi="Times New Roman" w:cs="Times New Roman"/>
          <w:sz w:val="24"/>
          <w:szCs w:val="24"/>
        </w:rPr>
        <w:tab/>
      </w:r>
      <w:r w:rsidR="00C46059">
        <w:rPr>
          <w:rFonts w:ascii="Times New Roman" w:eastAsia="Calibri" w:hAnsi="Times New Roman" w:cs="Times New Roman"/>
          <w:sz w:val="24"/>
          <w:szCs w:val="24"/>
        </w:rPr>
        <w:tab/>
      </w:r>
      <w:r w:rsidR="00C46059">
        <w:rPr>
          <w:rFonts w:ascii="Times New Roman" w:eastAsia="Calibri" w:hAnsi="Times New Roman" w:cs="Times New Roman"/>
          <w:sz w:val="24"/>
          <w:szCs w:val="24"/>
        </w:rPr>
        <w:tab/>
      </w:r>
      <w:r w:rsidR="00C46059">
        <w:rPr>
          <w:rFonts w:ascii="Times New Roman" w:eastAsia="Calibri" w:hAnsi="Times New Roman" w:cs="Times New Roman"/>
          <w:sz w:val="24"/>
          <w:szCs w:val="24"/>
        </w:rPr>
        <w:tab/>
      </w:r>
      <w:r w:rsidRPr="00C46059">
        <w:rPr>
          <w:rFonts w:ascii="Times New Roman" w:eastAsia="Calibri" w:hAnsi="Times New Roman" w:cs="Times New Roman"/>
          <w:sz w:val="24"/>
          <w:szCs w:val="24"/>
        </w:rPr>
        <w:t>Regards,</w:t>
      </w:r>
    </w:p>
    <w:p w:rsidR="00D25B14" w:rsidRPr="00C46059" w:rsidRDefault="00D25B14" w:rsidP="00D25B14">
      <w:pPr>
        <w:pStyle w:val="NoSpacing"/>
        <w:ind w:firstLine="720"/>
        <w:contextualSpacing/>
        <w:rPr>
          <w:rFonts w:ascii="Times New Roman" w:eastAsia="Calibri" w:hAnsi="Times New Roman" w:cs="Times New Roman"/>
          <w:sz w:val="24"/>
          <w:szCs w:val="24"/>
        </w:rPr>
      </w:pPr>
    </w:p>
    <w:p w:rsidR="00D25B14" w:rsidRPr="00C46059" w:rsidRDefault="00D25B14" w:rsidP="00D25B14">
      <w:pPr>
        <w:pStyle w:val="NoSpacing"/>
        <w:ind w:firstLine="720"/>
        <w:contextualSpacing/>
        <w:rPr>
          <w:rFonts w:ascii="Times New Roman" w:hAnsi="Times New Roman" w:cs="Times New Roman"/>
          <w:sz w:val="24"/>
          <w:szCs w:val="24"/>
        </w:rPr>
      </w:pPr>
    </w:p>
    <w:p w:rsidR="00D25B14" w:rsidRPr="00C46059" w:rsidRDefault="00D25B14" w:rsidP="00D25B14">
      <w:pPr>
        <w:pStyle w:val="NoSpacing"/>
        <w:ind w:firstLine="720"/>
        <w:contextualSpacing/>
        <w:rPr>
          <w:rFonts w:ascii="Times New Roman" w:hAnsi="Times New Roman" w:cs="Times New Roman"/>
          <w:sz w:val="24"/>
          <w:szCs w:val="24"/>
        </w:rPr>
      </w:pPr>
    </w:p>
    <w:p w:rsidR="00D25B14" w:rsidRPr="00C46059" w:rsidRDefault="00C46059" w:rsidP="00D25B14">
      <w:pPr>
        <w:pStyle w:val="NoSpacing"/>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25B14" w:rsidRPr="00C46059">
        <w:rPr>
          <w:rFonts w:ascii="Times New Roman" w:eastAsia="Calibri" w:hAnsi="Times New Roman" w:cs="Times New Roman"/>
          <w:sz w:val="24"/>
          <w:szCs w:val="24"/>
        </w:rPr>
        <w:t>Daniel R. Carrigan</w:t>
      </w:r>
    </w:p>
    <w:p w:rsidR="00D25B14" w:rsidRPr="00C46059" w:rsidRDefault="00C46059" w:rsidP="00D25B14">
      <w:pPr>
        <w:pStyle w:val="NoSpacing"/>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25B14" w:rsidRPr="00C46059">
        <w:rPr>
          <w:rFonts w:ascii="Times New Roman" w:eastAsia="Calibri" w:hAnsi="Times New Roman" w:cs="Times New Roman"/>
          <w:sz w:val="24"/>
          <w:szCs w:val="24"/>
        </w:rPr>
        <w:t>President</w:t>
      </w:r>
    </w:p>
    <w:p w:rsidR="00D25B14" w:rsidRPr="007F5AEF" w:rsidRDefault="00D25B14" w:rsidP="00D25B14">
      <w:pPr>
        <w:pStyle w:val="NoSpacing"/>
        <w:ind w:left="2880" w:firstLine="720"/>
        <w:rPr>
          <w:rFonts w:ascii="Times New Roman" w:eastAsia="Calibri" w:hAnsi="Times New Roman" w:cs="Times New Roman"/>
          <w:sz w:val="24"/>
          <w:szCs w:val="24"/>
        </w:rPr>
      </w:pPr>
    </w:p>
    <w:p w:rsidR="00D25B14" w:rsidRDefault="00D25B14" w:rsidP="00D25B14">
      <w:pPr>
        <w:spacing w:line="240" w:lineRule="auto"/>
        <w:rPr>
          <w:rFonts w:ascii="Times New Roman" w:hAnsi="Times New Roman"/>
          <w:sz w:val="24"/>
        </w:rPr>
      </w:pPr>
      <w:r>
        <w:rPr>
          <w:rFonts w:ascii="Times New Roman" w:hAnsi="Times New Roman"/>
          <w:sz w:val="24"/>
        </w:rPr>
        <w:br w:type="page"/>
      </w:r>
    </w:p>
    <w:p w:rsidR="00D25B14" w:rsidRPr="00BD2799" w:rsidRDefault="00D25B14" w:rsidP="00D25B14">
      <w:pPr>
        <w:jc w:val="center"/>
        <w:rPr>
          <w:rFonts w:ascii="Times New Roman" w:hAnsi="Times New Roman"/>
          <w:b/>
          <w:sz w:val="24"/>
          <w:u w:val="single"/>
        </w:rPr>
      </w:pPr>
      <w:r>
        <w:rPr>
          <w:rFonts w:ascii="Times New Roman" w:hAnsi="Times New Roman"/>
          <w:b/>
          <w:sz w:val="24"/>
          <w:u w:val="single"/>
        </w:rPr>
        <w:lastRenderedPageBreak/>
        <w:t>Exhibit A</w:t>
      </w:r>
      <w:r w:rsidRPr="00DA063E">
        <w:rPr>
          <w:rFonts w:ascii="Times New Roman" w:hAnsi="Times New Roman"/>
          <w:b/>
          <w:sz w:val="24"/>
          <w:u w:val="single"/>
        </w:rPr>
        <w:t xml:space="preserve"> </w:t>
      </w:r>
      <w:r w:rsidRPr="00F83BFF">
        <w:rPr>
          <w:rFonts w:ascii="Times New Roman" w:hAnsi="Times New Roman"/>
          <w:b/>
          <w:sz w:val="24"/>
          <w:u w:val="single"/>
        </w:rPr>
        <w:t>to SR-NFX-2016-</w:t>
      </w:r>
      <w:r>
        <w:rPr>
          <w:rFonts w:ascii="Times New Roman" w:hAnsi="Times New Roman"/>
          <w:b/>
          <w:sz w:val="24"/>
          <w:u w:val="single"/>
        </w:rPr>
        <w:t>97</w:t>
      </w:r>
    </w:p>
    <w:p w:rsidR="00D25B14" w:rsidRPr="000C4580" w:rsidRDefault="00D25B14" w:rsidP="00D25B14">
      <w:pPr>
        <w:spacing w:line="240" w:lineRule="auto"/>
        <w:ind w:left="2620" w:firstLine="1310"/>
        <w:rPr>
          <w:rFonts w:ascii="Times New Roman" w:eastAsia="Calibri" w:hAnsi="Times New Roman"/>
          <w:b/>
          <w:sz w:val="24"/>
          <w:u w:val="single"/>
        </w:rPr>
      </w:pPr>
      <w:r w:rsidRPr="000C4580">
        <w:rPr>
          <w:rFonts w:ascii="Times New Roman" w:eastAsia="Calibri" w:hAnsi="Times New Roman"/>
          <w:b/>
          <w:sz w:val="24"/>
          <w:u w:val="single"/>
        </w:rPr>
        <w:t xml:space="preserve">  </w:t>
      </w:r>
    </w:p>
    <w:p w:rsidR="00A460D3" w:rsidRDefault="00A460D3" w:rsidP="00D25B14">
      <w:pPr>
        <w:spacing w:after="160" w:line="259" w:lineRule="auto"/>
        <w:rPr>
          <w:rFonts w:ascii="Times New Roman" w:eastAsia="Calibri" w:hAnsi="Times New Roman"/>
          <w:i/>
          <w:sz w:val="24"/>
          <w:u w:val="single"/>
        </w:rPr>
      </w:pPr>
    </w:p>
    <w:p w:rsidR="00D25B14" w:rsidRDefault="00D25B14" w:rsidP="00D25B14">
      <w:pPr>
        <w:spacing w:after="160" w:line="259" w:lineRule="auto"/>
        <w:rPr>
          <w:rFonts w:ascii="Times New Roman" w:hAnsi="Times New Roman"/>
          <w:color w:val="000000"/>
          <w:sz w:val="24"/>
        </w:rPr>
      </w:pPr>
      <w:r w:rsidRPr="004B563F">
        <w:rPr>
          <w:rFonts w:ascii="Times New Roman" w:eastAsia="Calibri" w:hAnsi="Times New Roman"/>
          <w:i/>
          <w:sz w:val="24"/>
          <w:u w:val="single"/>
        </w:rPr>
        <w:t>New text is underlined</w:t>
      </w:r>
      <w:r>
        <w:rPr>
          <w:rFonts w:ascii="Times New Roman" w:eastAsia="Calibri" w:hAnsi="Times New Roman"/>
          <w:i/>
          <w:sz w:val="24"/>
          <w:u w:val="single"/>
        </w:rPr>
        <w:t>; deleted text is stricken</w:t>
      </w:r>
    </w:p>
    <w:p w:rsidR="00D25B14" w:rsidRDefault="00D25B14" w:rsidP="00D25B14">
      <w:pPr>
        <w:spacing w:after="160" w:line="259" w:lineRule="auto"/>
        <w:rPr>
          <w:rFonts w:ascii="Times New Roman" w:hAnsi="Times New Roman"/>
          <w:color w:val="000000"/>
          <w:sz w:val="24"/>
        </w:rPr>
      </w:pPr>
    </w:p>
    <w:p w:rsidR="00B15BBD" w:rsidRDefault="0098392D" w:rsidP="00C2279D">
      <w:pPr>
        <w:ind w:left="-720"/>
        <w:rPr>
          <w:rFonts w:asciiTheme="minorHAnsi" w:hAnsiTheme="minorHAnsi"/>
          <w:b/>
          <w:color w:val="7F7F7F" w:themeColor="text1" w:themeTint="80"/>
          <w:sz w:val="52"/>
          <w:szCs w:val="22"/>
        </w:rPr>
      </w:pPr>
      <w:r w:rsidRPr="006321C1">
        <w:rPr>
          <w:rFonts w:asciiTheme="minorHAnsi" w:hAnsiTheme="minorHAnsi"/>
          <w:b/>
          <w:color w:val="7F7F7F" w:themeColor="text1" w:themeTint="80"/>
          <w:sz w:val="52"/>
          <w:szCs w:val="22"/>
        </w:rPr>
        <w:t>NASDAQ Futures</w:t>
      </w:r>
      <w:r w:rsidR="00FE110B" w:rsidRPr="006321C1">
        <w:rPr>
          <w:rFonts w:asciiTheme="minorHAnsi" w:hAnsiTheme="minorHAnsi"/>
          <w:b/>
          <w:color w:val="7F7F7F" w:themeColor="text1" w:themeTint="80"/>
          <w:sz w:val="52"/>
          <w:szCs w:val="22"/>
        </w:rPr>
        <w:t>, Inc.</w:t>
      </w:r>
      <w:r w:rsidRPr="006321C1">
        <w:rPr>
          <w:rFonts w:asciiTheme="minorHAnsi" w:hAnsiTheme="minorHAnsi"/>
          <w:b/>
          <w:color w:val="7F7F7F" w:themeColor="text1" w:themeTint="80"/>
          <w:sz w:val="52"/>
          <w:szCs w:val="22"/>
        </w:rPr>
        <w:t xml:space="preserve"> (NFX) </w:t>
      </w:r>
      <w:r w:rsidR="00CB003D" w:rsidRPr="006321C1">
        <w:rPr>
          <w:rFonts w:asciiTheme="minorHAnsi" w:hAnsiTheme="minorHAnsi"/>
          <w:b/>
          <w:color w:val="7F7F7F" w:themeColor="text1" w:themeTint="80"/>
          <w:sz w:val="52"/>
          <w:szCs w:val="22"/>
        </w:rPr>
        <w:br/>
      </w:r>
      <w:r w:rsidR="00B15BBD">
        <w:rPr>
          <w:rFonts w:asciiTheme="minorHAnsi" w:hAnsiTheme="minorHAnsi"/>
          <w:b/>
          <w:color w:val="7F7F7F" w:themeColor="text1" w:themeTint="80"/>
          <w:sz w:val="52"/>
          <w:szCs w:val="22"/>
        </w:rPr>
        <w:t>Off-Exchange Transactions</w:t>
      </w:r>
    </w:p>
    <w:p w:rsidR="00C2279D" w:rsidRPr="006321C1" w:rsidRDefault="00FE110B" w:rsidP="00C2279D">
      <w:pPr>
        <w:ind w:left="-720"/>
        <w:rPr>
          <w:rFonts w:asciiTheme="minorHAnsi" w:hAnsiTheme="minorHAnsi"/>
          <w:b/>
          <w:color w:val="7F7F7F" w:themeColor="text1" w:themeTint="80"/>
          <w:sz w:val="52"/>
          <w:szCs w:val="22"/>
        </w:rPr>
      </w:pPr>
      <w:r w:rsidRPr="006321C1">
        <w:rPr>
          <w:rFonts w:asciiTheme="minorHAnsi" w:hAnsiTheme="minorHAnsi"/>
          <w:b/>
          <w:color w:val="7F7F7F" w:themeColor="text1" w:themeTint="80"/>
          <w:sz w:val="52"/>
          <w:szCs w:val="22"/>
        </w:rPr>
        <w:t>Reference Guide</w:t>
      </w:r>
    </w:p>
    <w:p w:rsidR="00C2279D" w:rsidRPr="006321C1" w:rsidRDefault="0021540C" w:rsidP="00C2279D">
      <w:pPr>
        <w:ind w:left="-720"/>
        <w:rPr>
          <w:rFonts w:asciiTheme="minorHAnsi" w:hAnsiTheme="minorHAnsi"/>
          <w:b/>
          <w:sz w:val="22"/>
          <w:szCs w:val="22"/>
        </w:rPr>
      </w:pPr>
      <w:r w:rsidRPr="006321C1">
        <w:rPr>
          <w:rFonts w:asciiTheme="minorHAnsi" w:hAnsiTheme="minorHAnsi"/>
          <w:noProof/>
          <w:sz w:val="22"/>
          <w:szCs w:val="22"/>
        </w:rPr>
        <mc:AlternateContent>
          <mc:Choice Requires="wps">
            <w:drawing>
              <wp:anchor distT="0" distB="0" distL="114300" distR="114300" simplePos="0" relativeHeight="251668992" behindDoc="0" locked="0" layoutInCell="1" allowOverlap="1" wp14:anchorId="2744EC0F" wp14:editId="1A20CEEC">
                <wp:simplePos x="0" y="0"/>
                <wp:positionH relativeFrom="column">
                  <wp:posOffset>-468630</wp:posOffset>
                </wp:positionH>
                <wp:positionV relativeFrom="paragraph">
                  <wp:posOffset>135780</wp:posOffset>
                </wp:positionV>
                <wp:extent cx="49149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54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E5C0C" id="Straight Connector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7pt" to="35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JugIAAMEFAAAOAAAAZHJzL2Uyb0RvYy54bWysVE2P2jAQvVfqf7ByzyaB8BUtrHZD6KUf&#10;K7FVz8Z2iNXEjmxDQFX/e2ccSMv2UlULUuQZj8dv3jzP/cOpqclRGCu1WgbJXRwQoZjmUu2XwdeX&#10;TTgPiHVUcVprJZbBWdjgYfX+3X3XZmKkK11zYQgkUTbr2mVQOddmUWRZJRpq73QrFGyW2jTUgWn2&#10;ETe0g+xNHY3ieBp12vDWaCasBe+63wxWPn9ZCua+lKUVjtTLALA5/zX+u8NvtLqn2d7QtpLsAoP+&#10;B4qGSgWXDqnW1FFyMPKvVI1kRltdujumm0iXpWTC1wDVJPGrarYVbYWvBcix7UCTfbu07PPx2RDJ&#10;l8EoIIo20KKtM1TuK0dyrRQQqA1JkKeutRmE5+rZYKXspLbtR82+W6J0XlG1Fx7vy7mFJP5EdHME&#10;DdvCbbvuk+YQQw9Oe9JOpWkwJdBBTr4356E34uQIA2e6SNJFDC1k172IZteDrbHug9ANwcUyqKVC&#10;2mhGjx+tA+gQeg1Bt9IbWde+9bUiHdQ+SSE1blldS4673kAVirw25EhBP5QxodzEx9WHBoro/UmM&#10;v15K4AfB9X7vgqu9mDGNB3Jzg9EHxT2QSlBeXNaOyrpfw+laIRThtdxXA9bJwdL7gR6vsx+LeFHM&#10;i3kapqNpEabxeh0+bvI0nG6S2WQ9Xuf5OvmJ2JM0qyTnQmGZV80n6b9p6vL6erUOqh8IjW6z+4IB&#10;7C3Sx80knqXjeTibTcZhOi7i8Gm+ycPHPJlOZ8VT/lS8Qlr46u3bgB2oRFT64ITZVrwjXKJ0YKag&#10;yLiEGYGi8JbR7pt0lZc3ChMPWrPfDcqYx/j3flq3Fe37P54tFguUBWqgD/fr4c6enmtn0Rp6c6m4&#10;j0ACIce16/5Z4Uvq3+RO8/OzwWvwhcGc8MGXmYaD6E/bR/2evKtfAAAA//8DAFBLAwQUAAYACAAA&#10;ACEA/1Rnot8AAAAJAQAADwAAAGRycy9kb3ducmV2LnhtbEyPzU7DMBCE70i8g7VIXFBrN0WkhDgV&#10;RULiwKXl77qNt0movY5itw1vjxEHOO7saOabcjk6K440hM6zhtlUgSCuvem40fD68jhZgAgR2aD1&#10;TBq+KMCyOj8rsTD+xGs6bmIjUgiHAjW0MfaFlKFuyWGY+p44/XZ+cBjTOTTSDHhK4c7KTKkb6bDj&#10;1NBiTw8t1fvNwWmwuM8XcfX+fLV6u53vPljWn09S68uL8f4ORKQx/pnhBz+hQ5WYtv7AJgirYZLP&#10;E3rUkM2uQSRDrlQGYvsryKqU/xdU3wAAAP//AwBQSwECLQAUAAYACAAAACEAtoM4kv4AAADhAQAA&#10;EwAAAAAAAAAAAAAAAAAAAAAAW0NvbnRlbnRfVHlwZXNdLnhtbFBLAQItABQABgAIAAAAIQA4/SH/&#10;1gAAAJQBAAALAAAAAAAAAAAAAAAAAC8BAABfcmVscy8ucmVsc1BLAQItABQABgAIAAAAIQDaBv0J&#10;ugIAAMEFAAAOAAAAAAAAAAAAAAAAAC4CAABkcnMvZTJvRG9jLnhtbFBLAQItABQABgAIAAAAIQD/&#10;VGei3wAAAAkBAAAPAAAAAAAAAAAAAAAAABQFAABkcnMvZG93bnJldi54bWxQSwUGAAAAAAQABADz&#10;AAAAIAYAAAAA&#10;" strokecolor="#4bacc6 [3208]" strokeweight="2pt">
                <v:shadow opacity="24903f" origin=",.5" offset="0,.55556mm"/>
              </v:line>
            </w:pict>
          </mc:Fallback>
        </mc:AlternateContent>
      </w:r>
    </w:p>
    <w:p w:rsidR="00C2279D" w:rsidRPr="00F9209A" w:rsidRDefault="00C2279D" w:rsidP="00C2279D">
      <w:pPr>
        <w:spacing w:line="360" w:lineRule="auto"/>
        <w:ind w:left="-720"/>
        <w:rPr>
          <w:rFonts w:asciiTheme="minorHAnsi" w:hAnsiTheme="minorHAnsi" w:cs="Verdana"/>
          <w:b/>
          <w:bCs/>
          <w:caps/>
          <w:color w:val="000000"/>
          <w:sz w:val="24"/>
          <w:szCs w:val="22"/>
        </w:rPr>
      </w:pPr>
      <w:r w:rsidRPr="00454A62">
        <w:rPr>
          <w:rFonts w:asciiTheme="minorHAnsi" w:hAnsiTheme="minorHAnsi" w:cs="Verdana"/>
          <w:bCs/>
          <w:color w:val="000000"/>
          <w:sz w:val="24"/>
          <w:szCs w:val="22"/>
        </w:rPr>
        <w:t>Version</w:t>
      </w:r>
      <w:r w:rsidRPr="00454A62">
        <w:rPr>
          <w:rFonts w:asciiTheme="minorHAnsi" w:hAnsiTheme="minorHAnsi" w:cs="Verdana"/>
          <w:b/>
          <w:bCs/>
          <w:caps/>
          <w:color w:val="000000"/>
          <w:sz w:val="24"/>
          <w:szCs w:val="22"/>
        </w:rPr>
        <w:t xml:space="preserve"> </w:t>
      </w:r>
      <w:r w:rsidR="001B168D" w:rsidRPr="00454A62">
        <w:rPr>
          <w:rFonts w:asciiTheme="minorHAnsi" w:hAnsiTheme="minorHAnsi" w:cs="Verdana"/>
          <w:bCs/>
          <w:caps/>
          <w:color w:val="000000"/>
          <w:sz w:val="24"/>
          <w:szCs w:val="22"/>
        </w:rPr>
        <w:t>1</w:t>
      </w:r>
      <w:r w:rsidR="006440C6" w:rsidRPr="00454A62">
        <w:rPr>
          <w:rFonts w:asciiTheme="minorHAnsi" w:hAnsiTheme="minorHAnsi" w:cs="Verdana"/>
          <w:bCs/>
          <w:caps/>
          <w:color w:val="000000"/>
          <w:sz w:val="24"/>
          <w:szCs w:val="22"/>
        </w:rPr>
        <w:t>.0</w:t>
      </w:r>
      <w:r w:rsidR="00742485" w:rsidRPr="00454A62">
        <w:rPr>
          <w:rFonts w:asciiTheme="minorHAnsi" w:hAnsiTheme="minorHAnsi" w:cs="Verdana"/>
          <w:bCs/>
          <w:caps/>
          <w:strike/>
          <w:color w:val="000000"/>
          <w:sz w:val="24"/>
          <w:szCs w:val="22"/>
        </w:rPr>
        <w:t>4</w:t>
      </w:r>
      <w:r w:rsidR="00DC630B" w:rsidRPr="00454A62">
        <w:rPr>
          <w:rFonts w:asciiTheme="minorHAnsi" w:hAnsiTheme="minorHAnsi" w:cs="Verdana"/>
          <w:bCs/>
          <w:caps/>
          <w:color w:val="000000"/>
          <w:sz w:val="24"/>
          <w:szCs w:val="22"/>
          <w:u w:val="single"/>
        </w:rPr>
        <w:t>5</w:t>
      </w:r>
      <w:r w:rsidR="007D2F90" w:rsidRPr="00454A62">
        <w:rPr>
          <w:rFonts w:asciiTheme="minorHAnsi" w:hAnsiTheme="minorHAnsi" w:cs="Verdana"/>
          <w:b/>
          <w:bCs/>
          <w:caps/>
          <w:color w:val="000000"/>
          <w:sz w:val="24"/>
          <w:szCs w:val="22"/>
        </w:rPr>
        <w:t xml:space="preserve"> </w:t>
      </w:r>
      <w:r w:rsidRPr="00454A62">
        <w:rPr>
          <w:rFonts w:asciiTheme="minorHAnsi" w:hAnsiTheme="minorHAnsi" w:cs="Verdana"/>
          <w:b/>
          <w:bCs/>
          <w:caps/>
          <w:color w:val="000000"/>
          <w:sz w:val="24"/>
          <w:szCs w:val="22"/>
        </w:rPr>
        <w:t xml:space="preserve">| </w:t>
      </w:r>
      <w:r w:rsidR="00A76F1A" w:rsidRPr="00454A62">
        <w:rPr>
          <w:rFonts w:asciiTheme="minorHAnsi" w:hAnsiTheme="minorHAnsi" w:cs="Verdana"/>
          <w:bCs/>
          <w:color w:val="000000"/>
          <w:sz w:val="24"/>
          <w:szCs w:val="22"/>
        </w:rPr>
        <w:t>201</w:t>
      </w:r>
      <w:r w:rsidR="00BA1FBB" w:rsidRPr="00454A62">
        <w:rPr>
          <w:rFonts w:asciiTheme="minorHAnsi" w:hAnsiTheme="minorHAnsi" w:cs="Verdana"/>
          <w:bCs/>
          <w:color w:val="000000"/>
          <w:sz w:val="24"/>
          <w:szCs w:val="22"/>
        </w:rPr>
        <w:t>6</w:t>
      </w:r>
      <w:r w:rsidR="002A387A" w:rsidRPr="00454A62">
        <w:rPr>
          <w:rFonts w:asciiTheme="minorHAnsi" w:hAnsiTheme="minorHAnsi" w:cs="Verdana"/>
          <w:bCs/>
          <w:color w:val="000000"/>
          <w:sz w:val="24"/>
          <w:szCs w:val="22"/>
        </w:rPr>
        <w:t>-</w:t>
      </w:r>
      <w:r w:rsidR="00B15BBD" w:rsidRPr="00454A62">
        <w:rPr>
          <w:rFonts w:asciiTheme="minorHAnsi" w:hAnsiTheme="minorHAnsi" w:cs="Verdana"/>
          <w:bCs/>
          <w:strike/>
          <w:color w:val="000000"/>
          <w:sz w:val="24"/>
          <w:szCs w:val="22"/>
        </w:rPr>
        <w:t>05</w:t>
      </w:r>
      <w:r w:rsidR="00B15BBD" w:rsidRPr="00454A62">
        <w:rPr>
          <w:rFonts w:asciiTheme="minorHAnsi" w:hAnsiTheme="minorHAnsi" w:cs="Verdana"/>
          <w:bCs/>
          <w:color w:val="000000"/>
          <w:sz w:val="24"/>
          <w:szCs w:val="22"/>
          <w:u w:val="single"/>
        </w:rPr>
        <w:t>11</w:t>
      </w:r>
      <w:r w:rsidR="004E6B87" w:rsidRPr="00454A62">
        <w:rPr>
          <w:rFonts w:asciiTheme="minorHAnsi" w:hAnsiTheme="minorHAnsi" w:cs="Verdana"/>
          <w:bCs/>
          <w:color w:val="000000"/>
          <w:sz w:val="24"/>
          <w:szCs w:val="22"/>
        </w:rPr>
        <w:t>-</w:t>
      </w:r>
      <w:r w:rsidR="00B15BBD" w:rsidRPr="00454A62">
        <w:rPr>
          <w:rFonts w:asciiTheme="minorHAnsi" w:hAnsiTheme="minorHAnsi" w:cs="Verdana"/>
          <w:bCs/>
          <w:strike/>
          <w:color w:val="000000"/>
          <w:sz w:val="24"/>
          <w:szCs w:val="22"/>
        </w:rPr>
        <w:t>22</w:t>
      </w:r>
      <w:r w:rsidR="00B15BBD" w:rsidRPr="00454A62">
        <w:rPr>
          <w:rFonts w:asciiTheme="minorHAnsi" w:hAnsiTheme="minorHAnsi" w:cs="Verdana"/>
          <w:bCs/>
          <w:color w:val="000000"/>
          <w:sz w:val="24"/>
          <w:szCs w:val="22"/>
          <w:u w:val="single"/>
        </w:rPr>
        <w:t>10</w:t>
      </w:r>
    </w:p>
    <w:p w:rsidR="00C2279D" w:rsidRPr="00102C8D" w:rsidRDefault="002372EE" w:rsidP="00C2279D">
      <w:pPr>
        <w:ind w:left="-1440"/>
        <w:rPr>
          <w:rFonts w:asciiTheme="minorHAnsi" w:hAnsiTheme="minorHAnsi"/>
          <w:b/>
          <w:sz w:val="22"/>
          <w:szCs w:val="22"/>
        </w:rPr>
        <w:sectPr w:rsidR="00C2279D" w:rsidRPr="00102C8D" w:rsidSect="00D25B14">
          <w:headerReference w:type="first" r:id="rId17"/>
          <w:pgSz w:w="11899" w:h="16838" w:code="1"/>
          <w:pgMar w:top="1440" w:right="1440" w:bottom="1354" w:left="1440" w:header="720" w:footer="576" w:gutter="0"/>
          <w:cols w:space="720"/>
          <w:titlePg/>
          <w:docGrid w:linePitch="360"/>
        </w:sectPr>
      </w:pPr>
      <w:r w:rsidRPr="00102C8D">
        <w:rPr>
          <w:rFonts w:asciiTheme="minorHAnsi" w:hAnsiTheme="minorHAnsi"/>
          <w:b/>
          <w:noProof/>
          <w:sz w:val="22"/>
          <w:szCs w:val="22"/>
        </w:rPr>
        <w:drawing>
          <wp:anchor distT="0" distB="0" distL="114300" distR="114300" simplePos="0" relativeHeight="251670016" behindDoc="0" locked="0" layoutInCell="1" allowOverlap="1" wp14:anchorId="77AEF48B" wp14:editId="0DE87D46">
            <wp:simplePos x="914400" y="5448300"/>
            <wp:positionH relativeFrom="margin">
              <wp:align>right</wp:align>
            </wp:positionH>
            <wp:positionV relativeFrom="margin">
              <wp:align>bottom</wp:align>
            </wp:positionV>
            <wp:extent cx="1604010" cy="457200"/>
            <wp:effectExtent l="0" t="0" r="0" b="0"/>
            <wp:wrapSquare wrapText="bothSides"/>
            <wp:docPr id="7" name="Picture 7"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p>
    <w:p w:rsidR="00A43549" w:rsidRPr="00102C8D" w:rsidRDefault="00A43549" w:rsidP="00A43549">
      <w:pPr>
        <w:pStyle w:val="confidentialtext"/>
        <w:rPr>
          <w:rFonts w:asciiTheme="minorHAnsi" w:hAnsiTheme="minorHAnsi"/>
          <w:b/>
          <w:sz w:val="22"/>
          <w:szCs w:val="22"/>
        </w:rPr>
      </w:pPr>
      <w:r w:rsidRPr="00102C8D">
        <w:rPr>
          <w:rFonts w:asciiTheme="minorHAnsi" w:hAnsiTheme="minorHAnsi"/>
          <w:b/>
          <w:sz w:val="22"/>
          <w:szCs w:val="22"/>
        </w:rPr>
        <w:lastRenderedPageBreak/>
        <w:t>CONFIDENTIALITY/DISCLAIMER</w:t>
      </w:r>
    </w:p>
    <w:p w:rsidR="000743EF" w:rsidRPr="00102C8D" w:rsidRDefault="000743EF" w:rsidP="000743EF">
      <w:pPr>
        <w:pStyle w:val="confidentialtext"/>
        <w:rPr>
          <w:rFonts w:asciiTheme="majorHAnsi" w:hAnsiTheme="majorHAnsi"/>
        </w:rPr>
      </w:pPr>
      <w:r w:rsidRPr="00102C8D">
        <w:rPr>
          <w:rFonts w:asciiTheme="majorHAnsi" w:hAnsiTheme="majorHAnsi"/>
        </w:rPr>
        <w:t>This  Reference Guide is being forwarded to you strictly for informational purposes and solely for the purpose of developing or operating systems for your use that interact with systems of NASDAQ Futures, Inc. (NFX</w:t>
      </w:r>
      <w:r w:rsidRPr="00102C8D">
        <w:rPr>
          <w:rFonts w:asciiTheme="majorHAnsi" w:hAnsiTheme="majorHAnsi"/>
          <w:color w:val="7F7F7F" w:themeColor="text1" w:themeTint="80"/>
          <w:szCs w:val="20"/>
          <w:vertAlign w:val="superscript"/>
        </w:rPr>
        <w:t>SM</w:t>
      </w:r>
      <w:r w:rsidRPr="00102C8D">
        <w:rPr>
          <w:rFonts w:asciiTheme="majorHAnsi" w:hAnsiTheme="majorHAnsi"/>
        </w:rPr>
        <w:t xml:space="preserve">) and its affiliates (collectively, NFX).  This specification is proprietary to NFX. </w:t>
      </w:r>
    </w:p>
    <w:p w:rsidR="000743EF" w:rsidRPr="00102C8D" w:rsidRDefault="000743EF" w:rsidP="000743EF">
      <w:pPr>
        <w:pStyle w:val="confidentialtext"/>
        <w:rPr>
          <w:rFonts w:asciiTheme="majorHAnsi" w:hAnsiTheme="majorHAnsi"/>
        </w:rPr>
      </w:pPr>
    </w:p>
    <w:p w:rsidR="000743EF" w:rsidRPr="00102C8D" w:rsidRDefault="000743EF" w:rsidP="000743EF">
      <w:pPr>
        <w:pStyle w:val="confidentialtext"/>
        <w:rPr>
          <w:rFonts w:asciiTheme="majorHAnsi" w:hAnsiTheme="majorHAnsi"/>
        </w:rPr>
      </w:pPr>
      <w:r w:rsidRPr="00102C8D">
        <w:rPr>
          <w:rFonts w:asciiTheme="majorHAnsi" w:hAnsiTheme="majorHAnsi"/>
        </w:rPr>
        <w:t>NFX reserves the right to withdraw, modify, or replace this Reference Guide at any time, without prior notice.  No obligation is made by NFX regarding the level, scope or timing of NFX’s implementation of the functions or features discussed in this specification. The Reference Guide is provided “AS IS,” “WITH ALL FAULTS”. NFX makes no warranties to this Reference Guide or its accuracy, and disclaims all warranties, whether express, implied, or statutory related to the Reference Guide or its accuracy. This document is not intended to represent an offer of any terms by NFX. While reasonable care has been taken to ensure that the details contained herein are true and not misleading at the time of publication, no liability whatsoever is assumed by NFX for any incompleteness or inaccuracies.  By using this Reference Guide you agree that you will not, without prior written permission from NFX, copy or reproduce the information in this Reference Guide except for the purposes noted above. You further agree that you will not, without prior written permission from NFX, store the information contained in this Reference Guide in a retrieval system, or transmit it in any form or by any means, whether electronic, mechanical, or otherwise except for the purposes noted above. In addition you agree that you will not, without prior written permission from NFX, permit access to the information contained herein except to those with a need-to-know for the purposes noted above.</w:t>
      </w:r>
    </w:p>
    <w:p w:rsidR="000743EF" w:rsidRPr="00102C8D" w:rsidRDefault="000743EF" w:rsidP="000743EF">
      <w:pPr>
        <w:pStyle w:val="confidentialtext"/>
        <w:rPr>
          <w:rFonts w:asciiTheme="majorHAnsi" w:hAnsiTheme="majorHAnsi"/>
        </w:rPr>
      </w:pPr>
    </w:p>
    <w:p w:rsidR="000743EF" w:rsidRPr="00102C8D" w:rsidRDefault="000743EF" w:rsidP="000743EF">
      <w:pPr>
        <w:pStyle w:val="confidentialtext"/>
        <w:rPr>
          <w:rFonts w:asciiTheme="majorHAnsi" w:hAnsiTheme="majorHAnsi"/>
          <w:szCs w:val="20"/>
        </w:rPr>
      </w:pPr>
      <w:r w:rsidRPr="00102C8D">
        <w:rPr>
          <w:rFonts w:asciiTheme="majorHAnsi" w:hAnsiTheme="majorHAnsi"/>
          <w:szCs w:val="20"/>
        </w:rPr>
        <w:t>NFX</w:t>
      </w:r>
      <w:r w:rsidRPr="00102C8D">
        <w:rPr>
          <w:rFonts w:ascii="Calibri" w:hAnsi="Calibri" w:cs="Times New Roman"/>
          <w:szCs w:val="20"/>
        </w:rPr>
        <w:t>℠</w:t>
      </w:r>
      <w:r w:rsidRPr="00102C8D">
        <w:rPr>
          <w:rFonts w:asciiTheme="majorHAnsi" w:hAnsiTheme="majorHAnsi"/>
          <w:szCs w:val="20"/>
          <w:vertAlign w:val="superscript"/>
        </w:rPr>
        <w:t xml:space="preserve"> </w:t>
      </w:r>
      <w:r w:rsidRPr="00102C8D">
        <w:rPr>
          <w:rFonts w:asciiTheme="majorHAnsi" w:hAnsiTheme="majorHAnsi"/>
          <w:szCs w:val="20"/>
        </w:rPr>
        <w:t xml:space="preserve">is a servicemark of Nasdaq Futures, Inc. </w:t>
      </w:r>
    </w:p>
    <w:p w:rsidR="00CB003D" w:rsidRPr="00102C8D" w:rsidRDefault="000743EF" w:rsidP="000743EF">
      <w:pPr>
        <w:pStyle w:val="confidentialtext"/>
        <w:rPr>
          <w:rFonts w:asciiTheme="minorHAnsi" w:hAnsiTheme="minorHAnsi"/>
          <w:sz w:val="18"/>
          <w:szCs w:val="22"/>
        </w:rPr>
      </w:pPr>
      <w:r w:rsidRPr="00102C8D">
        <w:rPr>
          <w:rFonts w:asciiTheme="majorHAnsi" w:hAnsiTheme="majorHAnsi"/>
          <w:szCs w:val="20"/>
        </w:rPr>
        <w:t>© Copyright 201</w:t>
      </w:r>
      <w:r w:rsidR="007A353C" w:rsidRPr="00BA1FBB">
        <w:rPr>
          <w:rFonts w:asciiTheme="majorHAnsi" w:hAnsiTheme="majorHAnsi"/>
          <w:szCs w:val="20"/>
        </w:rPr>
        <w:t>6</w:t>
      </w:r>
      <w:r w:rsidRPr="00102C8D">
        <w:rPr>
          <w:rFonts w:asciiTheme="majorHAnsi" w:hAnsiTheme="majorHAnsi"/>
          <w:szCs w:val="20"/>
        </w:rPr>
        <w:t>, Nasdaq Futures, Inc.  All rights reserved.</w:t>
      </w:r>
      <w:r w:rsidRPr="00102C8D">
        <w:rPr>
          <w:rFonts w:asciiTheme="minorHAnsi" w:hAnsiTheme="minorHAnsi"/>
          <w:sz w:val="22"/>
          <w:szCs w:val="22"/>
        </w:rPr>
        <w:br/>
      </w:r>
      <w:r w:rsidRPr="00102C8D">
        <w:rPr>
          <w:rFonts w:asciiTheme="minorHAnsi" w:hAnsiTheme="minorHAnsi"/>
          <w:sz w:val="22"/>
          <w:szCs w:val="22"/>
        </w:rPr>
        <w:br/>
      </w:r>
      <w:r w:rsidR="00CB003D" w:rsidRPr="00102C8D">
        <w:rPr>
          <w:rFonts w:asciiTheme="minorHAnsi" w:hAnsiTheme="minorHAnsi"/>
          <w:sz w:val="22"/>
          <w:szCs w:val="22"/>
        </w:rPr>
        <w:br/>
      </w:r>
      <w:r w:rsidR="00CB003D" w:rsidRPr="00102C8D">
        <w:rPr>
          <w:rFonts w:asciiTheme="minorHAnsi" w:hAnsiTheme="minorHAnsi"/>
          <w:sz w:val="22"/>
          <w:szCs w:val="22"/>
        </w:rPr>
        <w:br/>
      </w:r>
      <w:r w:rsidR="00CB003D" w:rsidRPr="00102C8D">
        <w:rPr>
          <w:rFonts w:asciiTheme="minorHAnsi" w:hAnsiTheme="minorHAnsi"/>
          <w:sz w:val="22"/>
          <w:szCs w:val="22"/>
        </w:rPr>
        <w:br/>
      </w:r>
      <w:r w:rsidR="00CB003D" w:rsidRPr="00102C8D">
        <w:rPr>
          <w:rFonts w:asciiTheme="minorHAnsi" w:hAnsiTheme="minorHAnsi"/>
          <w:sz w:val="22"/>
          <w:szCs w:val="22"/>
        </w:rPr>
        <w:br/>
      </w:r>
      <w:r w:rsidR="00CB003D" w:rsidRPr="00102C8D">
        <w:rPr>
          <w:rFonts w:asciiTheme="minorHAnsi" w:hAnsiTheme="minorHAnsi"/>
          <w:sz w:val="22"/>
          <w:szCs w:val="22"/>
        </w:rPr>
        <w:br/>
      </w:r>
    </w:p>
    <w:p w:rsidR="00DC6990" w:rsidRPr="00102C8D" w:rsidRDefault="00CB003D" w:rsidP="00CB003D">
      <w:pPr>
        <w:pStyle w:val="Heading1"/>
        <w:numPr>
          <w:ilvl w:val="0"/>
          <w:numId w:val="0"/>
        </w:numPr>
        <w:rPr>
          <w:rFonts w:asciiTheme="minorHAnsi" w:hAnsiTheme="minorHAnsi"/>
          <w:sz w:val="18"/>
          <w:szCs w:val="22"/>
        </w:rPr>
      </w:pPr>
      <w:r w:rsidRPr="00102C8D">
        <w:rPr>
          <w:rFonts w:asciiTheme="minorHAnsi" w:hAnsiTheme="minorHAnsi"/>
          <w:sz w:val="18"/>
          <w:szCs w:val="22"/>
        </w:rPr>
        <w:br/>
      </w:r>
    </w:p>
    <w:p w:rsidR="00DC6990" w:rsidRPr="00102C8D" w:rsidRDefault="00DC6990" w:rsidP="00CB003D">
      <w:pPr>
        <w:pStyle w:val="Heading1"/>
        <w:numPr>
          <w:ilvl w:val="0"/>
          <w:numId w:val="0"/>
        </w:numPr>
        <w:rPr>
          <w:rFonts w:asciiTheme="minorHAnsi" w:hAnsiTheme="minorHAnsi"/>
          <w:sz w:val="18"/>
          <w:szCs w:val="22"/>
        </w:rPr>
      </w:pPr>
    </w:p>
    <w:p w:rsidR="00DC6990" w:rsidRPr="00102C8D" w:rsidRDefault="00DC6990" w:rsidP="00CB003D">
      <w:pPr>
        <w:pStyle w:val="Heading1"/>
        <w:numPr>
          <w:ilvl w:val="0"/>
          <w:numId w:val="0"/>
        </w:numPr>
        <w:rPr>
          <w:rFonts w:asciiTheme="minorHAnsi" w:hAnsiTheme="minorHAnsi"/>
          <w:sz w:val="18"/>
          <w:szCs w:val="22"/>
        </w:rPr>
      </w:pPr>
    </w:p>
    <w:p w:rsidR="00DC6990" w:rsidRPr="00102C8D" w:rsidRDefault="00DC6990" w:rsidP="00CB003D">
      <w:pPr>
        <w:pStyle w:val="Heading1"/>
        <w:numPr>
          <w:ilvl w:val="0"/>
          <w:numId w:val="0"/>
        </w:numPr>
        <w:rPr>
          <w:rFonts w:asciiTheme="minorHAnsi" w:hAnsiTheme="minorHAnsi"/>
          <w:sz w:val="18"/>
          <w:szCs w:val="22"/>
        </w:rPr>
      </w:pPr>
    </w:p>
    <w:p w:rsidR="00DC6990" w:rsidRPr="00102C8D" w:rsidRDefault="00DC6990" w:rsidP="00CB003D">
      <w:pPr>
        <w:pStyle w:val="Heading1"/>
        <w:numPr>
          <w:ilvl w:val="0"/>
          <w:numId w:val="0"/>
        </w:numPr>
        <w:rPr>
          <w:rFonts w:asciiTheme="minorHAnsi" w:hAnsiTheme="minorHAnsi"/>
          <w:sz w:val="18"/>
          <w:szCs w:val="22"/>
        </w:rPr>
      </w:pPr>
    </w:p>
    <w:p w:rsidR="005A685E" w:rsidRPr="00102C8D" w:rsidRDefault="00CB003D" w:rsidP="00CB003D">
      <w:pPr>
        <w:pStyle w:val="Heading1"/>
        <w:numPr>
          <w:ilvl w:val="0"/>
          <w:numId w:val="0"/>
        </w:numPr>
        <w:rPr>
          <w:rFonts w:asciiTheme="minorHAnsi" w:hAnsiTheme="minorHAnsi"/>
          <w:sz w:val="22"/>
          <w:szCs w:val="22"/>
        </w:rPr>
      </w:pPr>
      <w:r w:rsidRPr="00102C8D">
        <w:rPr>
          <w:rFonts w:asciiTheme="minorHAnsi" w:hAnsiTheme="minorHAnsi"/>
          <w:sz w:val="18"/>
          <w:szCs w:val="22"/>
        </w:rPr>
        <w:br/>
      </w:r>
    </w:p>
    <w:p w:rsidR="00552D48" w:rsidRDefault="007A789D">
      <w:pPr>
        <w:pStyle w:val="TOC1"/>
      </w:pPr>
      <w:r w:rsidRPr="00102C8D">
        <w:rPr>
          <w:rFonts w:asciiTheme="minorHAnsi" w:eastAsia="SimSun" w:hAnsiTheme="minorHAnsi"/>
          <w:sz w:val="18"/>
        </w:rPr>
        <w:br/>
      </w:r>
      <w:r w:rsidR="00884828" w:rsidRPr="00102C8D">
        <w:rPr>
          <w:rFonts w:asciiTheme="minorHAnsi" w:eastAsia="SimSun" w:hAnsiTheme="minorHAnsi"/>
          <w:sz w:val="18"/>
        </w:rPr>
        <w:br/>
      </w:r>
      <w:r w:rsidR="00CB003D" w:rsidRPr="00102C8D">
        <w:rPr>
          <w:rFonts w:asciiTheme="minorHAnsi" w:eastAsia="SimSun" w:hAnsiTheme="minorHAnsi"/>
          <w:sz w:val="22"/>
        </w:rPr>
        <w:lastRenderedPageBreak/>
        <w:t>TABLE OF CONTENTS</w:t>
      </w:r>
      <w:r w:rsidR="004E0ED1" w:rsidRPr="00102C8D">
        <w:rPr>
          <w:rFonts w:asciiTheme="minorHAnsi" w:eastAsia="SimSun" w:hAnsiTheme="minorHAnsi"/>
          <w:sz w:val="22"/>
        </w:rPr>
        <w:t xml:space="preserve"> </w:t>
      </w:r>
      <w:r w:rsidR="00CB003D" w:rsidRPr="00102C8D">
        <w:rPr>
          <w:rFonts w:asciiTheme="minorHAnsi" w:eastAsia="SimSun" w:hAnsiTheme="minorHAnsi"/>
          <w:sz w:val="18"/>
        </w:rPr>
        <w:br/>
      </w:r>
      <w:r w:rsidR="00653EB7" w:rsidRPr="00102C8D">
        <w:rPr>
          <w:rFonts w:asciiTheme="minorHAnsi" w:eastAsia="SimSun" w:hAnsiTheme="minorHAnsi"/>
          <w:sz w:val="18"/>
        </w:rPr>
        <w:fldChar w:fldCharType="begin"/>
      </w:r>
      <w:r w:rsidR="00653EB7" w:rsidRPr="00102C8D">
        <w:rPr>
          <w:rFonts w:asciiTheme="minorHAnsi" w:eastAsia="SimSun" w:hAnsiTheme="minorHAnsi"/>
          <w:sz w:val="18"/>
        </w:rPr>
        <w:instrText xml:space="preserve"> TOC \o "1-3" \u </w:instrText>
      </w:r>
      <w:r w:rsidR="00653EB7" w:rsidRPr="00102C8D">
        <w:rPr>
          <w:rFonts w:asciiTheme="minorHAnsi" w:eastAsia="SimSun" w:hAnsiTheme="minorHAnsi"/>
          <w:sz w:val="18"/>
        </w:rPr>
        <w:fldChar w:fldCharType="separate"/>
      </w:r>
    </w:p>
    <w:p w:rsidR="00552D48" w:rsidRDefault="00552D48">
      <w:pPr>
        <w:pStyle w:val="TOC1"/>
        <w:rPr>
          <w:rFonts w:asciiTheme="minorHAnsi" w:hAnsiTheme="minorHAnsi" w:cstheme="minorBidi"/>
          <w:b w:val="0"/>
          <w:bCs w:val="0"/>
          <w:caps w:val="0"/>
          <w:color w:val="auto"/>
          <w:sz w:val="22"/>
        </w:rPr>
      </w:pPr>
      <w:r w:rsidRPr="00717692">
        <w:rPr>
          <w:color w:val="auto"/>
        </w:rPr>
        <w:t>1 introduction</w:t>
      </w:r>
      <w:r>
        <w:tab/>
      </w:r>
      <w:r>
        <w:fldChar w:fldCharType="begin"/>
      </w:r>
      <w:r>
        <w:instrText xml:space="preserve"> PAGEREF _Toc465175530 \h </w:instrText>
      </w:r>
      <w:r>
        <w:fldChar w:fldCharType="separate"/>
      </w:r>
      <w:r w:rsidR="00B50A1E">
        <w:t>8</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2</w:t>
      </w:r>
      <w:r>
        <w:t xml:space="preserve"> NFX CONTACT INFORMATION</w:t>
      </w:r>
      <w:r>
        <w:tab/>
      </w:r>
      <w:r>
        <w:fldChar w:fldCharType="begin"/>
      </w:r>
      <w:r>
        <w:instrText xml:space="preserve"> PAGEREF _Toc465175531 \h </w:instrText>
      </w:r>
      <w:r>
        <w:fldChar w:fldCharType="separate"/>
      </w:r>
      <w:r w:rsidR="00B50A1E">
        <w:t>8</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3</w:t>
      </w:r>
      <w:r>
        <w:t xml:space="preserve"> WHAT IS A BLOCK TRADE?</w:t>
      </w:r>
      <w:r>
        <w:tab/>
      </w:r>
      <w:r>
        <w:fldChar w:fldCharType="begin"/>
      </w:r>
      <w:r>
        <w:instrText xml:space="preserve"> PAGEREF _Toc465175532 \h </w:instrText>
      </w:r>
      <w:r>
        <w:fldChar w:fldCharType="separate"/>
      </w:r>
      <w:r w:rsidR="00B50A1E">
        <w:t>8</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4</w:t>
      </w:r>
      <w:r>
        <w:t xml:space="preserve"> WHAT ARE THE ELIGIBLE CONTRACTS AND THE MINIMUM THRESHOLD QUANTITIES </w:t>
      </w:r>
      <w:r w:rsidR="00023A52">
        <w:br/>
      </w:r>
      <w:r>
        <w:t>FOR A BLOCK TRADE?</w:t>
      </w:r>
      <w:r>
        <w:tab/>
      </w:r>
      <w:r>
        <w:fldChar w:fldCharType="begin"/>
      </w:r>
      <w:r>
        <w:instrText xml:space="preserve"> PAGEREF _Toc465175533 \h </w:instrText>
      </w:r>
      <w:r>
        <w:fldChar w:fldCharType="separate"/>
      </w:r>
      <w:r w:rsidR="00B50A1E">
        <w:t>9</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5</w:t>
      </w:r>
      <w:r>
        <w:t xml:space="preserve"> WHO MAY PARTICIPATE IN BLOCK TRADES?</w:t>
      </w:r>
      <w:r>
        <w:tab/>
      </w:r>
      <w:r>
        <w:fldChar w:fldCharType="begin"/>
      </w:r>
      <w:r>
        <w:instrText xml:space="preserve"> PAGEREF _Toc465175534 \h </w:instrText>
      </w:r>
      <w:r>
        <w:fldChar w:fldCharType="separate"/>
      </w:r>
      <w:r w:rsidR="00B50A1E">
        <w:t>10</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6</w:t>
      </w:r>
      <w:r>
        <w:t xml:space="preserve"> ARE THERE ANY PRICE RESTRICTIONS FOR BLOCK TRADES?</w:t>
      </w:r>
      <w:r>
        <w:tab/>
      </w:r>
      <w:r>
        <w:fldChar w:fldCharType="begin"/>
      </w:r>
      <w:r>
        <w:instrText xml:space="preserve"> PAGEREF _Toc465175535 \h </w:instrText>
      </w:r>
      <w:r>
        <w:fldChar w:fldCharType="separate"/>
      </w:r>
      <w:r w:rsidR="00B50A1E">
        <w:t>10</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7</w:t>
      </w:r>
      <w:r>
        <w:t xml:space="preserve"> CAN ANY ORDER WHICH EXCEEDS THE MINIMUM QUANTITY THRESHOLD BE </w:t>
      </w:r>
      <w:r w:rsidR="00023A52">
        <w:br/>
      </w:r>
      <w:r>
        <w:t>CLEARED AS A BLOCK TRADE?</w:t>
      </w:r>
      <w:r>
        <w:tab/>
      </w:r>
      <w:r>
        <w:fldChar w:fldCharType="begin"/>
      </w:r>
      <w:r>
        <w:instrText xml:space="preserve"> PAGEREF _Toc465175536 \h </w:instrText>
      </w:r>
      <w:r>
        <w:fldChar w:fldCharType="separate"/>
      </w:r>
      <w:r w:rsidR="00B50A1E">
        <w:t>11</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8</w:t>
      </w:r>
      <w:r>
        <w:t xml:space="preserve"> What recordkeeping and audit trail requirements are REQUIRED FOR</w:t>
      </w:r>
      <w:r w:rsidR="00023A52">
        <w:br/>
      </w:r>
      <w:r>
        <w:t xml:space="preserve"> a block trade?</w:t>
      </w:r>
      <w:r>
        <w:tab/>
      </w:r>
      <w:r>
        <w:fldChar w:fldCharType="begin"/>
      </w:r>
      <w:r>
        <w:instrText xml:space="preserve"> PAGEREF _Toc465175537 \h </w:instrText>
      </w:r>
      <w:r>
        <w:fldChar w:fldCharType="separate"/>
      </w:r>
      <w:r w:rsidR="00B50A1E">
        <w:t>11</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9</w:t>
      </w:r>
      <w:r>
        <w:t xml:space="preserve"> WHAT ARE THE TRADING HOURS FOR BLOCK TRADES?</w:t>
      </w:r>
      <w:r>
        <w:tab/>
      </w:r>
      <w:r>
        <w:fldChar w:fldCharType="begin"/>
      </w:r>
      <w:r>
        <w:instrText xml:space="preserve"> PAGEREF _Toc465175538 \h </w:instrText>
      </w:r>
      <w:r>
        <w:fldChar w:fldCharType="separate"/>
      </w:r>
      <w:r w:rsidR="00B50A1E">
        <w:t>11</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10</w:t>
      </w:r>
      <w:r>
        <w:t xml:space="preserve"> HOW ARE BLOCK TRADES REPORTED?</w:t>
      </w:r>
      <w:r>
        <w:tab/>
      </w:r>
      <w:r>
        <w:fldChar w:fldCharType="begin"/>
      </w:r>
      <w:r>
        <w:instrText xml:space="preserve"> PAGEREF _Toc465175539 \h </w:instrText>
      </w:r>
      <w:r>
        <w:fldChar w:fldCharType="separate"/>
      </w:r>
      <w:r w:rsidR="00B50A1E">
        <w:t>11</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11</w:t>
      </w:r>
      <w:r>
        <w:t xml:space="preserve"> WHAT ARE THE REPORTING REQUIREMENTS FOR BLOCK TRADES?</w:t>
      </w:r>
      <w:r>
        <w:tab/>
      </w:r>
      <w:r>
        <w:fldChar w:fldCharType="begin"/>
      </w:r>
      <w:r>
        <w:instrText xml:space="preserve"> PAGEREF _Toc465175540 \h </w:instrText>
      </w:r>
      <w:r>
        <w:fldChar w:fldCharType="separate"/>
      </w:r>
      <w:r w:rsidR="00B50A1E">
        <w:t>11</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12</w:t>
      </w:r>
      <w:r>
        <w:t xml:space="preserve"> WHAT ARE THE PROCEDURES FOR SUBMITTING A BLOCK TRADE?</w:t>
      </w:r>
      <w:r>
        <w:tab/>
      </w:r>
      <w:r>
        <w:fldChar w:fldCharType="begin"/>
      </w:r>
      <w:r>
        <w:instrText xml:space="preserve"> PAGEREF _Toc465175541 \h </w:instrText>
      </w:r>
      <w:r>
        <w:fldChar w:fldCharType="separate"/>
      </w:r>
      <w:r w:rsidR="00B50A1E">
        <w:t>12</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13</w:t>
      </w:r>
      <w:r>
        <w:t xml:space="preserve"> DISSEMINATION OF BLOCK TRADE INFORMATION</w:t>
      </w:r>
      <w:r>
        <w:tab/>
      </w:r>
      <w:r>
        <w:fldChar w:fldCharType="begin"/>
      </w:r>
      <w:r>
        <w:instrText xml:space="preserve"> PAGEREF _Toc465175542 \h </w:instrText>
      </w:r>
      <w:r>
        <w:fldChar w:fldCharType="separate"/>
      </w:r>
      <w:r w:rsidR="00B50A1E">
        <w:t>14</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14</w:t>
      </w:r>
      <w:r>
        <w:t xml:space="preserve"> HOW DO I OBTAIN ACCESS TO ENTER ORDERS DIRECTLY INTO NFX?</w:t>
      </w:r>
      <w:r>
        <w:tab/>
      </w:r>
      <w:r>
        <w:fldChar w:fldCharType="begin"/>
      </w:r>
      <w:r>
        <w:instrText xml:space="preserve"> PAGEREF _Toc465175543 \h </w:instrText>
      </w:r>
      <w:r>
        <w:fldChar w:fldCharType="separate"/>
      </w:r>
      <w:r w:rsidR="00B50A1E">
        <w:t>14</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15</w:t>
      </w:r>
      <w:r>
        <w:t xml:space="preserve"> must block trades be submitted by an exchange futures participant</w:t>
      </w:r>
      <w:r w:rsidR="00023A52">
        <w:br/>
      </w:r>
      <w:r>
        <w:t xml:space="preserve"> or clearing futures participant?</w:t>
      </w:r>
      <w:r>
        <w:tab/>
      </w:r>
      <w:r>
        <w:fldChar w:fldCharType="begin"/>
      </w:r>
      <w:r>
        <w:instrText xml:space="preserve"> PAGEREF _Toc465175544 \h </w:instrText>
      </w:r>
      <w:r>
        <w:fldChar w:fldCharType="separate"/>
      </w:r>
      <w:r w:rsidR="00B50A1E">
        <w:t>15</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16</w:t>
      </w:r>
      <w:r>
        <w:t xml:space="preserve"> who is responsible for reporting the execution time?</w:t>
      </w:r>
      <w:r>
        <w:tab/>
      </w:r>
      <w:r>
        <w:fldChar w:fldCharType="begin"/>
      </w:r>
      <w:r>
        <w:instrText xml:space="preserve"> PAGEREF _Toc465175545 \h </w:instrText>
      </w:r>
      <w:r>
        <w:fldChar w:fldCharType="separate"/>
      </w:r>
      <w:r w:rsidR="00B50A1E">
        <w:t>15</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17</w:t>
      </w:r>
      <w:r>
        <w:t xml:space="preserve"> how should MULTI-LEG BLOCK TRADES BE SUBMITTED TO THE EXCHANGE?</w:t>
      </w:r>
      <w:r>
        <w:tab/>
      </w:r>
      <w:r>
        <w:fldChar w:fldCharType="begin"/>
      </w:r>
      <w:r>
        <w:instrText xml:space="preserve"> PAGEREF _Toc465175546 \h </w:instrText>
      </w:r>
      <w:r>
        <w:fldChar w:fldCharType="separate"/>
      </w:r>
      <w:r w:rsidR="00B50A1E">
        <w:t>15</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18</w:t>
      </w:r>
      <w:r>
        <w:t xml:space="preserve"> MAY BLOCK TRADES BE GIVEN-UP?</w:t>
      </w:r>
      <w:r>
        <w:tab/>
      </w:r>
      <w:r>
        <w:fldChar w:fldCharType="begin"/>
      </w:r>
      <w:r>
        <w:instrText xml:space="preserve"> PAGEREF _Toc465175547 \h </w:instrText>
      </w:r>
      <w:r>
        <w:fldChar w:fldCharType="separate"/>
      </w:r>
      <w:r w:rsidR="00B50A1E">
        <w:t>16</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19</w:t>
      </w:r>
      <w:r>
        <w:t xml:space="preserve"> CAN ORDERS BE BUNCHED TO CONSTITUTE ONE SIDE OF A BLOCK TRADE?</w:t>
      </w:r>
      <w:r>
        <w:tab/>
      </w:r>
      <w:r>
        <w:fldChar w:fldCharType="begin"/>
      </w:r>
      <w:r>
        <w:instrText xml:space="preserve"> PAGEREF _Toc465175548 \h </w:instrText>
      </w:r>
      <w:r>
        <w:fldChar w:fldCharType="separate"/>
      </w:r>
      <w:r w:rsidR="00B50A1E">
        <w:t>16</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20</w:t>
      </w:r>
      <w:r>
        <w:t xml:space="preserve"> what fees are associated with block trades?</w:t>
      </w:r>
      <w:r>
        <w:tab/>
      </w:r>
      <w:r>
        <w:fldChar w:fldCharType="begin"/>
      </w:r>
      <w:r>
        <w:instrText xml:space="preserve"> PAGEREF _Toc465175549 \h </w:instrText>
      </w:r>
      <w:r>
        <w:fldChar w:fldCharType="separate"/>
      </w:r>
      <w:r w:rsidR="00B50A1E">
        <w:t>16</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21</w:t>
      </w:r>
      <w:r>
        <w:t xml:space="preserve"> CAN TRADE AT SETTLEMENT (“TAS”) TRADES BE EXECUTED AS BLOCK TRADES?</w:t>
      </w:r>
      <w:r>
        <w:tab/>
      </w:r>
      <w:r>
        <w:fldChar w:fldCharType="begin"/>
      </w:r>
      <w:r>
        <w:instrText xml:space="preserve"> PAGEREF _Toc465175550 \h </w:instrText>
      </w:r>
      <w:r>
        <w:fldChar w:fldCharType="separate"/>
      </w:r>
      <w:r w:rsidR="00B50A1E">
        <w:t>17</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22</w:t>
      </w:r>
      <w:r>
        <w:t xml:space="preserve"> DO BLOCK TRADES BETWEEN ACCOUNTS OF AFFILIATED PARTIES</w:t>
      </w:r>
      <w:r w:rsidR="00023A52">
        <w:br/>
      </w:r>
      <w:r>
        <w:t xml:space="preserve"> CONSTITUTE A WASH TRADE?</w:t>
      </w:r>
      <w:r>
        <w:tab/>
      </w:r>
      <w:r>
        <w:fldChar w:fldCharType="begin"/>
      </w:r>
      <w:r>
        <w:instrText xml:space="preserve"> PAGEREF _Toc465175551 \h </w:instrText>
      </w:r>
      <w:r>
        <w:fldChar w:fldCharType="separate"/>
      </w:r>
      <w:r w:rsidR="00B50A1E">
        <w:t>17</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23</w:t>
      </w:r>
      <w:r>
        <w:t xml:space="preserve"> WHAT RESTRICTIONS ARE IN PLACE REGARDING THE DISCLOSURE</w:t>
      </w:r>
      <w:r w:rsidR="00445D4F">
        <w:br/>
      </w:r>
      <w:r>
        <w:t xml:space="preserve"> OF BLOCK TRADE DETAILS?</w:t>
      </w:r>
      <w:r>
        <w:tab/>
      </w:r>
      <w:r>
        <w:fldChar w:fldCharType="begin"/>
      </w:r>
      <w:r>
        <w:instrText xml:space="preserve"> PAGEREF _Toc465175552 \h </w:instrText>
      </w:r>
      <w:r>
        <w:fldChar w:fldCharType="separate"/>
      </w:r>
      <w:r w:rsidR="00B50A1E">
        <w:t>17</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24</w:t>
      </w:r>
      <w:r>
        <w:t xml:space="preserve"> How are block trades published?</w:t>
      </w:r>
      <w:r>
        <w:tab/>
      </w:r>
      <w:r>
        <w:fldChar w:fldCharType="begin"/>
      </w:r>
      <w:r>
        <w:instrText xml:space="preserve"> PAGEREF _Toc465175553 \h </w:instrText>
      </w:r>
      <w:r>
        <w:fldChar w:fldCharType="separate"/>
      </w:r>
      <w:r w:rsidR="00B50A1E">
        <w:t>18</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25</w:t>
      </w:r>
      <w:r>
        <w:t xml:space="preserve"> WHAT TYPE OF DOCUMENTATION MAY BE REQUIRED BY NFX REGULATIONS</w:t>
      </w:r>
      <w:r w:rsidR="00445D4F">
        <w:br/>
      </w:r>
      <w:r>
        <w:t xml:space="preserve"> REGARDING A BLOCK TRADE?</w:t>
      </w:r>
      <w:r>
        <w:tab/>
      </w:r>
      <w:r>
        <w:fldChar w:fldCharType="begin"/>
      </w:r>
      <w:r>
        <w:instrText xml:space="preserve"> PAGEREF _Toc465175554 \h </w:instrText>
      </w:r>
      <w:r>
        <w:fldChar w:fldCharType="separate"/>
      </w:r>
      <w:r w:rsidR="00B50A1E">
        <w:t>18</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26</w:t>
      </w:r>
      <w:r>
        <w:t xml:space="preserve"> WHAT IS AN EXCHANGE FOR RELATED POSITION?</w:t>
      </w:r>
      <w:r>
        <w:tab/>
      </w:r>
      <w:r>
        <w:fldChar w:fldCharType="begin"/>
      </w:r>
      <w:r>
        <w:instrText xml:space="preserve"> PAGEREF _Toc465175555 \h </w:instrText>
      </w:r>
      <w:r>
        <w:fldChar w:fldCharType="separate"/>
      </w:r>
      <w:r w:rsidR="00B50A1E">
        <w:t>18</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27</w:t>
      </w:r>
      <w:r>
        <w:t xml:space="preserve"> ARE THERE ANY PRICE RESTRICTIONS FOR AN EFRP?</w:t>
      </w:r>
      <w:r>
        <w:tab/>
      </w:r>
      <w:r>
        <w:fldChar w:fldCharType="begin"/>
      </w:r>
      <w:r>
        <w:instrText xml:space="preserve"> PAGEREF _Toc465175556 \h </w:instrText>
      </w:r>
      <w:r>
        <w:fldChar w:fldCharType="separate"/>
      </w:r>
      <w:r w:rsidR="00B50A1E">
        <w:t>19</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28</w:t>
      </w:r>
      <w:r>
        <w:t xml:space="preserve"> what aRE THE REporting requirements for an efrp?</w:t>
      </w:r>
      <w:r>
        <w:tab/>
      </w:r>
      <w:r>
        <w:fldChar w:fldCharType="begin"/>
      </w:r>
      <w:r>
        <w:instrText xml:space="preserve"> PAGEREF _Toc465175557 \h </w:instrText>
      </w:r>
      <w:r>
        <w:fldChar w:fldCharType="separate"/>
      </w:r>
      <w:r w:rsidR="00B50A1E">
        <w:t>20</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29</w:t>
      </w:r>
      <w:r>
        <w:t xml:space="preserve"> WHAT RECORDKEEPING REQUIREMENTS ARE REQUIRED FOR AN EFRP?</w:t>
      </w:r>
      <w:r>
        <w:tab/>
      </w:r>
      <w:r>
        <w:fldChar w:fldCharType="begin"/>
      </w:r>
      <w:r>
        <w:instrText xml:space="preserve"> PAGEREF _Toc465175558 \h </w:instrText>
      </w:r>
      <w:r>
        <w:fldChar w:fldCharType="separate"/>
      </w:r>
      <w:r w:rsidR="00B50A1E">
        <w:t>21</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lastRenderedPageBreak/>
        <w:t>30</w:t>
      </w:r>
      <w:r>
        <w:t xml:space="preserve"> DO EFRP TRANSACTIONS BETWEEN ACCOUNTS OF AFFILIATED PARTIES</w:t>
      </w:r>
      <w:r w:rsidR="00445D4F">
        <w:br/>
      </w:r>
      <w:r>
        <w:t xml:space="preserve"> CONSISTUTE A WASH TRADE?</w:t>
      </w:r>
      <w:r>
        <w:tab/>
      </w:r>
      <w:r>
        <w:fldChar w:fldCharType="begin"/>
      </w:r>
      <w:r>
        <w:instrText xml:space="preserve"> PAGEREF _Toc465175559 \h </w:instrText>
      </w:r>
      <w:r>
        <w:fldChar w:fldCharType="separate"/>
      </w:r>
      <w:r w:rsidR="00B50A1E">
        <w:t>21</w:t>
      </w:r>
      <w:r>
        <w:fldChar w:fldCharType="end"/>
      </w:r>
    </w:p>
    <w:p w:rsidR="00552D48" w:rsidRDefault="00552D48">
      <w:pPr>
        <w:pStyle w:val="TOC1"/>
        <w:rPr>
          <w:rFonts w:asciiTheme="minorHAnsi" w:hAnsiTheme="minorHAnsi" w:cstheme="minorBidi"/>
          <w:b w:val="0"/>
          <w:bCs w:val="0"/>
          <w:caps w:val="0"/>
          <w:color w:val="auto"/>
          <w:sz w:val="22"/>
        </w:rPr>
      </w:pPr>
      <w:r w:rsidRPr="00717692">
        <w:rPr>
          <w:color w:val="auto"/>
        </w:rPr>
        <w:t>31</w:t>
      </w:r>
      <w:r>
        <w:t xml:space="preserve"> WHAT TYPE OF DOCUMENTATION MAY BE REQUIRED BY NFX REGULATIONS</w:t>
      </w:r>
      <w:r w:rsidR="00445D4F">
        <w:br/>
      </w:r>
      <w:r>
        <w:t xml:space="preserve"> REGARDING AN EFRP?</w:t>
      </w:r>
      <w:r>
        <w:tab/>
      </w:r>
      <w:r>
        <w:fldChar w:fldCharType="begin"/>
      </w:r>
      <w:r>
        <w:instrText xml:space="preserve"> PAGEREF _Toc465175560 \h </w:instrText>
      </w:r>
      <w:r>
        <w:fldChar w:fldCharType="separate"/>
      </w:r>
      <w:r w:rsidR="00B50A1E">
        <w:t>21</w:t>
      </w:r>
      <w:r>
        <w:fldChar w:fldCharType="end"/>
      </w:r>
    </w:p>
    <w:p w:rsidR="007A789D" w:rsidRPr="00102C8D" w:rsidRDefault="00653EB7" w:rsidP="00B203D1">
      <w:pPr>
        <w:pStyle w:val="Heading1"/>
        <w:numPr>
          <w:ilvl w:val="0"/>
          <w:numId w:val="0"/>
        </w:numPr>
        <w:spacing w:before="0"/>
        <w:ind w:left="-720"/>
        <w:rPr>
          <w:rFonts w:asciiTheme="minorHAnsi" w:eastAsia="SimSun" w:hAnsiTheme="minorHAnsi"/>
          <w:szCs w:val="22"/>
        </w:rPr>
      </w:pPr>
      <w:r w:rsidRPr="00102C8D">
        <w:rPr>
          <w:rFonts w:asciiTheme="minorHAnsi" w:eastAsia="SimSun" w:hAnsiTheme="minorHAnsi"/>
          <w:szCs w:val="22"/>
        </w:rPr>
        <w:fldChar w:fldCharType="end"/>
      </w:r>
    </w:p>
    <w:p w:rsidR="00593DD6" w:rsidRPr="00102C8D" w:rsidRDefault="00593DD6" w:rsidP="00593DD6">
      <w:pPr>
        <w:rPr>
          <w:rFonts w:eastAsia="Arial"/>
        </w:rPr>
      </w:pPr>
    </w:p>
    <w:p w:rsidR="00593DD6" w:rsidRPr="00102C8D" w:rsidRDefault="00593DD6" w:rsidP="00593DD6">
      <w:pPr>
        <w:rPr>
          <w:rFonts w:eastAsia="Arial"/>
        </w:rPr>
      </w:pPr>
    </w:p>
    <w:p w:rsidR="00593DD6" w:rsidRPr="00102C8D" w:rsidRDefault="00593DD6" w:rsidP="00593DD6">
      <w:pPr>
        <w:rPr>
          <w:rFonts w:eastAsia="Arial"/>
        </w:rPr>
      </w:pPr>
    </w:p>
    <w:p w:rsidR="00593DD6" w:rsidRPr="00102C8D" w:rsidRDefault="00593DD6" w:rsidP="00593DD6">
      <w:pPr>
        <w:rPr>
          <w:rFonts w:eastAsia="Arial"/>
        </w:rPr>
      </w:pPr>
    </w:p>
    <w:p w:rsidR="00CF00C1" w:rsidRPr="00102C8D" w:rsidRDefault="00CF00C1">
      <w:pPr>
        <w:spacing w:line="240" w:lineRule="auto"/>
        <w:rPr>
          <w:rFonts w:eastAsia="Arial"/>
        </w:rPr>
      </w:pPr>
      <w:r w:rsidRPr="00102C8D">
        <w:rPr>
          <w:rFonts w:eastAsia="Arial"/>
        </w:rPr>
        <w:br w:type="page"/>
      </w:r>
    </w:p>
    <w:p w:rsidR="00D46B14" w:rsidRPr="00102C8D" w:rsidRDefault="00EA1569" w:rsidP="00755934">
      <w:pPr>
        <w:pStyle w:val="Heading1"/>
        <w:numPr>
          <w:ilvl w:val="0"/>
          <w:numId w:val="12"/>
        </w:numPr>
        <w:rPr>
          <w:color w:val="auto"/>
        </w:rPr>
      </w:pPr>
      <w:r w:rsidRPr="00102C8D">
        <w:rPr>
          <w:color w:val="auto"/>
        </w:rPr>
        <w:lastRenderedPageBreak/>
        <w:t xml:space="preserve"> </w:t>
      </w:r>
      <w:bookmarkStart w:id="1" w:name="_Toc465175530"/>
      <w:r w:rsidR="00A271DB" w:rsidRPr="00102C8D">
        <w:rPr>
          <w:color w:val="auto"/>
        </w:rPr>
        <w:t>introduction</w:t>
      </w:r>
      <w:bookmarkEnd w:id="1"/>
    </w:p>
    <w:p w:rsidR="00A271DB" w:rsidRPr="00111528" w:rsidRDefault="00A230FE" w:rsidP="00A271DB">
      <w:pPr>
        <w:tabs>
          <w:tab w:val="left" w:pos="0"/>
        </w:tabs>
        <w:spacing w:line="276" w:lineRule="auto"/>
        <w:rPr>
          <w:rFonts w:asciiTheme="minorHAnsi" w:eastAsia="Arial" w:hAnsiTheme="minorHAnsi"/>
          <w:sz w:val="22"/>
          <w:szCs w:val="22"/>
        </w:rPr>
      </w:pPr>
      <w:r w:rsidRPr="00A230FE">
        <w:rPr>
          <w:rFonts w:asciiTheme="minorHAnsi" w:eastAsia="Arial" w:hAnsiTheme="minorHAnsi"/>
          <w:sz w:val="22"/>
          <w:szCs w:val="22"/>
        </w:rPr>
        <w:t>The Exchange’s Rules currently permit the following Off-Exchange Transactions: Block Trades and Exchange For Related Position (“EFRP”) transactions.  This Reference Guides seeks to provide information and guidance on these types of Off-Exchange Transactions.</w:t>
      </w:r>
      <w:r w:rsidR="00A271DB" w:rsidRPr="00111528">
        <w:rPr>
          <w:rFonts w:asciiTheme="minorHAnsi" w:eastAsia="Arial" w:hAnsiTheme="minorHAnsi"/>
          <w:sz w:val="22"/>
          <w:szCs w:val="22"/>
        </w:rPr>
        <w:t xml:space="preserve"> </w:t>
      </w:r>
    </w:p>
    <w:p w:rsidR="002A4EF2" w:rsidRPr="00A91171" w:rsidRDefault="002A4EF2" w:rsidP="00A271DB">
      <w:pPr>
        <w:tabs>
          <w:tab w:val="left" w:pos="0"/>
        </w:tabs>
        <w:spacing w:line="276" w:lineRule="auto"/>
        <w:rPr>
          <w:rFonts w:asciiTheme="minorHAnsi" w:eastAsia="Arial" w:hAnsiTheme="minorHAnsi"/>
          <w:sz w:val="22"/>
          <w:szCs w:val="22"/>
        </w:rPr>
      </w:pPr>
    </w:p>
    <w:p w:rsidR="00EA1569" w:rsidRPr="006321C1" w:rsidRDefault="006321C1" w:rsidP="00A230FE">
      <w:pPr>
        <w:pStyle w:val="Heading1"/>
        <w:numPr>
          <w:ilvl w:val="0"/>
          <w:numId w:val="11"/>
        </w:numPr>
      </w:pPr>
      <w:r>
        <w:t xml:space="preserve"> </w:t>
      </w:r>
      <w:bookmarkStart w:id="2" w:name="_Toc465175531"/>
      <w:r w:rsidR="00A230FE" w:rsidRPr="00A230FE">
        <w:t>NFX CONTACT INFORMATION</w:t>
      </w:r>
      <w:bookmarkEnd w:id="2"/>
    </w:p>
    <w:tbl>
      <w:tblPr>
        <w:tblStyle w:val="NLXStx"/>
        <w:tblW w:w="5000" w:type="pct"/>
        <w:tblBorders>
          <w:top w:val="single" w:sz="4" w:space="0" w:color="009FC3"/>
          <w:left w:val="single" w:sz="4" w:space="0" w:color="009FC3"/>
          <w:bottom w:val="single" w:sz="4" w:space="0" w:color="009FC3"/>
          <w:right w:val="single" w:sz="4" w:space="0" w:color="009FC3"/>
          <w:insideH w:val="single" w:sz="4" w:space="0" w:color="009FC3"/>
          <w:insideV w:val="single" w:sz="4" w:space="0" w:color="009FC3"/>
        </w:tblBorders>
        <w:tblLook w:val="04A0" w:firstRow="1" w:lastRow="0" w:firstColumn="1" w:lastColumn="0" w:noHBand="0" w:noVBand="1"/>
      </w:tblPr>
      <w:tblGrid>
        <w:gridCol w:w="1326"/>
        <w:gridCol w:w="3842"/>
        <w:gridCol w:w="2815"/>
        <w:gridCol w:w="1793"/>
      </w:tblGrid>
      <w:tr w:rsidR="00A230FE" w:rsidTr="00A077FF">
        <w:trPr>
          <w:cnfStyle w:val="100000000000" w:firstRow="1" w:lastRow="0" w:firstColumn="0" w:lastColumn="0" w:oddVBand="0" w:evenVBand="0" w:oddHBand="0" w:evenHBand="0" w:firstRowFirstColumn="0" w:firstRowLastColumn="0" w:lastRowFirstColumn="0" w:lastRowLastColumn="0"/>
        </w:trPr>
        <w:tc>
          <w:tcPr>
            <w:tcW w:w="678" w:type="pct"/>
            <w:shd w:val="clear" w:color="auto" w:fill="009FC3"/>
          </w:tcPr>
          <w:p w:rsidR="00A230FE" w:rsidRDefault="00A230FE" w:rsidP="00A077FF">
            <w:pPr>
              <w:jc w:val="center"/>
            </w:pPr>
            <w:r>
              <w:t>Contact</w:t>
            </w:r>
          </w:p>
        </w:tc>
        <w:tc>
          <w:tcPr>
            <w:tcW w:w="1965" w:type="pct"/>
            <w:shd w:val="clear" w:color="auto" w:fill="009FC3"/>
          </w:tcPr>
          <w:p w:rsidR="00A230FE" w:rsidRDefault="00A230FE" w:rsidP="00A077FF">
            <w:pPr>
              <w:jc w:val="center"/>
            </w:pPr>
            <w:r>
              <w:t>Description</w:t>
            </w:r>
          </w:p>
        </w:tc>
        <w:tc>
          <w:tcPr>
            <w:tcW w:w="1440" w:type="pct"/>
            <w:shd w:val="clear" w:color="auto" w:fill="009FC3"/>
          </w:tcPr>
          <w:p w:rsidR="00A230FE" w:rsidRDefault="00A230FE" w:rsidP="00A077FF">
            <w:pPr>
              <w:jc w:val="center"/>
            </w:pPr>
            <w:r>
              <w:t>Email</w:t>
            </w:r>
          </w:p>
        </w:tc>
        <w:tc>
          <w:tcPr>
            <w:tcW w:w="917" w:type="pct"/>
            <w:shd w:val="clear" w:color="auto" w:fill="009FC3"/>
          </w:tcPr>
          <w:p w:rsidR="00A230FE" w:rsidRDefault="00A230FE" w:rsidP="00A077FF">
            <w:pPr>
              <w:jc w:val="center"/>
            </w:pPr>
            <w:r>
              <w:t>Phone</w:t>
            </w:r>
          </w:p>
        </w:tc>
      </w:tr>
      <w:tr w:rsidR="00A230FE" w:rsidTr="00A077FF">
        <w:trPr>
          <w:cnfStyle w:val="000000100000" w:firstRow="0" w:lastRow="0" w:firstColumn="0" w:lastColumn="0" w:oddVBand="0" w:evenVBand="0" w:oddHBand="1" w:evenHBand="0" w:firstRowFirstColumn="0" w:firstRowLastColumn="0" w:lastRowFirstColumn="0" w:lastRowLastColumn="0"/>
        </w:trPr>
        <w:tc>
          <w:tcPr>
            <w:tcW w:w="678" w:type="pct"/>
            <w:vAlign w:val="top"/>
          </w:tcPr>
          <w:p w:rsidR="00A230FE" w:rsidRPr="00893D5B" w:rsidRDefault="00A230FE" w:rsidP="00A077FF">
            <w:pPr>
              <w:jc w:val="center"/>
              <w:rPr>
                <w:b/>
              </w:rPr>
            </w:pPr>
            <w:r w:rsidRPr="00893D5B">
              <w:rPr>
                <w:b/>
              </w:rPr>
              <w:t>Sales</w:t>
            </w:r>
          </w:p>
        </w:tc>
        <w:tc>
          <w:tcPr>
            <w:tcW w:w="1965" w:type="pct"/>
            <w:vAlign w:val="bottom"/>
          </w:tcPr>
          <w:p w:rsidR="00A230FE" w:rsidRDefault="00A230FE" w:rsidP="00A077FF">
            <w:pPr>
              <w:jc w:val="center"/>
            </w:pPr>
          </w:p>
        </w:tc>
        <w:tc>
          <w:tcPr>
            <w:tcW w:w="1440" w:type="pct"/>
            <w:vAlign w:val="bottom"/>
          </w:tcPr>
          <w:p w:rsidR="00A230FE" w:rsidRPr="00893D5B" w:rsidRDefault="00821531" w:rsidP="00A077FF">
            <w:pPr>
              <w:jc w:val="center"/>
              <w:rPr>
                <w:rStyle w:val="Hyperlink"/>
                <w:rFonts w:asciiTheme="minorHAnsi" w:hAnsiTheme="minorHAnsi"/>
                <w:spacing w:val="0"/>
                <w:sz w:val="16"/>
                <w:szCs w:val="16"/>
              </w:rPr>
            </w:pPr>
            <w:hyperlink r:id="rId19" w:history="1">
              <w:r w:rsidR="00A230FE" w:rsidRPr="00893D5B">
                <w:rPr>
                  <w:rStyle w:val="Hyperlink"/>
                  <w:rFonts w:asciiTheme="minorHAnsi" w:hAnsiTheme="minorHAnsi"/>
                  <w:spacing w:val="0"/>
                  <w:sz w:val="16"/>
                  <w:szCs w:val="16"/>
                </w:rPr>
                <w:t>futures@nasdaq.com</w:t>
              </w:r>
            </w:hyperlink>
          </w:p>
        </w:tc>
        <w:tc>
          <w:tcPr>
            <w:tcW w:w="917" w:type="pct"/>
          </w:tcPr>
          <w:p w:rsidR="00A230FE" w:rsidRPr="00893D5B" w:rsidRDefault="00A230FE" w:rsidP="00A077FF">
            <w:pPr>
              <w:jc w:val="center"/>
              <w:rPr>
                <w:rFonts w:asciiTheme="minorHAnsi" w:hAnsiTheme="minorHAnsi"/>
                <w:sz w:val="16"/>
                <w:szCs w:val="16"/>
              </w:rPr>
            </w:pPr>
            <w:r w:rsidRPr="00893D5B">
              <w:rPr>
                <w:rFonts w:asciiTheme="minorHAnsi" w:hAnsiTheme="minorHAnsi"/>
                <w:sz w:val="16"/>
                <w:szCs w:val="16"/>
              </w:rPr>
              <w:t>+1 (832) 453-2603</w:t>
            </w:r>
          </w:p>
        </w:tc>
      </w:tr>
      <w:tr w:rsidR="00A230FE" w:rsidTr="00A077FF">
        <w:tc>
          <w:tcPr>
            <w:tcW w:w="678" w:type="pct"/>
            <w:vAlign w:val="top"/>
          </w:tcPr>
          <w:p w:rsidR="00A230FE" w:rsidRPr="00893D5B" w:rsidRDefault="00A230FE" w:rsidP="00A077FF">
            <w:pPr>
              <w:jc w:val="center"/>
              <w:rPr>
                <w:b/>
              </w:rPr>
            </w:pPr>
            <w:r w:rsidRPr="00893D5B">
              <w:rPr>
                <w:b/>
              </w:rPr>
              <w:t>Onboarding Team</w:t>
            </w:r>
          </w:p>
        </w:tc>
        <w:tc>
          <w:tcPr>
            <w:tcW w:w="1965" w:type="pct"/>
            <w:vAlign w:val="bottom"/>
          </w:tcPr>
          <w:p w:rsidR="00A230FE" w:rsidRPr="00D20107" w:rsidRDefault="00A230FE" w:rsidP="00A077FF">
            <w:pPr>
              <w:jc w:val="center"/>
              <w:rPr>
                <w:rFonts w:asciiTheme="minorHAnsi" w:hAnsiTheme="minorHAnsi"/>
                <w:sz w:val="16"/>
                <w:szCs w:val="16"/>
              </w:rPr>
            </w:pPr>
            <w:r>
              <w:rPr>
                <w:rFonts w:asciiTheme="minorHAnsi" w:hAnsiTheme="minorHAnsi"/>
                <w:sz w:val="16"/>
                <w:szCs w:val="16"/>
              </w:rPr>
              <w:t>General questions, new customers, and onboarding support</w:t>
            </w:r>
          </w:p>
        </w:tc>
        <w:tc>
          <w:tcPr>
            <w:tcW w:w="1440" w:type="pct"/>
            <w:vAlign w:val="bottom"/>
          </w:tcPr>
          <w:p w:rsidR="00A230FE" w:rsidRPr="00893D5B" w:rsidRDefault="00821531" w:rsidP="00A077FF">
            <w:pPr>
              <w:jc w:val="center"/>
              <w:rPr>
                <w:rStyle w:val="Hyperlink"/>
                <w:rFonts w:asciiTheme="minorHAnsi" w:hAnsiTheme="minorHAnsi"/>
                <w:spacing w:val="0"/>
                <w:sz w:val="16"/>
              </w:rPr>
            </w:pPr>
            <w:hyperlink r:id="rId20" w:history="1">
              <w:r w:rsidR="00A230FE" w:rsidRPr="00893D5B">
                <w:rPr>
                  <w:rStyle w:val="Hyperlink"/>
                  <w:rFonts w:asciiTheme="minorHAnsi" w:hAnsiTheme="minorHAnsi"/>
                  <w:spacing w:val="0"/>
                  <w:sz w:val="16"/>
                  <w:szCs w:val="16"/>
                </w:rPr>
                <w:t>nfxonboarding@nasdaq.com</w:t>
              </w:r>
            </w:hyperlink>
          </w:p>
        </w:tc>
        <w:tc>
          <w:tcPr>
            <w:tcW w:w="917" w:type="pct"/>
          </w:tcPr>
          <w:p w:rsidR="00A230FE" w:rsidRPr="00893D5B" w:rsidRDefault="00A230FE" w:rsidP="00A077FF">
            <w:pPr>
              <w:jc w:val="center"/>
              <w:rPr>
                <w:rFonts w:asciiTheme="minorHAnsi" w:hAnsiTheme="minorHAnsi"/>
                <w:sz w:val="16"/>
                <w:szCs w:val="16"/>
              </w:rPr>
            </w:pPr>
            <w:r w:rsidRPr="00893D5B">
              <w:rPr>
                <w:rFonts w:asciiTheme="minorHAnsi" w:hAnsiTheme="minorHAnsi"/>
                <w:sz w:val="16"/>
                <w:szCs w:val="16"/>
              </w:rPr>
              <w:t>+1 (267) 353-0032</w:t>
            </w:r>
          </w:p>
        </w:tc>
      </w:tr>
      <w:tr w:rsidR="00A230FE" w:rsidTr="00A077FF">
        <w:trPr>
          <w:cnfStyle w:val="000000100000" w:firstRow="0" w:lastRow="0" w:firstColumn="0" w:lastColumn="0" w:oddVBand="0" w:evenVBand="0" w:oddHBand="1" w:evenHBand="0" w:firstRowFirstColumn="0" w:firstRowLastColumn="0" w:lastRowFirstColumn="0" w:lastRowLastColumn="0"/>
        </w:trPr>
        <w:tc>
          <w:tcPr>
            <w:tcW w:w="678" w:type="pct"/>
            <w:vAlign w:val="top"/>
          </w:tcPr>
          <w:p w:rsidR="00A230FE" w:rsidRPr="00893D5B" w:rsidRDefault="00A230FE" w:rsidP="00A077FF">
            <w:pPr>
              <w:jc w:val="center"/>
              <w:rPr>
                <w:b/>
              </w:rPr>
            </w:pPr>
            <w:r w:rsidRPr="00893D5B">
              <w:rPr>
                <w:b/>
              </w:rPr>
              <w:t>Market Operations</w:t>
            </w:r>
          </w:p>
        </w:tc>
        <w:tc>
          <w:tcPr>
            <w:tcW w:w="1965" w:type="pct"/>
            <w:vAlign w:val="bottom"/>
          </w:tcPr>
          <w:p w:rsidR="00A230FE" w:rsidRPr="00D20107" w:rsidRDefault="00A230FE" w:rsidP="00A077FF">
            <w:pPr>
              <w:jc w:val="center"/>
              <w:rPr>
                <w:rFonts w:asciiTheme="minorHAnsi" w:hAnsiTheme="minorHAnsi"/>
                <w:sz w:val="16"/>
                <w:szCs w:val="16"/>
              </w:rPr>
            </w:pPr>
            <w:r>
              <w:rPr>
                <w:rFonts w:asciiTheme="minorHAnsi" w:hAnsiTheme="minorHAnsi"/>
                <w:sz w:val="16"/>
                <w:szCs w:val="16"/>
              </w:rPr>
              <w:t>Trade support for NFX production and test systems</w:t>
            </w:r>
          </w:p>
        </w:tc>
        <w:tc>
          <w:tcPr>
            <w:tcW w:w="1440" w:type="pct"/>
            <w:vAlign w:val="bottom"/>
          </w:tcPr>
          <w:p w:rsidR="00A230FE" w:rsidRPr="00D20107" w:rsidRDefault="00821531" w:rsidP="00A077FF">
            <w:pPr>
              <w:jc w:val="center"/>
              <w:rPr>
                <w:rFonts w:asciiTheme="minorHAnsi" w:hAnsiTheme="minorHAnsi"/>
                <w:sz w:val="16"/>
                <w:szCs w:val="16"/>
              </w:rPr>
            </w:pPr>
            <w:hyperlink r:id="rId21" w:history="1">
              <w:r w:rsidR="00A230FE" w:rsidRPr="000061FE">
                <w:rPr>
                  <w:rStyle w:val="Hyperlink"/>
                  <w:rFonts w:asciiTheme="minorHAnsi" w:hAnsiTheme="minorHAnsi"/>
                  <w:spacing w:val="0"/>
                  <w:sz w:val="16"/>
                  <w:szCs w:val="16"/>
                </w:rPr>
                <w:t>nfxops@nasdaq.com</w:t>
              </w:r>
            </w:hyperlink>
          </w:p>
        </w:tc>
        <w:tc>
          <w:tcPr>
            <w:tcW w:w="917" w:type="pct"/>
          </w:tcPr>
          <w:p w:rsidR="00A230FE" w:rsidRPr="00893D5B" w:rsidRDefault="00A230FE" w:rsidP="00A077FF">
            <w:pPr>
              <w:jc w:val="center"/>
              <w:rPr>
                <w:rFonts w:asciiTheme="minorHAnsi" w:hAnsiTheme="minorHAnsi"/>
                <w:sz w:val="16"/>
                <w:szCs w:val="16"/>
              </w:rPr>
            </w:pPr>
            <w:r w:rsidRPr="00893D5B">
              <w:rPr>
                <w:rFonts w:asciiTheme="minorHAnsi" w:hAnsiTheme="minorHAnsi"/>
                <w:sz w:val="16"/>
                <w:szCs w:val="16"/>
              </w:rPr>
              <w:t>+1 (800) 846-0477</w:t>
            </w:r>
          </w:p>
        </w:tc>
      </w:tr>
      <w:tr w:rsidR="00A230FE" w:rsidTr="00A077FF">
        <w:tc>
          <w:tcPr>
            <w:tcW w:w="678" w:type="pct"/>
            <w:vAlign w:val="top"/>
          </w:tcPr>
          <w:p w:rsidR="00A230FE" w:rsidRPr="00893D5B" w:rsidRDefault="00A230FE" w:rsidP="00A077FF">
            <w:pPr>
              <w:jc w:val="center"/>
              <w:rPr>
                <w:b/>
              </w:rPr>
            </w:pPr>
            <w:r w:rsidRPr="00893D5B">
              <w:rPr>
                <w:b/>
              </w:rPr>
              <w:t>Technical Support</w:t>
            </w:r>
          </w:p>
        </w:tc>
        <w:tc>
          <w:tcPr>
            <w:tcW w:w="1965" w:type="pct"/>
            <w:vAlign w:val="bottom"/>
          </w:tcPr>
          <w:p w:rsidR="00A230FE" w:rsidRPr="00D20107" w:rsidRDefault="00A230FE" w:rsidP="00A077FF">
            <w:pPr>
              <w:jc w:val="center"/>
              <w:rPr>
                <w:rFonts w:asciiTheme="minorHAnsi" w:hAnsiTheme="minorHAnsi"/>
                <w:sz w:val="16"/>
                <w:szCs w:val="16"/>
              </w:rPr>
            </w:pPr>
            <w:r>
              <w:rPr>
                <w:rFonts w:asciiTheme="minorHAnsi" w:hAnsiTheme="minorHAnsi"/>
                <w:sz w:val="16"/>
                <w:szCs w:val="16"/>
              </w:rPr>
              <w:t>Support and questions on connectivity, FIX, and ITCH for the NFX production or test systems and certification support</w:t>
            </w:r>
          </w:p>
        </w:tc>
        <w:tc>
          <w:tcPr>
            <w:tcW w:w="1440" w:type="pct"/>
            <w:vAlign w:val="bottom"/>
          </w:tcPr>
          <w:p w:rsidR="00A230FE" w:rsidRPr="00D20107" w:rsidRDefault="00821531" w:rsidP="00A077FF">
            <w:pPr>
              <w:jc w:val="center"/>
              <w:rPr>
                <w:rFonts w:asciiTheme="minorHAnsi" w:hAnsiTheme="minorHAnsi"/>
                <w:sz w:val="16"/>
                <w:szCs w:val="16"/>
              </w:rPr>
            </w:pPr>
            <w:hyperlink r:id="rId22" w:history="1">
              <w:r w:rsidR="00A230FE" w:rsidRPr="000061FE">
                <w:rPr>
                  <w:rStyle w:val="Hyperlink"/>
                  <w:rFonts w:asciiTheme="minorHAnsi" w:hAnsiTheme="minorHAnsi"/>
                  <w:spacing w:val="0"/>
                  <w:sz w:val="16"/>
                  <w:szCs w:val="16"/>
                </w:rPr>
                <w:t>technicalsupport@nasdaq.com</w:t>
              </w:r>
            </w:hyperlink>
          </w:p>
        </w:tc>
        <w:tc>
          <w:tcPr>
            <w:tcW w:w="917" w:type="pct"/>
          </w:tcPr>
          <w:p w:rsidR="00A230FE" w:rsidRPr="00893D5B" w:rsidRDefault="00A230FE" w:rsidP="00A077FF">
            <w:pPr>
              <w:jc w:val="center"/>
              <w:rPr>
                <w:rFonts w:asciiTheme="minorHAnsi" w:hAnsiTheme="minorHAnsi"/>
                <w:sz w:val="16"/>
                <w:szCs w:val="16"/>
              </w:rPr>
            </w:pPr>
            <w:r w:rsidRPr="00893D5B">
              <w:rPr>
                <w:rFonts w:asciiTheme="minorHAnsi" w:hAnsiTheme="minorHAnsi"/>
                <w:sz w:val="16"/>
                <w:szCs w:val="16"/>
              </w:rPr>
              <w:t>+1 (212) 231-5990</w:t>
            </w:r>
          </w:p>
        </w:tc>
      </w:tr>
      <w:tr w:rsidR="00A230FE" w:rsidTr="00A077FF">
        <w:trPr>
          <w:cnfStyle w:val="000000100000" w:firstRow="0" w:lastRow="0" w:firstColumn="0" w:lastColumn="0" w:oddVBand="0" w:evenVBand="0" w:oddHBand="1" w:evenHBand="0" w:firstRowFirstColumn="0" w:firstRowLastColumn="0" w:lastRowFirstColumn="0" w:lastRowLastColumn="0"/>
        </w:trPr>
        <w:tc>
          <w:tcPr>
            <w:tcW w:w="678" w:type="pct"/>
            <w:vAlign w:val="top"/>
          </w:tcPr>
          <w:p w:rsidR="00A230FE" w:rsidRPr="00893D5B" w:rsidRDefault="00A230FE" w:rsidP="00A077FF">
            <w:pPr>
              <w:jc w:val="center"/>
              <w:rPr>
                <w:b/>
              </w:rPr>
            </w:pPr>
            <w:r w:rsidRPr="00893D5B">
              <w:rPr>
                <w:b/>
              </w:rPr>
              <w:t>OCC</w:t>
            </w:r>
          </w:p>
        </w:tc>
        <w:tc>
          <w:tcPr>
            <w:tcW w:w="1965" w:type="pct"/>
            <w:vAlign w:val="bottom"/>
          </w:tcPr>
          <w:p w:rsidR="00A230FE" w:rsidRPr="00D20107" w:rsidRDefault="00A230FE" w:rsidP="00A077FF">
            <w:pPr>
              <w:jc w:val="center"/>
              <w:rPr>
                <w:rFonts w:asciiTheme="minorHAnsi" w:hAnsiTheme="minorHAnsi"/>
                <w:sz w:val="16"/>
                <w:szCs w:val="16"/>
              </w:rPr>
            </w:pPr>
            <w:r>
              <w:rPr>
                <w:rFonts w:asciiTheme="minorHAnsi" w:hAnsiTheme="minorHAnsi"/>
                <w:sz w:val="16"/>
                <w:szCs w:val="16"/>
              </w:rPr>
              <w:t>Member services for the clearing house</w:t>
            </w:r>
          </w:p>
        </w:tc>
        <w:tc>
          <w:tcPr>
            <w:tcW w:w="1440" w:type="pct"/>
            <w:vAlign w:val="bottom"/>
          </w:tcPr>
          <w:p w:rsidR="00A230FE" w:rsidRPr="00D20107" w:rsidRDefault="00821531" w:rsidP="00A077FF">
            <w:pPr>
              <w:jc w:val="center"/>
              <w:rPr>
                <w:rFonts w:asciiTheme="minorHAnsi" w:hAnsiTheme="minorHAnsi"/>
                <w:sz w:val="16"/>
                <w:szCs w:val="16"/>
              </w:rPr>
            </w:pPr>
            <w:hyperlink r:id="rId23" w:history="1">
              <w:r w:rsidR="00A230FE" w:rsidRPr="000061FE">
                <w:rPr>
                  <w:rStyle w:val="Hyperlink"/>
                  <w:rFonts w:asciiTheme="minorHAnsi" w:hAnsiTheme="minorHAnsi"/>
                  <w:spacing w:val="0"/>
                  <w:sz w:val="16"/>
                  <w:szCs w:val="16"/>
                </w:rPr>
                <w:t>memberservices@theocc.com</w:t>
              </w:r>
            </w:hyperlink>
          </w:p>
        </w:tc>
        <w:tc>
          <w:tcPr>
            <w:tcW w:w="917" w:type="pct"/>
          </w:tcPr>
          <w:p w:rsidR="00A230FE" w:rsidRPr="00893D5B" w:rsidRDefault="00A230FE" w:rsidP="00A077FF">
            <w:pPr>
              <w:jc w:val="center"/>
              <w:rPr>
                <w:rFonts w:asciiTheme="minorHAnsi" w:hAnsiTheme="minorHAnsi"/>
                <w:sz w:val="16"/>
                <w:szCs w:val="16"/>
              </w:rPr>
            </w:pPr>
            <w:r w:rsidRPr="00893D5B">
              <w:rPr>
                <w:rFonts w:asciiTheme="minorHAnsi" w:hAnsiTheme="minorHAnsi"/>
                <w:sz w:val="16"/>
                <w:szCs w:val="16"/>
              </w:rPr>
              <w:t>+1 (800) 621-6072</w:t>
            </w:r>
          </w:p>
        </w:tc>
      </w:tr>
    </w:tbl>
    <w:p w:rsidR="00A230FE" w:rsidRDefault="00A230FE" w:rsidP="00D46B14">
      <w:pPr>
        <w:rPr>
          <w:rFonts w:asciiTheme="minorHAnsi" w:hAnsiTheme="minorHAnsi"/>
          <w:sz w:val="22"/>
          <w:szCs w:val="22"/>
        </w:rPr>
      </w:pPr>
    </w:p>
    <w:p w:rsidR="00A230FE" w:rsidRPr="006321C1" w:rsidRDefault="00A230FE" w:rsidP="00A230FE">
      <w:pPr>
        <w:pStyle w:val="Heading1"/>
        <w:numPr>
          <w:ilvl w:val="0"/>
          <w:numId w:val="11"/>
        </w:numPr>
      </w:pPr>
      <w:r>
        <w:t xml:space="preserve"> </w:t>
      </w:r>
      <w:bookmarkStart w:id="3" w:name="_Toc465175532"/>
      <w:r w:rsidRPr="00A230FE">
        <w:t>WHAT IS A BLOCK TRADE?</w:t>
      </w:r>
      <w:bookmarkEnd w:id="3"/>
    </w:p>
    <w:p w:rsidR="00A230FE" w:rsidRPr="00A230FE" w:rsidRDefault="00A230FE" w:rsidP="00A230FE">
      <w:pPr>
        <w:rPr>
          <w:rFonts w:asciiTheme="minorHAnsi" w:hAnsiTheme="minorHAnsi"/>
          <w:sz w:val="22"/>
          <w:szCs w:val="22"/>
        </w:rPr>
      </w:pPr>
      <w:r w:rsidRPr="00A230FE">
        <w:rPr>
          <w:rFonts w:asciiTheme="minorHAnsi" w:hAnsiTheme="minorHAnsi"/>
          <w:sz w:val="22"/>
          <w:szCs w:val="22"/>
        </w:rPr>
        <w:t>Block Trades are permissible, noncompetitive, privately negotiated transactions at or in excess of a minimum threshold quantity of contracts, which are executed apart and away from the public auction market (Order Book).  A Block Trade may be a Futures or Options transaction.  The minimum quantity threshold is designated in the contract specifications for each Contract that is eligible for Block Trades. Only Orders of a commodity trading advisor (“CTA”) or foreign Person performing a role or function to a CTA may be aggregated in order to achieve the minimum transaction size, otherwise Orders may not be aggregated. See NFX Rules at Chapter IV, Section 11.</w:t>
      </w:r>
    </w:p>
    <w:p w:rsidR="00A230FE" w:rsidRPr="00A230FE" w:rsidRDefault="00A230FE" w:rsidP="00A230FE">
      <w:pPr>
        <w:rPr>
          <w:rFonts w:asciiTheme="minorHAnsi" w:hAnsiTheme="minorHAnsi"/>
          <w:sz w:val="22"/>
          <w:szCs w:val="22"/>
        </w:rPr>
      </w:pPr>
    </w:p>
    <w:p w:rsidR="00A230FE" w:rsidRPr="00A230FE" w:rsidRDefault="00A230FE" w:rsidP="00A230FE">
      <w:pPr>
        <w:rPr>
          <w:rFonts w:asciiTheme="minorHAnsi" w:hAnsiTheme="minorHAnsi"/>
          <w:sz w:val="22"/>
          <w:szCs w:val="22"/>
        </w:rPr>
      </w:pPr>
      <w:r w:rsidRPr="00A230FE">
        <w:rPr>
          <w:rFonts w:asciiTheme="minorHAnsi" w:hAnsiTheme="minorHAnsi"/>
          <w:sz w:val="22"/>
          <w:szCs w:val="22"/>
        </w:rPr>
        <w:t>Each party to a Block Trade must be an Eligible Contract Participant as that term is defined in Section 1a of the Commodity Exchange Act. A Futures Participant shall not execute any Order by means of a Block Trade for a Customer unless the Customer has specified that the Order be executed as a Block Trade. Block Trades may be executed at any time.</w:t>
      </w:r>
    </w:p>
    <w:p w:rsidR="00A230FE" w:rsidRPr="00A230FE" w:rsidRDefault="00A230FE" w:rsidP="00A230FE">
      <w:pPr>
        <w:rPr>
          <w:rFonts w:asciiTheme="minorHAnsi" w:hAnsiTheme="minorHAnsi"/>
          <w:sz w:val="22"/>
          <w:szCs w:val="22"/>
        </w:rPr>
      </w:pPr>
    </w:p>
    <w:p w:rsidR="00A230FE" w:rsidRPr="00A230FE" w:rsidRDefault="00A230FE" w:rsidP="00A230FE">
      <w:pPr>
        <w:rPr>
          <w:rFonts w:asciiTheme="minorHAnsi" w:hAnsiTheme="minorHAnsi"/>
          <w:sz w:val="22"/>
          <w:szCs w:val="22"/>
        </w:rPr>
      </w:pPr>
    </w:p>
    <w:p w:rsidR="00A230FE" w:rsidRPr="00A230FE" w:rsidRDefault="00A230FE" w:rsidP="00A230FE">
      <w:pPr>
        <w:rPr>
          <w:rFonts w:asciiTheme="minorHAnsi" w:hAnsiTheme="minorHAnsi"/>
          <w:sz w:val="22"/>
          <w:szCs w:val="22"/>
        </w:rPr>
      </w:pPr>
      <w:r w:rsidRPr="00A230FE">
        <w:rPr>
          <w:rFonts w:asciiTheme="minorHAnsi" w:hAnsiTheme="minorHAnsi"/>
          <w:sz w:val="22"/>
          <w:szCs w:val="22"/>
        </w:rPr>
        <w:t>More information can be found here:</w:t>
      </w:r>
    </w:p>
    <w:p w:rsidR="00A230FE" w:rsidRPr="00A230FE" w:rsidRDefault="00A230FE" w:rsidP="00A230FE">
      <w:pPr>
        <w:rPr>
          <w:rFonts w:asciiTheme="minorHAnsi" w:hAnsiTheme="minorHAnsi"/>
          <w:sz w:val="22"/>
          <w:szCs w:val="22"/>
        </w:rPr>
      </w:pPr>
    </w:p>
    <w:p w:rsidR="00A230FE" w:rsidRPr="00454A62" w:rsidRDefault="00821531" w:rsidP="00A230FE">
      <w:pPr>
        <w:rPr>
          <w:rFonts w:asciiTheme="minorHAnsi" w:hAnsiTheme="minorHAnsi"/>
          <w:sz w:val="22"/>
          <w:szCs w:val="22"/>
        </w:rPr>
      </w:pPr>
      <w:hyperlink r:id="rId24" w:history="1">
        <w:r w:rsidR="00A230FE" w:rsidRPr="00454A62">
          <w:rPr>
            <w:rStyle w:val="Hyperlink"/>
            <w:rFonts w:asciiTheme="minorHAnsi" w:hAnsiTheme="minorHAnsi"/>
            <w:strike/>
            <w:spacing w:val="0"/>
            <w:sz w:val="22"/>
            <w:szCs w:val="22"/>
          </w:rPr>
          <w:t>www.nasdaqomx.com/transactions/markets/nasdaq-futures/onboarding</w:t>
        </w:r>
      </w:hyperlink>
      <w:r w:rsidR="00A230FE" w:rsidRPr="00454A62">
        <w:rPr>
          <w:rFonts w:asciiTheme="minorHAnsi" w:hAnsiTheme="minorHAnsi"/>
          <w:sz w:val="22"/>
          <w:szCs w:val="22"/>
        </w:rPr>
        <w:t xml:space="preserve"> </w:t>
      </w:r>
      <w:hyperlink r:id="rId25" w:history="1">
        <w:r w:rsidR="00BD347D" w:rsidRPr="00454A62">
          <w:rPr>
            <w:rStyle w:val="Hyperlink"/>
            <w:rFonts w:asciiTheme="minorHAnsi" w:hAnsiTheme="minorHAnsi"/>
            <w:spacing w:val="0"/>
            <w:sz w:val="22"/>
            <w:szCs w:val="22"/>
          </w:rPr>
          <w:t>http://business.nasdaq.com/nasdaq-futures/onboarding</w:t>
        </w:r>
      </w:hyperlink>
      <w:r w:rsidR="00BD347D" w:rsidRPr="00454A62">
        <w:rPr>
          <w:rFonts w:asciiTheme="minorHAnsi" w:hAnsiTheme="minorHAnsi"/>
          <w:sz w:val="22"/>
          <w:szCs w:val="22"/>
        </w:rPr>
        <w:t xml:space="preserve"> </w:t>
      </w:r>
    </w:p>
    <w:p w:rsidR="00A230FE" w:rsidRPr="00454A62" w:rsidRDefault="00A230FE" w:rsidP="00A230FE">
      <w:pPr>
        <w:rPr>
          <w:rFonts w:asciiTheme="minorHAnsi" w:hAnsiTheme="minorHAnsi"/>
          <w:strike/>
          <w:sz w:val="22"/>
          <w:szCs w:val="22"/>
        </w:rPr>
      </w:pPr>
      <w:r w:rsidRPr="00454A62">
        <w:rPr>
          <w:rFonts w:asciiTheme="minorHAnsi" w:hAnsiTheme="minorHAnsi"/>
          <w:strike/>
          <w:sz w:val="22"/>
          <w:szCs w:val="22"/>
        </w:rPr>
        <w:t>or</w:t>
      </w:r>
    </w:p>
    <w:p w:rsidR="00D954E9" w:rsidRPr="00BD347D" w:rsidRDefault="00821531" w:rsidP="00A230FE">
      <w:pPr>
        <w:rPr>
          <w:rFonts w:asciiTheme="minorHAnsi" w:hAnsiTheme="minorHAnsi"/>
          <w:strike/>
          <w:sz w:val="22"/>
          <w:szCs w:val="22"/>
        </w:rPr>
      </w:pPr>
      <w:hyperlink r:id="rId26" w:history="1">
        <w:r w:rsidR="00A230FE" w:rsidRPr="00454A62">
          <w:rPr>
            <w:rStyle w:val="Hyperlink"/>
            <w:rFonts w:asciiTheme="minorHAnsi" w:hAnsiTheme="minorHAnsi"/>
            <w:strike/>
            <w:spacing w:val="0"/>
            <w:sz w:val="22"/>
            <w:szCs w:val="22"/>
          </w:rPr>
          <w:t>www.nasdaqomx.com/transactions/markets/nasdaq-futures/information-center</w:t>
        </w:r>
      </w:hyperlink>
    </w:p>
    <w:p w:rsidR="00A230FE" w:rsidRDefault="00A230FE" w:rsidP="00A230FE">
      <w:pPr>
        <w:rPr>
          <w:rFonts w:asciiTheme="minorHAnsi" w:hAnsiTheme="minorHAnsi"/>
          <w:sz w:val="22"/>
          <w:szCs w:val="22"/>
        </w:rPr>
      </w:pPr>
    </w:p>
    <w:p w:rsidR="00A230FE" w:rsidRPr="00102C8D" w:rsidRDefault="00A230FE" w:rsidP="00A230FE">
      <w:pPr>
        <w:rPr>
          <w:rFonts w:asciiTheme="minorHAnsi" w:hAnsiTheme="minorHAnsi"/>
          <w:sz w:val="22"/>
          <w:szCs w:val="22"/>
        </w:rPr>
      </w:pPr>
    </w:p>
    <w:p w:rsidR="00BD347D" w:rsidRPr="006321C1" w:rsidRDefault="00BD347D" w:rsidP="00BD347D">
      <w:pPr>
        <w:pStyle w:val="Heading1"/>
        <w:numPr>
          <w:ilvl w:val="0"/>
          <w:numId w:val="11"/>
        </w:numPr>
      </w:pPr>
      <w:r>
        <w:lastRenderedPageBreak/>
        <w:t xml:space="preserve"> </w:t>
      </w:r>
      <w:bookmarkStart w:id="4" w:name="_Toc465175533"/>
      <w:r w:rsidRPr="00BD347D">
        <w:t>WHAT ARE THE ELIGIBLE CONTRACTS AND THE MINIMUM THRESHOLD QUANTITIES FOR A BLOCK TRADE?</w:t>
      </w:r>
      <w:bookmarkEnd w:id="4"/>
    </w:p>
    <w:p w:rsidR="00BD347D" w:rsidRPr="00BD347D" w:rsidRDefault="00BD347D" w:rsidP="00BD347D">
      <w:pPr>
        <w:rPr>
          <w:rFonts w:asciiTheme="minorHAnsi" w:hAnsiTheme="minorHAnsi"/>
          <w:sz w:val="22"/>
          <w:szCs w:val="22"/>
        </w:rPr>
      </w:pPr>
      <w:r w:rsidRPr="00BD347D">
        <w:rPr>
          <w:rFonts w:asciiTheme="minorHAnsi" w:hAnsiTheme="minorHAnsi"/>
          <w:sz w:val="22"/>
          <w:szCs w:val="22"/>
        </w:rPr>
        <w:t xml:space="preserve">A Block Trade must be for a quantity that is at or in excess of the applicable minimum threshold.  </w:t>
      </w:r>
      <w:r w:rsidR="00D42968" w:rsidRPr="00D42968">
        <w:rPr>
          <w:rFonts w:asciiTheme="minorHAnsi" w:hAnsiTheme="minorHAnsi"/>
          <w:sz w:val="22"/>
          <w:szCs w:val="22"/>
          <w:u w:val="single"/>
        </w:rPr>
        <w:t xml:space="preserve">The table below </w:t>
      </w:r>
      <w:r w:rsidR="00D42968">
        <w:rPr>
          <w:rFonts w:asciiTheme="minorHAnsi" w:hAnsiTheme="minorHAnsi"/>
          <w:sz w:val="22"/>
          <w:szCs w:val="22"/>
          <w:u w:val="single"/>
        </w:rPr>
        <w:t xml:space="preserve">provides a sample of </w:t>
      </w:r>
      <w:r w:rsidR="00D42968" w:rsidRPr="00D42968">
        <w:rPr>
          <w:rFonts w:asciiTheme="minorHAnsi" w:hAnsiTheme="minorHAnsi"/>
          <w:sz w:val="22"/>
          <w:szCs w:val="22"/>
          <w:u w:val="single"/>
        </w:rPr>
        <w:t>the eligible Energy Futures and Options contracts and their minimum quantity requirements for block trades.</w:t>
      </w:r>
      <w:r w:rsidR="00D42968">
        <w:rPr>
          <w:rFonts w:asciiTheme="minorHAnsi" w:hAnsiTheme="minorHAnsi"/>
          <w:sz w:val="22"/>
          <w:szCs w:val="22"/>
        </w:rPr>
        <w:t xml:space="preserve">  </w:t>
      </w:r>
      <w:r w:rsidRPr="00BD347D">
        <w:rPr>
          <w:rFonts w:asciiTheme="minorHAnsi" w:hAnsiTheme="minorHAnsi"/>
          <w:sz w:val="22"/>
          <w:szCs w:val="22"/>
        </w:rPr>
        <w:t xml:space="preserve">The </w:t>
      </w:r>
      <w:r w:rsidR="00D25B14">
        <w:rPr>
          <w:rFonts w:asciiTheme="minorHAnsi" w:hAnsiTheme="minorHAnsi"/>
          <w:sz w:val="22"/>
          <w:szCs w:val="22"/>
          <w:u w:val="single"/>
        </w:rPr>
        <w:t xml:space="preserve">full list of Energy Futures and Options contracts and their </w:t>
      </w:r>
      <w:r w:rsidRPr="00BD347D">
        <w:rPr>
          <w:rFonts w:asciiTheme="minorHAnsi" w:hAnsiTheme="minorHAnsi"/>
          <w:sz w:val="22"/>
          <w:szCs w:val="22"/>
        </w:rPr>
        <w:t xml:space="preserve">minimum quantity requirements for block trades </w:t>
      </w:r>
      <w:r w:rsidRPr="00D25B14">
        <w:rPr>
          <w:rFonts w:asciiTheme="minorHAnsi" w:hAnsiTheme="minorHAnsi"/>
          <w:strike/>
          <w:sz w:val="22"/>
          <w:szCs w:val="22"/>
        </w:rPr>
        <w:t>of eligible Energy Futures and Options contracts</w:t>
      </w:r>
      <w:r w:rsidRPr="00BD347D">
        <w:rPr>
          <w:rFonts w:asciiTheme="minorHAnsi" w:hAnsiTheme="minorHAnsi"/>
          <w:sz w:val="22"/>
          <w:szCs w:val="22"/>
        </w:rPr>
        <w:t xml:space="preserve"> can be found here:</w:t>
      </w:r>
    </w:p>
    <w:p w:rsidR="00BD347D" w:rsidRPr="00454A62" w:rsidRDefault="00821531" w:rsidP="00BD347D">
      <w:pPr>
        <w:rPr>
          <w:rFonts w:asciiTheme="minorHAnsi" w:hAnsiTheme="minorHAnsi"/>
          <w:sz w:val="22"/>
          <w:szCs w:val="22"/>
        </w:rPr>
      </w:pPr>
      <w:hyperlink r:id="rId27" w:history="1">
        <w:r w:rsidR="00BD347D" w:rsidRPr="00454A62">
          <w:rPr>
            <w:rStyle w:val="Hyperlink"/>
            <w:rFonts w:asciiTheme="minorHAnsi" w:hAnsiTheme="minorHAnsi"/>
            <w:strike/>
            <w:spacing w:val="0"/>
            <w:sz w:val="22"/>
            <w:szCs w:val="22"/>
          </w:rPr>
          <w:t>www.nasdaqomx.com/transactions/markets/nasdaq-futures/products</w:t>
        </w:r>
      </w:hyperlink>
      <w:r w:rsidR="00BD347D" w:rsidRPr="00454A62">
        <w:rPr>
          <w:rFonts w:asciiTheme="minorHAnsi" w:hAnsiTheme="minorHAnsi"/>
          <w:sz w:val="22"/>
          <w:szCs w:val="22"/>
        </w:rPr>
        <w:t xml:space="preserve"> </w:t>
      </w:r>
      <w:hyperlink r:id="rId28" w:history="1">
        <w:r w:rsidR="00BD347D" w:rsidRPr="00454A62">
          <w:rPr>
            <w:rStyle w:val="Hyperlink"/>
            <w:rFonts w:asciiTheme="minorHAnsi" w:hAnsiTheme="minorHAnsi"/>
            <w:spacing w:val="0"/>
            <w:sz w:val="22"/>
            <w:szCs w:val="22"/>
          </w:rPr>
          <w:t>http://business.nasdaq.com/Docs//EnergyProductsListing_tcm5044-17711.pdf</w:t>
        </w:r>
      </w:hyperlink>
      <w:r w:rsidR="00BD347D" w:rsidRPr="00454A62">
        <w:rPr>
          <w:rFonts w:asciiTheme="minorHAnsi" w:hAnsiTheme="minorHAnsi"/>
          <w:sz w:val="22"/>
          <w:szCs w:val="22"/>
        </w:rPr>
        <w:t xml:space="preserve"> </w:t>
      </w:r>
    </w:p>
    <w:p w:rsidR="00BD347D" w:rsidRPr="00454A62" w:rsidRDefault="00BD347D" w:rsidP="00BD347D">
      <w:pPr>
        <w:rPr>
          <w:rFonts w:asciiTheme="minorHAnsi" w:hAnsiTheme="minorHAnsi"/>
          <w:sz w:val="22"/>
          <w:szCs w:val="22"/>
        </w:rPr>
      </w:pPr>
    </w:p>
    <w:p w:rsidR="00BD347D" w:rsidRPr="00454A62" w:rsidRDefault="00BD347D" w:rsidP="00BD347D">
      <w:pPr>
        <w:rPr>
          <w:rFonts w:asciiTheme="minorHAnsi" w:hAnsiTheme="minorHAnsi"/>
          <w:sz w:val="22"/>
          <w:szCs w:val="22"/>
        </w:rPr>
      </w:pPr>
      <w:r w:rsidRPr="00454A62">
        <w:rPr>
          <w:rFonts w:asciiTheme="minorHAnsi" w:hAnsiTheme="minorHAnsi"/>
          <w:sz w:val="22"/>
          <w:szCs w:val="22"/>
        </w:rPr>
        <w:t>Block Trades may be submitted to the Trading System with up to thirty-six legs.</w:t>
      </w:r>
    </w:p>
    <w:p w:rsidR="00BD347D" w:rsidRPr="00454A62" w:rsidRDefault="00BD347D" w:rsidP="00BD347D">
      <w:pPr>
        <w:rPr>
          <w:rFonts w:asciiTheme="minorHAnsi" w:hAnsiTheme="minorHAnsi"/>
          <w:sz w:val="22"/>
          <w:szCs w:val="22"/>
        </w:rPr>
      </w:pPr>
    </w:p>
    <w:p w:rsidR="00BD347D" w:rsidRPr="00D42968" w:rsidRDefault="00BD347D" w:rsidP="00BD347D">
      <w:pPr>
        <w:rPr>
          <w:rFonts w:asciiTheme="minorHAnsi" w:hAnsiTheme="minorHAnsi"/>
          <w:strike/>
          <w:sz w:val="22"/>
          <w:szCs w:val="22"/>
        </w:rPr>
      </w:pPr>
      <w:r w:rsidRPr="00D42968">
        <w:rPr>
          <w:rFonts w:asciiTheme="minorHAnsi" w:hAnsiTheme="minorHAnsi"/>
          <w:strike/>
          <w:sz w:val="22"/>
          <w:szCs w:val="22"/>
        </w:rPr>
        <w:t>The table below lists the eligible Energy Futures and Options contracts and their minimum quantity requirements for block trades.</w:t>
      </w:r>
    </w:p>
    <w:p w:rsidR="00BD347D" w:rsidRDefault="00BD347D" w:rsidP="00E400F6">
      <w:pPr>
        <w:rPr>
          <w:rFonts w:asciiTheme="minorHAnsi" w:hAnsiTheme="minorHAnsi"/>
          <w:sz w:val="22"/>
          <w:szCs w:val="22"/>
        </w:rPr>
      </w:pPr>
    </w:p>
    <w:tbl>
      <w:tblPr>
        <w:tblStyle w:val="NLXStx"/>
        <w:tblW w:w="5000" w:type="pct"/>
        <w:tblBorders>
          <w:top w:val="single" w:sz="4" w:space="0" w:color="009FC3"/>
          <w:left w:val="single" w:sz="4" w:space="0" w:color="009FC3"/>
          <w:bottom w:val="single" w:sz="4" w:space="0" w:color="009FC3"/>
          <w:right w:val="single" w:sz="4" w:space="0" w:color="009FC3"/>
          <w:insideH w:val="single" w:sz="4" w:space="0" w:color="009FC3"/>
          <w:insideV w:val="single" w:sz="4" w:space="0" w:color="009FC3"/>
        </w:tblBorders>
        <w:tblLook w:val="04A0" w:firstRow="1" w:lastRow="0" w:firstColumn="1" w:lastColumn="0" w:noHBand="0" w:noVBand="1"/>
      </w:tblPr>
      <w:tblGrid>
        <w:gridCol w:w="6079"/>
        <w:gridCol w:w="997"/>
        <w:gridCol w:w="817"/>
        <w:gridCol w:w="886"/>
        <w:gridCol w:w="997"/>
      </w:tblGrid>
      <w:tr w:rsidR="00BD347D" w:rsidTr="00A077FF">
        <w:trPr>
          <w:cnfStyle w:val="100000000000" w:firstRow="1" w:lastRow="0" w:firstColumn="0" w:lastColumn="0" w:oddVBand="0" w:evenVBand="0" w:oddHBand="0" w:evenHBand="0" w:firstRowFirstColumn="0" w:firstRowLastColumn="0" w:lastRowFirstColumn="0" w:lastRowLastColumn="0"/>
        </w:trPr>
        <w:tc>
          <w:tcPr>
            <w:tcW w:w="3109" w:type="pct"/>
            <w:shd w:val="clear" w:color="auto" w:fill="009FC3"/>
          </w:tcPr>
          <w:p w:rsidR="00BD347D" w:rsidRDefault="00BD347D" w:rsidP="00A077FF">
            <w:r>
              <w:t>Contract Name</w:t>
            </w:r>
          </w:p>
        </w:tc>
        <w:tc>
          <w:tcPr>
            <w:tcW w:w="510" w:type="pct"/>
            <w:shd w:val="clear" w:color="auto" w:fill="009FC3"/>
          </w:tcPr>
          <w:p w:rsidR="00BD347D" w:rsidRDefault="00BD347D" w:rsidP="00A077FF">
            <w:pPr>
              <w:jc w:val="center"/>
            </w:pPr>
            <w:r>
              <w:t>Symbol</w:t>
            </w:r>
          </w:p>
        </w:tc>
        <w:tc>
          <w:tcPr>
            <w:tcW w:w="418" w:type="pct"/>
            <w:shd w:val="clear" w:color="auto" w:fill="009FC3"/>
          </w:tcPr>
          <w:p w:rsidR="00BD347D" w:rsidRDefault="00BD347D" w:rsidP="00A077FF">
            <w:pPr>
              <w:jc w:val="center"/>
            </w:pPr>
            <w:r>
              <w:t>Block Size</w:t>
            </w:r>
          </w:p>
        </w:tc>
        <w:tc>
          <w:tcPr>
            <w:tcW w:w="453" w:type="pct"/>
            <w:shd w:val="clear" w:color="auto" w:fill="009FC3"/>
          </w:tcPr>
          <w:p w:rsidR="00BD347D" w:rsidRDefault="00BD347D" w:rsidP="00A077FF">
            <w:pPr>
              <w:jc w:val="right"/>
            </w:pPr>
            <w:r>
              <w:t>Ref. Xchg</w:t>
            </w:r>
          </w:p>
        </w:tc>
        <w:tc>
          <w:tcPr>
            <w:tcW w:w="510" w:type="pct"/>
            <w:shd w:val="clear" w:color="auto" w:fill="009FC3"/>
          </w:tcPr>
          <w:p w:rsidR="00BD347D" w:rsidRDefault="00BD347D" w:rsidP="00A077FF">
            <w:pPr>
              <w:jc w:val="right"/>
            </w:pPr>
            <w:r>
              <w:t>Ref. Symbol</w:t>
            </w:r>
          </w:p>
        </w:tc>
      </w:tr>
      <w:tr w:rsidR="00BD347D" w:rsidTr="00A077FF">
        <w:trPr>
          <w:cnfStyle w:val="000000100000" w:firstRow="0" w:lastRow="0" w:firstColumn="0" w:lastColumn="0" w:oddVBand="0" w:evenVBand="0" w:oddHBand="1" w:evenHBand="0" w:firstRowFirstColumn="0" w:firstRowLastColumn="0" w:lastRowFirstColumn="0" w:lastRowLastColumn="0"/>
        </w:trPr>
        <w:tc>
          <w:tcPr>
            <w:tcW w:w="3109" w:type="pct"/>
            <w:vAlign w:val="bottom"/>
          </w:tcPr>
          <w:p w:rsidR="00BD347D" w:rsidRDefault="00BD347D" w:rsidP="00A077FF">
            <w:pPr>
              <w:jc w:val="center"/>
            </w:pPr>
            <w:r>
              <w:rPr>
                <w:rFonts w:ascii="Calibri" w:hAnsi="Calibri"/>
                <w:b/>
                <w:bCs/>
                <w:color w:val="000000"/>
                <w:szCs w:val="18"/>
                <w:u w:val="single"/>
              </w:rPr>
              <w:t>Oil and Refined Products</w:t>
            </w:r>
          </w:p>
        </w:tc>
        <w:tc>
          <w:tcPr>
            <w:tcW w:w="510" w:type="pct"/>
            <w:vAlign w:val="bottom"/>
          </w:tcPr>
          <w:p w:rsidR="00BD347D" w:rsidRDefault="00BD347D" w:rsidP="00A077FF"/>
        </w:tc>
        <w:tc>
          <w:tcPr>
            <w:tcW w:w="418" w:type="pct"/>
          </w:tcPr>
          <w:p w:rsidR="00BD347D" w:rsidRDefault="00BD347D" w:rsidP="00A077FF"/>
        </w:tc>
        <w:tc>
          <w:tcPr>
            <w:tcW w:w="453" w:type="pct"/>
          </w:tcPr>
          <w:p w:rsidR="00BD347D" w:rsidRDefault="00BD347D" w:rsidP="00A077FF"/>
        </w:tc>
        <w:tc>
          <w:tcPr>
            <w:tcW w:w="510" w:type="pct"/>
          </w:tcPr>
          <w:p w:rsidR="00BD347D" w:rsidRDefault="00BD347D" w:rsidP="00A077FF"/>
        </w:tc>
      </w:tr>
      <w:tr w:rsidR="00BD347D" w:rsidTr="00A077FF">
        <w:tc>
          <w:tcPr>
            <w:tcW w:w="3109" w:type="pct"/>
            <w:vAlign w:val="bottom"/>
          </w:tcPr>
          <w:p w:rsidR="00BD347D" w:rsidRDefault="00BD347D" w:rsidP="00A077FF">
            <w:r>
              <w:rPr>
                <w:rFonts w:ascii="Calibri" w:hAnsi="Calibri"/>
                <w:color w:val="000000"/>
                <w:sz w:val="16"/>
                <w:szCs w:val="16"/>
              </w:rPr>
              <w:t>NFX Brent Crude Financial Futures</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BFQ</w:t>
            </w:r>
          </w:p>
        </w:tc>
        <w:tc>
          <w:tcPr>
            <w:tcW w:w="418"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25</w:t>
            </w:r>
          </w:p>
        </w:tc>
        <w:tc>
          <w:tcPr>
            <w:tcW w:w="453"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B</w:t>
            </w:r>
          </w:p>
        </w:tc>
      </w:tr>
      <w:tr w:rsidR="00BD347D" w:rsidTr="00A077FF">
        <w:trPr>
          <w:cnfStyle w:val="000000100000" w:firstRow="0" w:lastRow="0" w:firstColumn="0" w:lastColumn="0" w:oddVBand="0" w:evenVBand="0" w:oddHBand="1" w:evenHBand="0" w:firstRowFirstColumn="0" w:firstRowLastColumn="0" w:lastRowFirstColumn="0" w:lastRowLastColumn="0"/>
        </w:trPr>
        <w:tc>
          <w:tcPr>
            <w:tcW w:w="3109" w:type="pct"/>
            <w:vAlign w:val="bottom"/>
          </w:tcPr>
          <w:p w:rsidR="00BD347D" w:rsidRDefault="00BD347D" w:rsidP="00A077FF">
            <w:r>
              <w:rPr>
                <w:rFonts w:ascii="Calibri" w:hAnsi="Calibri"/>
                <w:color w:val="000000"/>
                <w:sz w:val="16"/>
                <w:szCs w:val="16"/>
              </w:rPr>
              <w:t>NFX Options on NFX Brent Crude Financial Futures</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BCQ</w:t>
            </w:r>
          </w:p>
        </w:tc>
        <w:tc>
          <w:tcPr>
            <w:tcW w:w="418"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25</w:t>
            </w:r>
          </w:p>
        </w:tc>
        <w:tc>
          <w:tcPr>
            <w:tcW w:w="453"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B</w:t>
            </w:r>
          </w:p>
        </w:tc>
      </w:tr>
      <w:tr w:rsidR="00BD347D" w:rsidTr="00A077FF">
        <w:tc>
          <w:tcPr>
            <w:tcW w:w="3109" w:type="pct"/>
            <w:vAlign w:val="bottom"/>
          </w:tcPr>
          <w:p w:rsidR="00BD347D" w:rsidRDefault="00BD347D" w:rsidP="00A077FF">
            <w:r>
              <w:rPr>
                <w:rFonts w:ascii="Calibri" w:hAnsi="Calibri"/>
                <w:color w:val="000000"/>
                <w:sz w:val="16"/>
                <w:szCs w:val="16"/>
              </w:rPr>
              <w:t>NFX WTI Crude Oil Financial Futures</w:t>
            </w:r>
          </w:p>
        </w:tc>
        <w:tc>
          <w:tcPr>
            <w:tcW w:w="510" w:type="pct"/>
            <w:vAlign w:val="bottom"/>
          </w:tcPr>
          <w:p w:rsidR="00BD347D" w:rsidRPr="00454A62" w:rsidRDefault="00BD347D" w:rsidP="00A077FF">
            <w:pPr>
              <w:jc w:val="center"/>
              <w:rPr>
                <w:rFonts w:asciiTheme="minorHAnsi" w:hAnsiTheme="minorHAnsi"/>
                <w:sz w:val="16"/>
                <w:szCs w:val="16"/>
              </w:rPr>
            </w:pPr>
            <w:r w:rsidRPr="00454A62">
              <w:rPr>
                <w:rFonts w:asciiTheme="minorHAnsi" w:hAnsiTheme="minorHAnsi"/>
                <w:strike/>
                <w:color w:val="000000"/>
                <w:sz w:val="16"/>
                <w:szCs w:val="16"/>
              </w:rPr>
              <w:t>CL</w:t>
            </w:r>
            <w:r w:rsidR="00023A52" w:rsidRPr="00454A62">
              <w:rPr>
                <w:rFonts w:asciiTheme="minorHAnsi" w:hAnsiTheme="minorHAnsi"/>
                <w:color w:val="000000"/>
                <w:sz w:val="16"/>
                <w:szCs w:val="16"/>
                <w:u w:val="single"/>
              </w:rPr>
              <w:t>T</w:t>
            </w:r>
            <w:r w:rsidRPr="00454A62">
              <w:rPr>
                <w:rFonts w:asciiTheme="minorHAnsi" w:hAnsiTheme="minorHAnsi"/>
                <w:color w:val="000000"/>
                <w:sz w:val="16"/>
                <w:szCs w:val="16"/>
              </w:rPr>
              <w:t>Q</w:t>
            </w:r>
          </w:p>
        </w:tc>
        <w:tc>
          <w:tcPr>
            <w:tcW w:w="418"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50</w:t>
            </w:r>
          </w:p>
        </w:tc>
        <w:tc>
          <w:tcPr>
            <w:tcW w:w="453"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CME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CL</w:t>
            </w:r>
          </w:p>
        </w:tc>
      </w:tr>
      <w:tr w:rsidR="00BD347D" w:rsidTr="00A077FF">
        <w:trPr>
          <w:cnfStyle w:val="000000100000" w:firstRow="0" w:lastRow="0" w:firstColumn="0" w:lastColumn="0" w:oddVBand="0" w:evenVBand="0" w:oddHBand="1" w:evenHBand="0" w:firstRowFirstColumn="0" w:firstRowLastColumn="0" w:lastRowFirstColumn="0" w:lastRowLastColumn="0"/>
        </w:trPr>
        <w:tc>
          <w:tcPr>
            <w:tcW w:w="3109" w:type="pct"/>
            <w:vAlign w:val="bottom"/>
          </w:tcPr>
          <w:p w:rsidR="00BD347D" w:rsidRDefault="00BD347D" w:rsidP="00A077FF">
            <w:r>
              <w:rPr>
                <w:rFonts w:ascii="Calibri" w:hAnsi="Calibri"/>
                <w:color w:val="000000"/>
                <w:sz w:val="16"/>
                <w:szCs w:val="16"/>
              </w:rPr>
              <w:t>NFX Options on NFX WTI  Financial Futures</w:t>
            </w:r>
          </w:p>
        </w:tc>
        <w:tc>
          <w:tcPr>
            <w:tcW w:w="510" w:type="pct"/>
            <w:vAlign w:val="bottom"/>
          </w:tcPr>
          <w:p w:rsidR="00BD347D" w:rsidRPr="00454A62" w:rsidRDefault="00BD347D" w:rsidP="00A077FF">
            <w:pPr>
              <w:jc w:val="center"/>
              <w:rPr>
                <w:rFonts w:asciiTheme="minorHAnsi" w:hAnsiTheme="minorHAnsi"/>
                <w:sz w:val="16"/>
                <w:szCs w:val="16"/>
              </w:rPr>
            </w:pPr>
            <w:r w:rsidRPr="00454A62">
              <w:rPr>
                <w:rFonts w:asciiTheme="minorHAnsi" w:hAnsiTheme="minorHAnsi"/>
                <w:color w:val="000000"/>
                <w:sz w:val="16"/>
                <w:szCs w:val="16"/>
              </w:rPr>
              <w:t>LOQ</w:t>
            </w:r>
          </w:p>
        </w:tc>
        <w:tc>
          <w:tcPr>
            <w:tcW w:w="418"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25</w:t>
            </w:r>
          </w:p>
        </w:tc>
        <w:tc>
          <w:tcPr>
            <w:tcW w:w="453"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CME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LO</w:t>
            </w:r>
          </w:p>
        </w:tc>
      </w:tr>
      <w:tr w:rsidR="00BD347D" w:rsidTr="00A077FF">
        <w:tc>
          <w:tcPr>
            <w:tcW w:w="3109" w:type="pct"/>
            <w:vAlign w:val="bottom"/>
          </w:tcPr>
          <w:p w:rsidR="00BD347D" w:rsidRDefault="00BD347D" w:rsidP="00A077FF">
            <w:r>
              <w:rPr>
                <w:rFonts w:ascii="Calibri" w:hAnsi="Calibri"/>
                <w:color w:val="000000"/>
                <w:sz w:val="16"/>
                <w:szCs w:val="16"/>
              </w:rPr>
              <w:t xml:space="preserve">NFX Low Sulphur Gasoil Financial Futures </w:t>
            </w:r>
          </w:p>
        </w:tc>
        <w:tc>
          <w:tcPr>
            <w:tcW w:w="510" w:type="pct"/>
            <w:vAlign w:val="bottom"/>
          </w:tcPr>
          <w:p w:rsidR="00BD347D" w:rsidRPr="00454A62" w:rsidRDefault="00BD347D" w:rsidP="00A077FF">
            <w:pPr>
              <w:jc w:val="center"/>
              <w:rPr>
                <w:rFonts w:asciiTheme="minorHAnsi" w:hAnsiTheme="minorHAnsi"/>
                <w:sz w:val="16"/>
                <w:szCs w:val="16"/>
              </w:rPr>
            </w:pPr>
            <w:r w:rsidRPr="00454A62">
              <w:rPr>
                <w:rFonts w:asciiTheme="minorHAnsi" w:hAnsiTheme="minorHAnsi"/>
                <w:color w:val="000000"/>
                <w:sz w:val="16"/>
                <w:szCs w:val="16"/>
              </w:rPr>
              <w:t>GOQ</w:t>
            </w:r>
          </w:p>
        </w:tc>
        <w:tc>
          <w:tcPr>
            <w:tcW w:w="418"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G</w:t>
            </w:r>
          </w:p>
        </w:tc>
      </w:tr>
      <w:tr w:rsidR="00BD347D" w:rsidTr="00A077FF">
        <w:trPr>
          <w:cnfStyle w:val="000000100000" w:firstRow="0" w:lastRow="0" w:firstColumn="0" w:lastColumn="0" w:oddVBand="0" w:evenVBand="0" w:oddHBand="1" w:evenHBand="0" w:firstRowFirstColumn="0" w:firstRowLastColumn="0" w:lastRowFirstColumn="0" w:lastRowLastColumn="0"/>
        </w:trPr>
        <w:tc>
          <w:tcPr>
            <w:tcW w:w="3109" w:type="pct"/>
            <w:vAlign w:val="bottom"/>
          </w:tcPr>
          <w:p w:rsidR="00BD347D" w:rsidRDefault="00BD347D" w:rsidP="00A077FF">
            <w:r>
              <w:rPr>
                <w:rFonts w:ascii="Calibri" w:hAnsi="Calibri"/>
                <w:color w:val="000000"/>
                <w:sz w:val="16"/>
                <w:szCs w:val="16"/>
              </w:rPr>
              <w:t>NFX Heating Oil Financial Futures</w:t>
            </w:r>
          </w:p>
        </w:tc>
        <w:tc>
          <w:tcPr>
            <w:tcW w:w="510" w:type="pct"/>
            <w:vAlign w:val="bottom"/>
          </w:tcPr>
          <w:p w:rsidR="00BD347D" w:rsidRPr="00454A62" w:rsidRDefault="00BD347D" w:rsidP="00A077FF">
            <w:pPr>
              <w:jc w:val="center"/>
              <w:rPr>
                <w:rFonts w:asciiTheme="minorHAnsi" w:hAnsiTheme="minorHAnsi"/>
                <w:sz w:val="16"/>
                <w:szCs w:val="16"/>
              </w:rPr>
            </w:pPr>
            <w:r w:rsidRPr="00454A62">
              <w:rPr>
                <w:rFonts w:asciiTheme="minorHAnsi" w:hAnsiTheme="minorHAnsi"/>
                <w:strike/>
                <w:color w:val="000000"/>
                <w:sz w:val="16"/>
                <w:szCs w:val="16"/>
              </w:rPr>
              <w:t>H</w:t>
            </w:r>
            <w:r w:rsidRPr="00454A62">
              <w:rPr>
                <w:rFonts w:asciiTheme="minorHAnsi" w:hAnsiTheme="minorHAnsi"/>
                <w:color w:val="000000"/>
                <w:sz w:val="16"/>
                <w:szCs w:val="16"/>
              </w:rPr>
              <w:t>OQ</w:t>
            </w:r>
          </w:p>
        </w:tc>
        <w:tc>
          <w:tcPr>
            <w:tcW w:w="418"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25</w:t>
            </w:r>
          </w:p>
        </w:tc>
        <w:tc>
          <w:tcPr>
            <w:tcW w:w="453"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CME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HO</w:t>
            </w:r>
          </w:p>
        </w:tc>
      </w:tr>
      <w:tr w:rsidR="00BD347D" w:rsidTr="00A077FF">
        <w:tc>
          <w:tcPr>
            <w:tcW w:w="3109" w:type="pct"/>
            <w:vAlign w:val="bottom"/>
          </w:tcPr>
          <w:p w:rsidR="00BD347D" w:rsidRDefault="00BD347D" w:rsidP="00A077FF">
            <w:r>
              <w:rPr>
                <w:rFonts w:ascii="Calibri" w:hAnsi="Calibri"/>
                <w:color w:val="000000"/>
                <w:sz w:val="16"/>
                <w:szCs w:val="16"/>
              </w:rPr>
              <w:t>NFX RBOB Gasoline Financial Futures</w:t>
            </w:r>
          </w:p>
        </w:tc>
        <w:tc>
          <w:tcPr>
            <w:tcW w:w="510" w:type="pct"/>
            <w:vAlign w:val="bottom"/>
          </w:tcPr>
          <w:p w:rsidR="00BD347D" w:rsidRPr="00454A62" w:rsidRDefault="00BD347D" w:rsidP="00A077FF">
            <w:pPr>
              <w:jc w:val="center"/>
              <w:rPr>
                <w:rFonts w:asciiTheme="minorHAnsi" w:hAnsiTheme="minorHAnsi"/>
                <w:sz w:val="16"/>
                <w:szCs w:val="16"/>
              </w:rPr>
            </w:pPr>
            <w:r w:rsidRPr="00454A62">
              <w:rPr>
                <w:rFonts w:asciiTheme="minorHAnsi" w:hAnsiTheme="minorHAnsi"/>
                <w:color w:val="000000"/>
                <w:sz w:val="16"/>
                <w:szCs w:val="16"/>
              </w:rPr>
              <w:t>R</w:t>
            </w:r>
            <w:r w:rsidRPr="00454A62">
              <w:rPr>
                <w:rFonts w:asciiTheme="minorHAnsi" w:hAnsiTheme="minorHAnsi"/>
                <w:strike/>
                <w:color w:val="000000"/>
                <w:sz w:val="16"/>
                <w:szCs w:val="16"/>
              </w:rPr>
              <w:t>B</w:t>
            </w:r>
            <w:r w:rsidRPr="00454A62">
              <w:rPr>
                <w:rFonts w:asciiTheme="minorHAnsi" w:hAnsiTheme="minorHAnsi"/>
                <w:color w:val="000000"/>
                <w:sz w:val="16"/>
                <w:szCs w:val="16"/>
              </w:rPr>
              <w:t>Q</w:t>
            </w:r>
          </w:p>
        </w:tc>
        <w:tc>
          <w:tcPr>
            <w:tcW w:w="418"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25</w:t>
            </w:r>
          </w:p>
        </w:tc>
        <w:tc>
          <w:tcPr>
            <w:tcW w:w="453"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CME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RB</w:t>
            </w:r>
          </w:p>
        </w:tc>
      </w:tr>
      <w:tr w:rsidR="00BD347D" w:rsidTr="00A077FF">
        <w:trPr>
          <w:cnfStyle w:val="000000100000" w:firstRow="0" w:lastRow="0" w:firstColumn="0" w:lastColumn="0" w:oddVBand="0" w:evenVBand="0" w:oddHBand="1" w:evenHBand="0" w:firstRowFirstColumn="0" w:firstRowLastColumn="0" w:lastRowFirstColumn="0" w:lastRowLastColumn="0"/>
        </w:trPr>
        <w:tc>
          <w:tcPr>
            <w:tcW w:w="3109" w:type="pct"/>
            <w:vAlign w:val="bottom"/>
          </w:tcPr>
          <w:p w:rsidR="00BD347D" w:rsidRDefault="00BD347D" w:rsidP="00A077FF">
            <w:pPr>
              <w:jc w:val="center"/>
            </w:pPr>
            <w:r>
              <w:rPr>
                <w:rFonts w:ascii="Calibri" w:hAnsi="Calibri"/>
                <w:b/>
                <w:bCs/>
                <w:color w:val="000000"/>
                <w:szCs w:val="18"/>
                <w:u w:val="single"/>
              </w:rPr>
              <w:t>Natural Gas</w:t>
            </w:r>
          </w:p>
        </w:tc>
        <w:tc>
          <w:tcPr>
            <w:tcW w:w="510" w:type="pct"/>
            <w:vAlign w:val="bottom"/>
          </w:tcPr>
          <w:p w:rsidR="00BD347D" w:rsidRPr="00D20107" w:rsidRDefault="00BD347D" w:rsidP="00A077FF">
            <w:pPr>
              <w:jc w:val="center"/>
              <w:rPr>
                <w:rFonts w:asciiTheme="minorHAnsi" w:hAnsiTheme="minorHAnsi"/>
                <w:sz w:val="16"/>
                <w:szCs w:val="16"/>
              </w:rPr>
            </w:pPr>
          </w:p>
        </w:tc>
        <w:tc>
          <w:tcPr>
            <w:tcW w:w="418" w:type="pct"/>
            <w:vAlign w:val="top"/>
          </w:tcPr>
          <w:p w:rsidR="00BD347D" w:rsidRPr="00D20107" w:rsidRDefault="00BD347D" w:rsidP="00A077FF">
            <w:pPr>
              <w:jc w:val="center"/>
              <w:rPr>
                <w:rFonts w:asciiTheme="minorHAnsi" w:hAnsiTheme="minorHAnsi"/>
                <w:sz w:val="16"/>
                <w:szCs w:val="16"/>
              </w:rPr>
            </w:pPr>
          </w:p>
        </w:tc>
        <w:tc>
          <w:tcPr>
            <w:tcW w:w="453" w:type="pct"/>
          </w:tcPr>
          <w:p w:rsidR="00BD347D" w:rsidRPr="00D20107" w:rsidRDefault="00BD347D" w:rsidP="00A077FF">
            <w:pPr>
              <w:jc w:val="center"/>
              <w:rPr>
                <w:rFonts w:asciiTheme="minorHAnsi" w:hAnsiTheme="minorHAnsi"/>
                <w:sz w:val="16"/>
                <w:szCs w:val="16"/>
              </w:rPr>
            </w:pPr>
          </w:p>
        </w:tc>
        <w:tc>
          <w:tcPr>
            <w:tcW w:w="510" w:type="pct"/>
            <w:vAlign w:val="top"/>
          </w:tcPr>
          <w:p w:rsidR="00BD347D" w:rsidRPr="00D20107" w:rsidRDefault="00BD347D" w:rsidP="00A077FF">
            <w:pPr>
              <w:jc w:val="center"/>
              <w:rPr>
                <w:rFonts w:asciiTheme="minorHAnsi" w:hAnsiTheme="minorHAnsi"/>
                <w:sz w:val="16"/>
                <w:szCs w:val="16"/>
              </w:rPr>
            </w:pPr>
          </w:p>
        </w:tc>
      </w:tr>
      <w:tr w:rsidR="00BD347D" w:rsidTr="00A077FF">
        <w:tc>
          <w:tcPr>
            <w:tcW w:w="3109" w:type="pct"/>
            <w:vAlign w:val="bottom"/>
          </w:tcPr>
          <w:p w:rsidR="00BD347D" w:rsidRDefault="00BD347D" w:rsidP="00A077FF">
            <w:r>
              <w:rPr>
                <w:rFonts w:ascii="Calibri" w:hAnsi="Calibri"/>
                <w:color w:val="000000"/>
                <w:sz w:val="16"/>
                <w:szCs w:val="16"/>
              </w:rPr>
              <w:t>NFX Henry Hub Natural Gas Financial Futures -2,500</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NNQ</w:t>
            </w:r>
          </w:p>
        </w:tc>
        <w:tc>
          <w:tcPr>
            <w:tcW w:w="418"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25</w:t>
            </w:r>
          </w:p>
        </w:tc>
        <w:tc>
          <w:tcPr>
            <w:tcW w:w="453"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CME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NN</w:t>
            </w:r>
          </w:p>
        </w:tc>
      </w:tr>
      <w:tr w:rsidR="00BD347D" w:rsidTr="00A077FF">
        <w:trPr>
          <w:cnfStyle w:val="000000100000" w:firstRow="0" w:lastRow="0" w:firstColumn="0" w:lastColumn="0" w:oddVBand="0" w:evenVBand="0" w:oddHBand="1" w:evenHBand="0" w:firstRowFirstColumn="0" w:firstRowLastColumn="0" w:lastRowFirstColumn="0" w:lastRowLastColumn="0"/>
        </w:trPr>
        <w:tc>
          <w:tcPr>
            <w:tcW w:w="3109" w:type="pct"/>
            <w:vAlign w:val="bottom"/>
          </w:tcPr>
          <w:p w:rsidR="00BD347D" w:rsidRDefault="00BD347D" w:rsidP="00A077FF">
            <w:r>
              <w:rPr>
                <w:rFonts w:ascii="Calibri" w:hAnsi="Calibri"/>
                <w:color w:val="000000"/>
                <w:sz w:val="16"/>
                <w:szCs w:val="16"/>
              </w:rPr>
              <w:t>NFX Henry Hub Natural Gas Penultimate Financial Futures - 2,500</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NPQ</w:t>
            </w:r>
          </w:p>
        </w:tc>
        <w:tc>
          <w:tcPr>
            <w:tcW w:w="418"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25</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CME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NP</w:t>
            </w:r>
          </w:p>
        </w:tc>
      </w:tr>
      <w:tr w:rsidR="00BD347D" w:rsidTr="00A077FF">
        <w:tc>
          <w:tcPr>
            <w:tcW w:w="3109" w:type="pct"/>
            <w:vAlign w:val="bottom"/>
          </w:tcPr>
          <w:p w:rsidR="00BD347D" w:rsidRDefault="00BD347D" w:rsidP="00A077FF">
            <w:r>
              <w:rPr>
                <w:rFonts w:ascii="Calibri" w:hAnsi="Calibri"/>
                <w:color w:val="000000"/>
                <w:sz w:val="16"/>
                <w:szCs w:val="16"/>
              </w:rPr>
              <w:t>NFX Henry Hub Natural Gas Financial Futures -10,000</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HHQ</w:t>
            </w:r>
          </w:p>
        </w:tc>
        <w:tc>
          <w:tcPr>
            <w:tcW w:w="418"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50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CME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HH</w:t>
            </w:r>
          </w:p>
        </w:tc>
      </w:tr>
      <w:tr w:rsidR="00BD347D" w:rsidTr="00A077FF">
        <w:trPr>
          <w:cnfStyle w:val="000000100000" w:firstRow="0" w:lastRow="0" w:firstColumn="0" w:lastColumn="0" w:oddVBand="0" w:evenVBand="0" w:oddHBand="1" w:evenHBand="0" w:firstRowFirstColumn="0" w:firstRowLastColumn="0" w:lastRowFirstColumn="0" w:lastRowLastColumn="0"/>
        </w:trPr>
        <w:tc>
          <w:tcPr>
            <w:tcW w:w="3109" w:type="pct"/>
            <w:vAlign w:val="bottom"/>
          </w:tcPr>
          <w:p w:rsidR="00BD347D" w:rsidRDefault="00BD347D" w:rsidP="00A077FF">
            <w:r>
              <w:rPr>
                <w:rFonts w:ascii="Calibri" w:hAnsi="Calibri"/>
                <w:color w:val="000000"/>
                <w:sz w:val="16"/>
                <w:szCs w:val="16"/>
              </w:rPr>
              <w:t>NFX Henry Hub Natural Gas Penultimate Financial Futures - 10,000</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HUQ</w:t>
            </w:r>
          </w:p>
        </w:tc>
        <w:tc>
          <w:tcPr>
            <w:tcW w:w="418"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50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CME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HP</w:t>
            </w:r>
          </w:p>
        </w:tc>
      </w:tr>
      <w:tr w:rsidR="00BD347D" w:rsidTr="00A077FF">
        <w:tc>
          <w:tcPr>
            <w:tcW w:w="3109" w:type="pct"/>
            <w:vAlign w:val="bottom"/>
          </w:tcPr>
          <w:p w:rsidR="00BD347D" w:rsidRDefault="00BD347D" w:rsidP="00A077FF">
            <w:r>
              <w:rPr>
                <w:rFonts w:ascii="Calibri" w:hAnsi="Calibri"/>
                <w:color w:val="000000"/>
                <w:sz w:val="16"/>
                <w:szCs w:val="16"/>
              </w:rPr>
              <w:t>NFX Options on NFX Henry Hub Penultimate Financial Futures - 10,000</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LNQ</w:t>
            </w:r>
          </w:p>
        </w:tc>
        <w:tc>
          <w:tcPr>
            <w:tcW w:w="418"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15</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CME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LN</w:t>
            </w:r>
          </w:p>
        </w:tc>
      </w:tr>
      <w:tr w:rsidR="00BD347D" w:rsidTr="00A077FF">
        <w:trPr>
          <w:cnfStyle w:val="000000100000" w:firstRow="0" w:lastRow="0" w:firstColumn="0" w:lastColumn="0" w:oddVBand="0" w:evenVBand="0" w:oddHBand="1" w:evenHBand="0" w:firstRowFirstColumn="0" w:firstRowLastColumn="0" w:lastRowFirstColumn="0" w:lastRowLastColumn="0"/>
        </w:trPr>
        <w:tc>
          <w:tcPr>
            <w:tcW w:w="3109" w:type="pct"/>
            <w:vAlign w:val="bottom"/>
          </w:tcPr>
          <w:p w:rsidR="00BD347D" w:rsidRDefault="00BD347D" w:rsidP="00A077FF">
            <w:pPr>
              <w:jc w:val="center"/>
            </w:pPr>
            <w:r>
              <w:rPr>
                <w:rFonts w:ascii="Calibri" w:hAnsi="Calibri"/>
                <w:b/>
                <w:bCs/>
                <w:color w:val="000000"/>
                <w:szCs w:val="18"/>
                <w:u w:val="single"/>
              </w:rPr>
              <w:t>Power</w:t>
            </w:r>
          </w:p>
        </w:tc>
        <w:tc>
          <w:tcPr>
            <w:tcW w:w="510" w:type="pct"/>
            <w:vAlign w:val="bottom"/>
          </w:tcPr>
          <w:p w:rsidR="00BD347D" w:rsidRPr="00D20107" w:rsidRDefault="00BD347D" w:rsidP="00A077FF">
            <w:pPr>
              <w:jc w:val="center"/>
              <w:rPr>
                <w:rFonts w:asciiTheme="minorHAnsi" w:hAnsiTheme="minorHAnsi"/>
                <w:sz w:val="16"/>
                <w:szCs w:val="16"/>
              </w:rPr>
            </w:pPr>
          </w:p>
        </w:tc>
        <w:tc>
          <w:tcPr>
            <w:tcW w:w="418" w:type="pct"/>
          </w:tcPr>
          <w:p w:rsidR="00BD347D" w:rsidRPr="00D20107" w:rsidRDefault="00BD347D" w:rsidP="00A077FF">
            <w:pPr>
              <w:jc w:val="center"/>
              <w:rPr>
                <w:rFonts w:asciiTheme="minorHAnsi" w:hAnsiTheme="minorHAnsi"/>
                <w:sz w:val="16"/>
                <w:szCs w:val="16"/>
              </w:rPr>
            </w:pPr>
          </w:p>
        </w:tc>
        <w:tc>
          <w:tcPr>
            <w:tcW w:w="453" w:type="pct"/>
          </w:tcPr>
          <w:p w:rsidR="00BD347D" w:rsidRPr="00D20107" w:rsidRDefault="00BD347D" w:rsidP="00A077FF">
            <w:pPr>
              <w:jc w:val="center"/>
              <w:rPr>
                <w:rFonts w:asciiTheme="minorHAnsi" w:hAnsiTheme="minorHAnsi"/>
                <w:sz w:val="16"/>
                <w:szCs w:val="16"/>
              </w:rPr>
            </w:pPr>
          </w:p>
        </w:tc>
        <w:tc>
          <w:tcPr>
            <w:tcW w:w="510" w:type="pct"/>
            <w:vAlign w:val="top"/>
          </w:tcPr>
          <w:p w:rsidR="00BD347D" w:rsidRPr="00D20107" w:rsidRDefault="00BD347D" w:rsidP="00A077FF">
            <w:pPr>
              <w:jc w:val="center"/>
              <w:rPr>
                <w:rFonts w:asciiTheme="minorHAnsi" w:hAnsiTheme="minorHAnsi"/>
                <w:sz w:val="16"/>
                <w:szCs w:val="16"/>
              </w:rPr>
            </w:pPr>
          </w:p>
        </w:tc>
      </w:tr>
      <w:tr w:rsidR="00BD347D" w:rsidTr="00A077FF">
        <w:tc>
          <w:tcPr>
            <w:tcW w:w="3109" w:type="pct"/>
            <w:vAlign w:val="bottom"/>
          </w:tcPr>
          <w:p w:rsidR="00BD347D" w:rsidRDefault="00BD347D" w:rsidP="00A077FF">
            <w:r>
              <w:rPr>
                <w:rFonts w:ascii="Calibri" w:hAnsi="Calibri"/>
                <w:color w:val="000000"/>
                <w:sz w:val="16"/>
                <w:szCs w:val="16"/>
              </w:rPr>
              <w:t xml:space="preserve">NFX CAISO NP-15 Hub Day-Ahead Off-Peak Financial Futures </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ONPQ</w:t>
            </w:r>
          </w:p>
        </w:tc>
        <w:tc>
          <w:tcPr>
            <w:tcW w:w="418"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ONP</w:t>
            </w:r>
          </w:p>
        </w:tc>
      </w:tr>
      <w:tr w:rsidR="00BD347D" w:rsidTr="00A077FF">
        <w:trPr>
          <w:cnfStyle w:val="000000100000" w:firstRow="0" w:lastRow="0" w:firstColumn="0" w:lastColumn="0" w:oddVBand="0" w:evenVBand="0" w:oddHBand="1" w:evenHBand="0" w:firstRowFirstColumn="0" w:firstRowLastColumn="0" w:lastRowFirstColumn="0" w:lastRowLastColumn="0"/>
        </w:trPr>
        <w:tc>
          <w:tcPr>
            <w:tcW w:w="3109" w:type="pct"/>
            <w:vAlign w:val="bottom"/>
          </w:tcPr>
          <w:p w:rsidR="00BD347D" w:rsidRDefault="00BD347D" w:rsidP="00A077FF">
            <w:r>
              <w:rPr>
                <w:rFonts w:ascii="Calibri" w:hAnsi="Calibri"/>
                <w:color w:val="000000"/>
                <w:sz w:val="16"/>
                <w:szCs w:val="16"/>
              </w:rPr>
              <w:t xml:space="preserve">NFX CAISO NP-15 Hub Day-Ahead Peak Financial Futures </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NPMQ</w:t>
            </w:r>
          </w:p>
        </w:tc>
        <w:tc>
          <w:tcPr>
            <w:tcW w:w="418"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NPM</w:t>
            </w:r>
          </w:p>
        </w:tc>
      </w:tr>
      <w:tr w:rsidR="00BD347D" w:rsidTr="00A077FF">
        <w:tc>
          <w:tcPr>
            <w:tcW w:w="3109" w:type="pct"/>
            <w:vAlign w:val="bottom"/>
          </w:tcPr>
          <w:p w:rsidR="00BD347D" w:rsidRDefault="00BD347D" w:rsidP="00A077FF">
            <w:r>
              <w:rPr>
                <w:rFonts w:ascii="Calibri" w:hAnsi="Calibri"/>
                <w:color w:val="000000"/>
                <w:sz w:val="16"/>
                <w:szCs w:val="16"/>
              </w:rPr>
              <w:t xml:space="preserve">NFX CAISO SP-15 Hub Day-Ahead Off-Peak Financial Futures </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OFPQ</w:t>
            </w:r>
          </w:p>
        </w:tc>
        <w:tc>
          <w:tcPr>
            <w:tcW w:w="418"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OFP</w:t>
            </w:r>
          </w:p>
        </w:tc>
      </w:tr>
      <w:tr w:rsidR="00BD347D" w:rsidTr="00A077FF">
        <w:trPr>
          <w:cnfStyle w:val="000000100000" w:firstRow="0" w:lastRow="0" w:firstColumn="0" w:lastColumn="0" w:oddVBand="0" w:evenVBand="0" w:oddHBand="1" w:evenHBand="0" w:firstRowFirstColumn="0" w:firstRowLastColumn="0" w:lastRowFirstColumn="0" w:lastRowLastColumn="0"/>
        </w:trPr>
        <w:tc>
          <w:tcPr>
            <w:tcW w:w="3109" w:type="pct"/>
            <w:vAlign w:val="bottom"/>
          </w:tcPr>
          <w:p w:rsidR="00BD347D" w:rsidRDefault="00BD347D" w:rsidP="00A077FF">
            <w:r>
              <w:rPr>
                <w:rFonts w:ascii="Calibri" w:hAnsi="Calibri"/>
                <w:color w:val="000000"/>
                <w:sz w:val="16"/>
                <w:szCs w:val="16"/>
              </w:rPr>
              <w:t>NFX CAISO SP-15 Hub Day-Ahead Peak Financial Futures</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SPMQ</w:t>
            </w:r>
          </w:p>
        </w:tc>
        <w:tc>
          <w:tcPr>
            <w:tcW w:w="418"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SPM</w:t>
            </w:r>
          </w:p>
        </w:tc>
      </w:tr>
      <w:tr w:rsidR="00BD347D" w:rsidTr="00A077FF">
        <w:tc>
          <w:tcPr>
            <w:tcW w:w="3109" w:type="pct"/>
            <w:vAlign w:val="bottom"/>
          </w:tcPr>
          <w:p w:rsidR="00BD347D" w:rsidRDefault="00BD347D" w:rsidP="00A077FF">
            <w:r>
              <w:rPr>
                <w:rFonts w:ascii="Calibri" w:hAnsi="Calibri"/>
                <w:color w:val="000000"/>
                <w:sz w:val="16"/>
                <w:szCs w:val="16"/>
              </w:rPr>
              <w:t>NFX ISO-NE Massachusetts Hub Day-Ahead Off-Peak Financial Futures</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NOPQ</w:t>
            </w:r>
          </w:p>
        </w:tc>
        <w:tc>
          <w:tcPr>
            <w:tcW w:w="418"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NOP</w:t>
            </w:r>
          </w:p>
        </w:tc>
      </w:tr>
      <w:tr w:rsidR="00BD347D" w:rsidTr="00A077FF">
        <w:trPr>
          <w:cnfStyle w:val="000000100000" w:firstRow="0" w:lastRow="0" w:firstColumn="0" w:lastColumn="0" w:oddVBand="0" w:evenVBand="0" w:oddHBand="1" w:evenHBand="0" w:firstRowFirstColumn="0" w:firstRowLastColumn="0" w:lastRowFirstColumn="0" w:lastRowLastColumn="0"/>
        </w:trPr>
        <w:tc>
          <w:tcPr>
            <w:tcW w:w="3109" w:type="pct"/>
            <w:vAlign w:val="bottom"/>
          </w:tcPr>
          <w:p w:rsidR="00BD347D" w:rsidRDefault="00BD347D" w:rsidP="00A077FF">
            <w:r>
              <w:rPr>
                <w:rFonts w:ascii="Calibri" w:hAnsi="Calibri"/>
                <w:color w:val="000000"/>
                <w:sz w:val="16"/>
                <w:szCs w:val="16"/>
              </w:rPr>
              <w:t>NFX ISO-NE Massachusetts Hub Day-Ahead Peak Financial Futures</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NEPQ</w:t>
            </w:r>
          </w:p>
        </w:tc>
        <w:tc>
          <w:tcPr>
            <w:tcW w:w="418"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NEP</w:t>
            </w:r>
          </w:p>
        </w:tc>
      </w:tr>
      <w:tr w:rsidR="00BD347D" w:rsidTr="00A077FF">
        <w:tc>
          <w:tcPr>
            <w:tcW w:w="3109" w:type="pct"/>
            <w:vAlign w:val="bottom"/>
          </w:tcPr>
          <w:p w:rsidR="00BD347D" w:rsidRDefault="00BD347D" w:rsidP="00A077FF">
            <w:r>
              <w:rPr>
                <w:rFonts w:ascii="Calibri" w:hAnsi="Calibri"/>
                <w:color w:val="000000"/>
                <w:sz w:val="16"/>
                <w:szCs w:val="16"/>
              </w:rPr>
              <w:t>NFX MISO Indiana Hub Real-Time Off-Peak Financial Futures</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CPOQ</w:t>
            </w:r>
          </w:p>
        </w:tc>
        <w:tc>
          <w:tcPr>
            <w:tcW w:w="418"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CPO</w:t>
            </w:r>
          </w:p>
        </w:tc>
      </w:tr>
      <w:tr w:rsidR="00BD347D" w:rsidTr="00A077FF">
        <w:trPr>
          <w:cnfStyle w:val="000000100000" w:firstRow="0" w:lastRow="0" w:firstColumn="0" w:lastColumn="0" w:oddVBand="0" w:evenVBand="0" w:oddHBand="1" w:evenHBand="0" w:firstRowFirstColumn="0" w:firstRowLastColumn="0" w:lastRowFirstColumn="0" w:lastRowLastColumn="0"/>
        </w:trPr>
        <w:tc>
          <w:tcPr>
            <w:tcW w:w="3109" w:type="pct"/>
            <w:vAlign w:val="bottom"/>
          </w:tcPr>
          <w:p w:rsidR="00BD347D" w:rsidRDefault="00BD347D" w:rsidP="00A077FF">
            <w:r>
              <w:rPr>
                <w:rFonts w:ascii="Calibri" w:hAnsi="Calibri"/>
                <w:color w:val="000000"/>
                <w:sz w:val="16"/>
                <w:szCs w:val="16"/>
              </w:rPr>
              <w:t>NFX MISO Indiana Hub Real-Time Peak Financial Futures</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CINQ</w:t>
            </w:r>
          </w:p>
        </w:tc>
        <w:tc>
          <w:tcPr>
            <w:tcW w:w="418"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CIN</w:t>
            </w:r>
          </w:p>
        </w:tc>
      </w:tr>
      <w:tr w:rsidR="00BD347D" w:rsidTr="00A077FF">
        <w:tc>
          <w:tcPr>
            <w:tcW w:w="3109" w:type="pct"/>
            <w:vAlign w:val="bottom"/>
          </w:tcPr>
          <w:p w:rsidR="00BD347D" w:rsidRDefault="00BD347D" w:rsidP="00A077FF">
            <w:r>
              <w:rPr>
                <w:rFonts w:ascii="Calibri" w:hAnsi="Calibri"/>
                <w:color w:val="000000"/>
                <w:sz w:val="16"/>
                <w:szCs w:val="16"/>
              </w:rPr>
              <w:t>NFX PJM AEP Dayton Hub Real-Time Off-Peak Financial Futures</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AODQ</w:t>
            </w:r>
          </w:p>
        </w:tc>
        <w:tc>
          <w:tcPr>
            <w:tcW w:w="418"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AOD</w:t>
            </w:r>
          </w:p>
        </w:tc>
      </w:tr>
      <w:tr w:rsidR="00BD347D" w:rsidTr="00A077FF">
        <w:trPr>
          <w:cnfStyle w:val="000000100000" w:firstRow="0" w:lastRow="0" w:firstColumn="0" w:lastColumn="0" w:oddVBand="0" w:evenVBand="0" w:oddHBand="1" w:evenHBand="0" w:firstRowFirstColumn="0" w:firstRowLastColumn="0" w:lastRowFirstColumn="0" w:lastRowLastColumn="0"/>
        </w:trPr>
        <w:tc>
          <w:tcPr>
            <w:tcW w:w="3109" w:type="pct"/>
            <w:vAlign w:val="bottom"/>
          </w:tcPr>
          <w:p w:rsidR="00BD347D" w:rsidRDefault="00BD347D" w:rsidP="00A077FF">
            <w:r>
              <w:rPr>
                <w:rFonts w:ascii="Calibri" w:hAnsi="Calibri"/>
                <w:color w:val="000000"/>
                <w:sz w:val="16"/>
                <w:szCs w:val="16"/>
              </w:rPr>
              <w:t>NFX PJM AEP Dayton Hub Real-Time Peak Financial Futures</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MSOQ</w:t>
            </w:r>
          </w:p>
        </w:tc>
        <w:tc>
          <w:tcPr>
            <w:tcW w:w="418"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MSO</w:t>
            </w:r>
          </w:p>
        </w:tc>
      </w:tr>
      <w:tr w:rsidR="00BD347D" w:rsidTr="00A077FF">
        <w:tc>
          <w:tcPr>
            <w:tcW w:w="3109" w:type="pct"/>
            <w:vAlign w:val="bottom"/>
          </w:tcPr>
          <w:p w:rsidR="00BD347D" w:rsidRDefault="00BD347D" w:rsidP="00A077FF">
            <w:r>
              <w:rPr>
                <w:rFonts w:ascii="Calibri" w:hAnsi="Calibri"/>
                <w:color w:val="000000"/>
                <w:sz w:val="16"/>
                <w:szCs w:val="16"/>
              </w:rPr>
              <w:t>NFX PJM Northern Illinois Hub Real-Time Off-Peak Financial Futures</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NIOQ</w:t>
            </w:r>
          </w:p>
        </w:tc>
        <w:tc>
          <w:tcPr>
            <w:tcW w:w="418"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NIO</w:t>
            </w:r>
          </w:p>
        </w:tc>
      </w:tr>
      <w:tr w:rsidR="00BD347D" w:rsidTr="00A077FF">
        <w:trPr>
          <w:cnfStyle w:val="000000100000" w:firstRow="0" w:lastRow="0" w:firstColumn="0" w:lastColumn="0" w:oddVBand="0" w:evenVBand="0" w:oddHBand="1" w:evenHBand="0" w:firstRowFirstColumn="0" w:firstRowLastColumn="0" w:lastRowFirstColumn="0" w:lastRowLastColumn="0"/>
        </w:trPr>
        <w:tc>
          <w:tcPr>
            <w:tcW w:w="3109" w:type="pct"/>
            <w:vAlign w:val="bottom"/>
          </w:tcPr>
          <w:p w:rsidR="00BD347D" w:rsidRDefault="00BD347D" w:rsidP="00A077FF">
            <w:r>
              <w:rPr>
                <w:rFonts w:ascii="Calibri" w:hAnsi="Calibri"/>
                <w:color w:val="000000"/>
                <w:sz w:val="16"/>
                <w:szCs w:val="16"/>
              </w:rPr>
              <w:t>NFX PJM Northern Illinois Hub Real-Time Peak Financial Futures</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PNLQ</w:t>
            </w:r>
          </w:p>
        </w:tc>
        <w:tc>
          <w:tcPr>
            <w:tcW w:w="418"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PNL</w:t>
            </w:r>
          </w:p>
        </w:tc>
      </w:tr>
      <w:tr w:rsidR="00BD347D" w:rsidTr="00A077FF">
        <w:tc>
          <w:tcPr>
            <w:tcW w:w="3109" w:type="pct"/>
            <w:vAlign w:val="bottom"/>
          </w:tcPr>
          <w:p w:rsidR="00BD347D" w:rsidRDefault="00BD347D" w:rsidP="00A077FF">
            <w:r>
              <w:rPr>
                <w:rFonts w:ascii="Calibri" w:hAnsi="Calibri"/>
                <w:color w:val="000000"/>
                <w:sz w:val="16"/>
                <w:szCs w:val="16"/>
              </w:rPr>
              <w:t>NFX PJM Western Hub Day-Ahead Off-Peak Financial Futures</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PJDQ</w:t>
            </w:r>
          </w:p>
        </w:tc>
        <w:tc>
          <w:tcPr>
            <w:tcW w:w="418"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PJD</w:t>
            </w:r>
          </w:p>
        </w:tc>
      </w:tr>
      <w:tr w:rsidR="00BD347D" w:rsidTr="00A077FF">
        <w:trPr>
          <w:cnfStyle w:val="000000100000" w:firstRow="0" w:lastRow="0" w:firstColumn="0" w:lastColumn="0" w:oddVBand="0" w:evenVBand="0" w:oddHBand="1" w:evenHBand="0" w:firstRowFirstColumn="0" w:firstRowLastColumn="0" w:lastRowFirstColumn="0" w:lastRowLastColumn="0"/>
        </w:trPr>
        <w:tc>
          <w:tcPr>
            <w:tcW w:w="3109" w:type="pct"/>
            <w:vAlign w:val="bottom"/>
          </w:tcPr>
          <w:p w:rsidR="00BD347D" w:rsidRDefault="00BD347D" w:rsidP="00A077FF">
            <w:r>
              <w:rPr>
                <w:rFonts w:ascii="Calibri" w:hAnsi="Calibri"/>
                <w:color w:val="000000"/>
                <w:sz w:val="16"/>
                <w:szCs w:val="16"/>
              </w:rPr>
              <w:t>NFX PJM Western Hub Day-Ahead Peak Financial Futures</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PJCQ</w:t>
            </w:r>
          </w:p>
        </w:tc>
        <w:tc>
          <w:tcPr>
            <w:tcW w:w="418"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PJC</w:t>
            </w:r>
          </w:p>
        </w:tc>
      </w:tr>
      <w:tr w:rsidR="00BD347D" w:rsidTr="00A077FF">
        <w:tc>
          <w:tcPr>
            <w:tcW w:w="3109" w:type="pct"/>
            <w:vAlign w:val="bottom"/>
          </w:tcPr>
          <w:p w:rsidR="00BD347D" w:rsidRDefault="00BD347D" w:rsidP="00A077FF">
            <w:r>
              <w:rPr>
                <w:rFonts w:ascii="Calibri" w:hAnsi="Calibri"/>
                <w:color w:val="000000"/>
                <w:sz w:val="16"/>
                <w:szCs w:val="16"/>
              </w:rPr>
              <w:t>NFX PJM Western Hub Real-Time Off-Peak Financial Futures</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OPJQ</w:t>
            </w:r>
          </w:p>
        </w:tc>
        <w:tc>
          <w:tcPr>
            <w:tcW w:w="418"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OPJ</w:t>
            </w:r>
          </w:p>
        </w:tc>
      </w:tr>
      <w:tr w:rsidR="00BD347D" w:rsidTr="00A077FF">
        <w:trPr>
          <w:cnfStyle w:val="000000100000" w:firstRow="0" w:lastRow="0" w:firstColumn="0" w:lastColumn="0" w:oddVBand="0" w:evenVBand="0" w:oddHBand="1" w:evenHBand="0" w:firstRowFirstColumn="0" w:firstRowLastColumn="0" w:lastRowFirstColumn="0" w:lastRowLastColumn="0"/>
        </w:trPr>
        <w:tc>
          <w:tcPr>
            <w:tcW w:w="3109" w:type="pct"/>
            <w:vAlign w:val="bottom"/>
          </w:tcPr>
          <w:p w:rsidR="00BD347D" w:rsidRDefault="00BD347D" w:rsidP="00A077FF">
            <w:r>
              <w:rPr>
                <w:rFonts w:ascii="Calibri" w:hAnsi="Calibri"/>
                <w:color w:val="000000"/>
                <w:sz w:val="16"/>
                <w:szCs w:val="16"/>
              </w:rPr>
              <w:t>NFX PJM Western Hub Real-Time Peak Financial Futures</w:t>
            </w:r>
          </w:p>
        </w:tc>
        <w:tc>
          <w:tcPr>
            <w:tcW w:w="510" w:type="pct"/>
            <w:vAlign w:val="bottom"/>
          </w:tcPr>
          <w:p w:rsidR="00BD347D" w:rsidRPr="00D20107" w:rsidRDefault="00BD347D" w:rsidP="00A077FF">
            <w:pPr>
              <w:jc w:val="center"/>
              <w:rPr>
                <w:rFonts w:asciiTheme="minorHAnsi" w:hAnsiTheme="minorHAnsi"/>
                <w:sz w:val="16"/>
                <w:szCs w:val="16"/>
              </w:rPr>
            </w:pPr>
            <w:r w:rsidRPr="00D20107">
              <w:rPr>
                <w:rFonts w:asciiTheme="minorHAnsi" w:hAnsiTheme="minorHAnsi"/>
                <w:color w:val="000000"/>
                <w:sz w:val="16"/>
                <w:szCs w:val="16"/>
              </w:rPr>
              <w:t>PJMQ</w:t>
            </w:r>
          </w:p>
        </w:tc>
        <w:tc>
          <w:tcPr>
            <w:tcW w:w="418" w:type="pct"/>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10</w:t>
            </w:r>
          </w:p>
        </w:tc>
        <w:tc>
          <w:tcPr>
            <w:tcW w:w="453"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ICE</w:t>
            </w:r>
          </w:p>
        </w:tc>
        <w:tc>
          <w:tcPr>
            <w:tcW w:w="510" w:type="pct"/>
            <w:vAlign w:val="top"/>
          </w:tcPr>
          <w:p w:rsidR="00BD347D" w:rsidRPr="00D20107" w:rsidRDefault="00BD347D" w:rsidP="00A077FF">
            <w:pPr>
              <w:jc w:val="center"/>
              <w:rPr>
                <w:rFonts w:asciiTheme="minorHAnsi" w:hAnsiTheme="minorHAnsi"/>
                <w:sz w:val="16"/>
                <w:szCs w:val="16"/>
              </w:rPr>
            </w:pPr>
            <w:r w:rsidRPr="00D20107">
              <w:rPr>
                <w:rFonts w:asciiTheme="minorHAnsi" w:hAnsiTheme="minorHAnsi"/>
                <w:sz w:val="16"/>
                <w:szCs w:val="16"/>
              </w:rPr>
              <w:t>PJM</w:t>
            </w:r>
          </w:p>
        </w:tc>
      </w:tr>
    </w:tbl>
    <w:p w:rsidR="00BD347D" w:rsidRPr="00102C8D" w:rsidRDefault="00BD347D" w:rsidP="00E400F6">
      <w:pPr>
        <w:rPr>
          <w:rFonts w:asciiTheme="minorHAnsi" w:hAnsiTheme="minorHAnsi"/>
          <w:sz w:val="22"/>
          <w:szCs w:val="22"/>
        </w:rPr>
      </w:pPr>
    </w:p>
    <w:p w:rsidR="00A077FF" w:rsidRPr="006321C1" w:rsidRDefault="00A077FF" w:rsidP="002531C3">
      <w:pPr>
        <w:pStyle w:val="Heading1"/>
        <w:numPr>
          <w:ilvl w:val="0"/>
          <w:numId w:val="11"/>
        </w:numPr>
      </w:pPr>
      <w:r>
        <w:lastRenderedPageBreak/>
        <w:t xml:space="preserve"> </w:t>
      </w:r>
      <w:bookmarkStart w:id="5" w:name="_Toc465175534"/>
      <w:r w:rsidR="002531C3" w:rsidRPr="002531C3">
        <w:t>WHO MAY PARTICIPATE IN BLOCK TRADES?</w:t>
      </w:r>
      <w:bookmarkEnd w:id="5"/>
    </w:p>
    <w:p w:rsidR="00A077FF" w:rsidRPr="00A077FF" w:rsidRDefault="00A077FF" w:rsidP="00A077FF">
      <w:pPr>
        <w:rPr>
          <w:rFonts w:asciiTheme="minorHAnsi" w:hAnsiTheme="minorHAnsi"/>
          <w:sz w:val="22"/>
          <w:szCs w:val="22"/>
        </w:rPr>
      </w:pPr>
      <w:r w:rsidRPr="00A077FF">
        <w:rPr>
          <w:rFonts w:asciiTheme="minorHAnsi" w:hAnsiTheme="minorHAnsi"/>
          <w:sz w:val="22"/>
          <w:szCs w:val="22"/>
        </w:rPr>
        <w:t>Each party to a block trade must be an Eligible Futures Participant (“ECP”) as that term is defined in Section 1a(18) of the Commodity Exchange Act (“Act”).  ECPs include, but are not limited to floor brokers, FCMs, broker/dealers, financial institutions, insurance companies, pension funds, corporations, commodity pools, investment companies and high net worth individuals which satisfy certain criteria specified in Section 1a(18) of the Act.</w:t>
      </w:r>
    </w:p>
    <w:p w:rsidR="00A077FF" w:rsidRPr="00A077FF" w:rsidRDefault="00A077FF" w:rsidP="00A077FF">
      <w:pPr>
        <w:rPr>
          <w:rFonts w:asciiTheme="minorHAnsi" w:hAnsiTheme="minorHAnsi"/>
          <w:sz w:val="22"/>
          <w:szCs w:val="22"/>
        </w:rPr>
      </w:pPr>
    </w:p>
    <w:p w:rsidR="00A077FF" w:rsidRPr="00A077FF" w:rsidRDefault="00A077FF" w:rsidP="00A077FF">
      <w:pPr>
        <w:rPr>
          <w:rFonts w:asciiTheme="minorHAnsi" w:hAnsiTheme="minorHAnsi"/>
          <w:sz w:val="22"/>
          <w:szCs w:val="22"/>
        </w:rPr>
      </w:pPr>
      <w:r w:rsidRPr="00A077FF">
        <w:rPr>
          <w:rFonts w:asciiTheme="minorHAnsi" w:hAnsiTheme="minorHAnsi"/>
          <w:sz w:val="22"/>
          <w:szCs w:val="22"/>
        </w:rPr>
        <w:t>A Futures Participant may not execute any Order by means of a Block Trade for a Customer unless such Customer has specified that the Order be executed as a Block Trade.</w:t>
      </w:r>
    </w:p>
    <w:p w:rsidR="00A077FF" w:rsidRPr="00A077FF" w:rsidRDefault="00A077FF" w:rsidP="00A077FF">
      <w:pPr>
        <w:rPr>
          <w:rFonts w:asciiTheme="minorHAnsi" w:hAnsiTheme="minorHAnsi"/>
          <w:sz w:val="22"/>
          <w:szCs w:val="22"/>
        </w:rPr>
      </w:pPr>
    </w:p>
    <w:p w:rsidR="00A077FF" w:rsidRDefault="00A077FF" w:rsidP="00A077FF">
      <w:pPr>
        <w:rPr>
          <w:rFonts w:asciiTheme="minorHAnsi" w:hAnsiTheme="minorHAnsi"/>
          <w:sz w:val="22"/>
          <w:szCs w:val="22"/>
        </w:rPr>
      </w:pPr>
      <w:r w:rsidRPr="00A077FF">
        <w:rPr>
          <w:rFonts w:asciiTheme="minorHAnsi" w:hAnsiTheme="minorHAnsi"/>
          <w:sz w:val="22"/>
          <w:szCs w:val="22"/>
        </w:rPr>
        <w:t>Notwithstanding the foregoing, if the block trade is entered into on behalf of a Customer by a commodity trading advisor registered under the Act ("CTA"), including without limitation any investment advisor registered as such with the Securities and Exchange Commission who is exempt from regulation under the Act or CFTC regulations with total assets under management exceeding US $25 million, or by a foreign entity performing a similar role or function to a CTA or investment advisor that is subject to foreign regulation with total assets under management exceeding US $50 million, the individual Customer need not be an ECP</w:t>
      </w:r>
    </w:p>
    <w:p w:rsidR="00A077FF" w:rsidRDefault="00A077FF" w:rsidP="00CC708B">
      <w:pPr>
        <w:rPr>
          <w:rFonts w:asciiTheme="minorHAnsi" w:hAnsiTheme="minorHAnsi"/>
          <w:sz w:val="22"/>
          <w:szCs w:val="22"/>
        </w:rPr>
      </w:pPr>
    </w:p>
    <w:p w:rsidR="002531C3" w:rsidRPr="006321C1" w:rsidRDefault="002531C3" w:rsidP="002531C3">
      <w:pPr>
        <w:pStyle w:val="Heading1"/>
        <w:numPr>
          <w:ilvl w:val="0"/>
          <w:numId w:val="11"/>
        </w:numPr>
      </w:pPr>
      <w:r>
        <w:t xml:space="preserve"> </w:t>
      </w:r>
      <w:bookmarkStart w:id="6" w:name="_Toc465175535"/>
      <w:r w:rsidRPr="002531C3">
        <w:t>ARE THERE ANY PRICE RESTRICTIONS FOR BLOCK TRADES?</w:t>
      </w:r>
      <w:bookmarkEnd w:id="6"/>
    </w:p>
    <w:p w:rsidR="002531C3" w:rsidRPr="002531C3" w:rsidRDefault="002531C3" w:rsidP="002531C3">
      <w:pPr>
        <w:rPr>
          <w:rFonts w:asciiTheme="minorHAnsi" w:hAnsiTheme="minorHAnsi"/>
          <w:sz w:val="22"/>
          <w:szCs w:val="22"/>
        </w:rPr>
      </w:pPr>
      <w:r w:rsidRPr="002531C3">
        <w:rPr>
          <w:rFonts w:asciiTheme="minorHAnsi" w:hAnsiTheme="minorHAnsi"/>
          <w:sz w:val="22"/>
          <w:szCs w:val="22"/>
        </w:rPr>
        <w:t xml:space="preserve">The price at which a Block Trade is executed must be fair and reasonable in light of (i) the size of the Block Trade, (ii) the prices and sizes of other transactions in the same Contract at the relevant time, (iii) the prices and sizes of transactions in other relevant markets, including without limitation the underlying cash market or related futures markets, at the relevant time, and (iv) the circumstances of the markets or the parties to the Block Trade. The price must be in accordance with the minimum tick increment for a particular Contract as specified in the contract specifications.  Each leg of a transaction must be executed at a single price.  Block Trades shall not trigger Orders with Time in Force Conditions or otherwise affect Orders in the Order Book.   </w:t>
      </w:r>
    </w:p>
    <w:p w:rsidR="002531C3" w:rsidRPr="002531C3" w:rsidRDefault="002531C3" w:rsidP="002531C3">
      <w:pPr>
        <w:rPr>
          <w:rFonts w:asciiTheme="minorHAnsi" w:hAnsiTheme="minorHAnsi"/>
          <w:sz w:val="22"/>
          <w:szCs w:val="22"/>
        </w:rPr>
      </w:pPr>
    </w:p>
    <w:p w:rsidR="002531C3" w:rsidRPr="002531C3" w:rsidRDefault="002531C3" w:rsidP="002531C3">
      <w:pPr>
        <w:rPr>
          <w:rFonts w:asciiTheme="minorHAnsi" w:hAnsiTheme="minorHAnsi"/>
          <w:sz w:val="22"/>
          <w:szCs w:val="22"/>
        </w:rPr>
      </w:pPr>
      <w:r w:rsidRPr="002531C3">
        <w:rPr>
          <w:rFonts w:asciiTheme="minorHAnsi" w:hAnsiTheme="minorHAnsi"/>
          <w:sz w:val="22"/>
          <w:szCs w:val="22"/>
        </w:rPr>
        <w:t>Block Trades between the accounts of affiliated parties are permitted provided that (i) the Block Trade is executed at a fair and reasonable price; (ii) each party has a legal and independent bona fide business purpose for engaging in the Block Trade; (iii) each party’s decision to enter into the Block Trade is made by an independent decision-maker. If the above requirements are not satisfied, the Block Trade transaction may constitute an illegal wash sale prohibited by NFX Rule, Chapter III, Section 24(g).</w:t>
      </w:r>
    </w:p>
    <w:p w:rsidR="002531C3" w:rsidRPr="002531C3" w:rsidRDefault="002531C3" w:rsidP="002531C3">
      <w:pPr>
        <w:rPr>
          <w:rFonts w:asciiTheme="minorHAnsi" w:hAnsiTheme="minorHAnsi"/>
          <w:sz w:val="22"/>
          <w:szCs w:val="22"/>
        </w:rPr>
      </w:pPr>
    </w:p>
    <w:p w:rsidR="002531C3" w:rsidRDefault="002531C3" w:rsidP="002531C3">
      <w:pPr>
        <w:rPr>
          <w:rFonts w:asciiTheme="minorHAnsi" w:hAnsiTheme="minorHAnsi"/>
          <w:sz w:val="22"/>
          <w:szCs w:val="22"/>
        </w:rPr>
      </w:pPr>
      <w:r w:rsidRPr="002531C3">
        <w:rPr>
          <w:rFonts w:asciiTheme="minorHAnsi" w:hAnsiTheme="minorHAnsi"/>
          <w:sz w:val="22"/>
          <w:szCs w:val="22"/>
        </w:rPr>
        <w:t>The Exchange will cancel a Block Trade transaction, pursuant to NFX Rules at Chapter V, Section 5, in a Contract if the execution price of a transaction in a contract: (1) that has taken place outside the non-reviewable range designated for a Contract; and (2) which the Exchange determines has taken place at an unrepresentative price or when necessary to mitigate market disrupting events caused by malfunctions in its Trading System or errors in Orders submitted by Futures Participants or Authorized Customers.  Exchange staff may cancel any transaction if it believes that allowing the transaction(s) to stand, as executed, could have a material, adverse effect on the integrity of the market or result in a price distortion.</w:t>
      </w:r>
    </w:p>
    <w:p w:rsidR="00A42AA5" w:rsidRDefault="00A42AA5" w:rsidP="002531C3">
      <w:pPr>
        <w:rPr>
          <w:rFonts w:asciiTheme="minorHAnsi" w:hAnsiTheme="minorHAnsi"/>
          <w:sz w:val="22"/>
          <w:szCs w:val="22"/>
        </w:rPr>
      </w:pPr>
    </w:p>
    <w:p w:rsidR="00A42AA5" w:rsidRDefault="00A42AA5" w:rsidP="002531C3">
      <w:pPr>
        <w:rPr>
          <w:rFonts w:asciiTheme="minorHAnsi" w:hAnsiTheme="minorHAnsi"/>
          <w:sz w:val="22"/>
          <w:szCs w:val="22"/>
        </w:rPr>
      </w:pPr>
    </w:p>
    <w:p w:rsidR="00A42AA5" w:rsidRDefault="00A42AA5" w:rsidP="002531C3">
      <w:pPr>
        <w:rPr>
          <w:rFonts w:asciiTheme="minorHAnsi" w:hAnsiTheme="minorHAnsi"/>
          <w:sz w:val="22"/>
          <w:szCs w:val="22"/>
        </w:rPr>
      </w:pPr>
    </w:p>
    <w:p w:rsidR="00A42AA5" w:rsidRDefault="00A42AA5" w:rsidP="002531C3">
      <w:pPr>
        <w:rPr>
          <w:rFonts w:asciiTheme="minorHAnsi" w:hAnsiTheme="minorHAnsi"/>
          <w:sz w:val="22"/>
          <w:szCs w:val="22"/>
        </w:rPr>
      </w:pPr>
    </w:p>
    <w:p w:rsidR="00A42AA5" w:rsidRPr="006321C1" w:rsidRDefault="00A42AA5" w:rsidP="00A42AA5">
      <w:pPr>
        <w:pStyle w:val="Heading1"/>
        <w:numPr>
          <w:ilvl w:val="0"/>
          <w:numId w:val="11"/>
        </w:numPr>
      </w:pPr>
      <w:r>
        <w:lastRenderedPageBreak/>
        <w:t xml:space="preserve"> </w:t>
      </w:r>
      <w:bookmarkStart w:id="7" w:name="_Toc465175536"/>
      <w:r>
        <w:t>CAN ANY ORDER WHICH EXCEEDS THE MINIMUM QUANTITY THRESHOLD BE CLEARED AS A BLOCK TRADE</w:t>
      </w:r>
      <w:r w:rsidRPr="002531C3">
        <w:t>?</w:t>
      </w:r>
      <w:bookmarkEnd w:id="7"/>
    </w:p>
    <w:p w:rsidR="00A42AA5" w:rsidRPr="00A42AA5" w:rsidRDefault="00A42AA5" w:rsidP="00A42AA5">
      <w:pPr>
        <w:rPr>
          <w:rFonts w:asciiTheme="minorHAnsi" w:hAnsiTheme="minorHAnsi"/>
          <w:sz w:val="22"/>
          <w:szCs w:val="22"/>
        </w:rPr>
      </w:pPr>
      <w:r w:rsidRPr="00A42AA5">
        <w:rPr>
          <w:rFonts w:asciiTheme="minorHAnsi" w:hAnsiTheme="minorHAnsi"/>
          <w:sz w:val="22"/>
          <w:szCs w:val="22"/>
        </w:rPr>
        <w:t>No, the Order must specifically be designated as a Block Trade.  The Block Trade minimum quantity for a Contract is set forth in the rules for that particular Contract.</w:t>
      </w:r>
    </w:p>
    <w:p w:rsidR="00A42AA5" w:rsidRPr="00A42AA5" w:rsidRDefault="00A42AA5" w:rsidP="00A42AA5">
      <w:pPr>
        <w:rPr>
          <w:rFonts w:asciiTheme="minorHAnsi" w:hAnsiTheme="minorHAnsi"/>
          <w:sz w:val="22"/>
          <w:szCs w:val="22"/>
        </w:rPr>
      </w:pPr>
    </w:p>
    <w:p w:rsidR="00A42AA5" w:rsidRDefault="00A42AA5" w:rsidP="00A42AA5">
      <w:pPr>
        <w:rPr>
          <w:rFonts w:asciiTheme="minorHAnsi" w:hAnsiTheme="minorHAnsi"/>
          <w:sz w:val="22"/>
          <w:szCs w:val="22"/>
        </w:rPr>
      </w:pPr>
      <w:r w:rsidRPr="00A42AA5">
        <w:rPr>
          <w:rFonts w:asciiTheme="minorHAnsi" w:hAnsiTheme="minorHAnsi"/>
          <w:sz w:val="22"/>
          <w:szCs w:val="22"/>
        </w:rPr>
        <w:t>Block Trades may be submitted to the Trading System with up to thirty-six legs.</w:t>
      </w:r>
    </w:p>
    <w:p w:rsidR="00A42AA5" w:rsidRDefault="00A42AA5" w:rsidP="00A42AA5">
      <w:pPr>
        <w:rPr>
          <w:rFonts w:asciiTheme="minorHAnsi" w:hAnsiTheme="minorHAnsi"/>
          <w:sz w:val="22"/>
          <w:szCs w:val="22"/>
        </w:rPr>
      </w:pPr>
    </w:p>
    <w:p w:rsidR="00383847" w:rsidRDefault="00383847" w:rsidP="00383847">
      <w:pPr>
        <w:pStyle w:val="Heading1"/>
      </w:pPr>
      <w:r>
        <w:t xml:space="preserve"> </w:t>
      </w:r>
      <w:bookmarkStart w:id="8" w:name="_Toc416100319"/>
      <w:bookmarkStart w:id="9" w:name="_Toc428970184"/>
      <w:bookmarkStart w:id="10" w:name="_Toc465175537"/>
      <w:r>
        <w:t>What recordkeeping and audit trail requirements are REQUIRED FOR a block trade?</w:t>
      </w:r>
      <w:bookmarkEnd w:id="8"/>
      <w:bookmarkEnd w:id="9"/>
      <w:bookmarkEnd w:id="10"/>
    </w:p>
    <w:p w:rsidR="00383847" w:rsidRDefault="00383847" w:rsidP="00383847">
      <w:pPr>
        <w:rPr>
          <w:rFonts w:asciiTheme="minorHAnsi" w:hAnsiTheme="minorHAnsi"/>
          <w:sz w:val="22"/>
          <w:szCs w:val="22"/>
        </w:rPr>
      </w:pPr>
      <w:r w:rsidRPr="00383847">
        <w:rPr>
          <w:rFonts w:asciiTheme="minorHAnsi" w:hAnsiTheme="minorHAnsi"/>
          <w:sz w:val="22"/>
          <w:szCs w:val="22"/>
        </w:rPr>
        <w:t>Clearing Futures Participants and Futures Participants involved in the execution of Block Trades must maintain a record of the transaction in accordance with this NFX Rule, Chapter III, Section 1.</w:t>
      </w:r>
    </w:p>
    <w:p w:rsidR="00383847" w:rsidRPr="006321C1" w:rsidRDefault="00F06F0D" w:rsidP="00383847">
      <w:pPr>
        <w:pStyle w:val="Heading1"/>
        <w:numPr>
          <w:ilvl w:val="0"/>
          <w:numId w:val="11"/>
        </w:numPr>
      </w:pPr>
      <w:r>
        <w:t xml:space="preserve"> </w:t>
      </w:r>
      <w:bookmarkStart w:id="11" w:name="_Toc465175538"/>
      <w:r w:rsidR="00383847">
        <w:t>WHAT ARE THE TRADING HOURS FOR BLOCK TRADES</w:t>
      </w:r>
      <w:r w:rsidR="00383847" w:rsidRPr="002531C3">
        <w:t>?</w:t>
      </w:r>
      <w:bookmarkEnd w:id="11"/>
    </w:p>
    <w:p w:rsidR="00A42AA5" w:rsidRDefault="005E609D" w:rsidP="00E400F6">
      <w:pPr>
        <w:rPr>
          <w:rFonts w:asciiTheme="minorHAnsi" w:hAnsiTheme="minorHAnsi"/>
          <w:sz w:val="22"/>
          <w:szCs w:val="22"/>
        </w:rPr>
      </w:pPr>
      <w:r w:rsidRPr="005E609D">
        <w:rPr>
          <w:rFonts w:asciiTheme="minorHAnsi" w:hAnsiTheme="minorHAnsi"/>
          <w:sz w:val="22"/>
          <w:szCs w:val="22"/>
        </w:rPr>
        <w:t xml:space="preserve">Block Trades for all Contracts may be executed at any time during the Exchange’s Pre-Open, Open, and Close Trading Sessions.  </w:t>
      </w:r>
    </w:p>
    <w:p w:rsidR="000764F1" w:rsidRDefault="00F06F0D" w:rsidP="000764F1">
      <w:pPr>
        <w:pStyle w:val="Heading1"/>
        <w:numPr>
          <w:ilvl w:val="0"/>
          <w:numId w:val="11"/>
        </w:numPr>
      </w:pPr>
      <w:r>
        <w:t xml:space="preserve"> </w:t>
      </w:r>
      <w:bookmarkStart w:id="12" w:name="_Toc465175539"/>
      <w:r w:rsidR="000764F1" w:rsidRPr="000764F1">
        <w:t>HOW ARE BLOCK TRADES REPORTED?</w:t>
      </w:r>
      <w:bookmarkEnd w:id="12"/>
    </w:p>
    <w:p w:rsidR="000764F1" w:rsidRDefault="000764F1" w:rsidP="000764F1">
      <w:pPr>
        <w:rPr>
          <w:rFonts w:asciiTheme="minorHAnsi" w:hAnsiTheme="minorHAnsi"/>
          <w:sz w:val="22"/>
          <w:szCs w:val="22"/>
        </w:rPr>
      </w:pPr>
      <w:r w:rsidRPr="005E609D">
        <w:rPr>
          <w:rFonts w:asciiTheme="minorHAnsi" w:hAnsiTheme="minorHAnsi"/>
          <w:sz w:val="22"/>
          <w:szCs w:val="22"/>
        </w:rPr>
        <w:t xml:space="preserve">Block Trades for all Contracts may be executed at any time during the Exchange’s Pre-Open, Open, and Close Trading Sessions.  </w:t>
      </w:r>
    </w:p>
    <w:p w:rsidR="00FD799D" w:rsidRDefault="00FD799D" w:rsidP="000764F1">
      <w:pPr>
        <w:rPr>
          <w:rFonts w:asciiTheme="minorHAnsi" w:hAnsiTheme="minorHAnsi"/>
          <w:sz w:val="22"/>
          <w:szCs w:val="22"/>
        </w:rPr>
      </w:pPr>
    </w:p>
    <w:p w:rsidR="00FD799D" w:rsidRDefault="00FD799D" w:rsidP="00FD799D">
      <w:pPr>
        <w:pStyle w:val="Heading1"/>
        <w:numPr>
          <w:ilvl w:val="0"/>
          <w:numId w:val="11"/>
        </w:numPr>
      </w:pPr>
      <w:r>
        <w:t xml:space="preserve"> </w:t>
      </w:r>
      <w:bookmarkStart w:id="13" w:name="_Toc465175540"/>
      <w:r w:rsidRPr="00FD799D">
        <w:t>WHAT ARE THE REPORTING REQUIREMENTS FOR BLOCK TRADES?</w:t>
      </w:r>
      <w:bookmarkEnd w:id="13"/>
    </w:p>
    <w:p w:rsidR="00FD799D" w:rsidRPr="00FD799D" w:rsidRDefault="00FD799D" w:rsidP="00FD799D">
      <w:pPr>
        <w:rPr>
          <w:rFonts w:asciiTheme="minorHAnsi" w:hAnsiTheme="minorHAnsi"/>
          <w:sz w:val="22"/>
          <w:szCs w:val="22"/>
        </w:rPr>
      </w:pPr>
      <w:r w:rsidRPr="00FD799D">
        <w:rPr>
          <w:rFonts w:asciiTheme="minorHAnsi" w:hAnsiTheme="minorHAnsi"/>
          <w:sz w:val="22"/>
          <w:szCs w:val="22"/>
        </w:rPr>
        <w:t>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w:t>
      </w:r>
    </w:p>
    <w:p w:rsidR="00FD799D" w:rsidRPr="00FD799D" w:rsidRDefault="00FD799D" w:rsidP="00FD799D">
      <w:pPr>
        <w:rPr>
          <w:rFonts w:asciiTheme="minorHAnsi" w:hAnsiTheme="minorHAnsi"/>
          <w:sz w:val="22"/>
          <w:szCs w:val="22"/>
        </w:rPr>
      </w:pPr>
      <w:r w:rsidRPr="00FD799D">
        <w:rPr>
          <w:rFonts w:asciiTheme="minorHAnsi" w:hAnsiTheme="minorHAnsi"/>
          <w:sz w:val="22"/>
          <w:szCs w:val="22"/>
        </w:rPr>
        <w:t>The Block Trade report made to the Exchange must include the following information: Contract, contract month, price, quantity of the transaction, the respective Clearing Futures Participants, the time of execution, and, for Options on Futures, strike price, put or call and expiration month. Failure to timely and accurately report Block Trades may subject the Futures Participant to disciplinary action.</w:t>
      </w:r>
    </w:p>
    <w:p w:rsidR="00FD799D" w:rsidRPr="00FD799D" w:rsidRDefault="00FD799D" w:rsidP="00FD799D">
      <w:pPr>
        <w:rPr>
          <w:rFonts w:asciiTheme="minorHAnsi" w:hAnsiTheme="minorHAnsi"/>
          <w:sz w:val="22"/>
          <w:szCs w:val="22"/>
        </w:rPr>
      </w:pPr>
    </w:p>
    <w:p w:rsidR="00FD799D" w:rsidRDefault="00FD799D" w:rsidP="00FD799D">
      <w:pPr>
        <w:rPr>
          <w:rFonts w:asciiTheme="minorHAnsi" w:hAnsiTheme="minorHAnsi"/>
          <w:sz w:val="22"/>
          <w:szCs w:val="22"/>
        </w:rPr>
      </w:pPr>
      <w:r w:rsidRPr="00FD799D">
        <w:rPr>
          <w:rFonts w:asciiTheme="minorHAnsi" w:hAnsiTheme="minorHAnsi"/>
          <w:sz w:val="22"/>
          <w:szCs w:val="22"/>
        </w:rPr>
        <w:t>Energy Futures and Options Contracts must be reported as specified in the rules for the particular Contract; except that Block Trades executed outside of Trading Hours must be reported within fifteen minutes of the commencement of the next Open Session of a Trading Session for that Contract.</w:t>
      </w:r>
    </w:p>
    <w:p w:rsidR="00FD799D" w:rsidRDefault="00FD799D" w:rsidP="000764F1">
      <w:pPr>
        <w:rPr>
          <w:rFonts w:asciiTheme="minorHAnsi" w:hAnsiTheme="minorHAnsi"/>
          <w:sz w:val="22"/>
          <w:szCs w:val="22"/>
        </w:rPr>
      </w:pPr>
    </w:p>
    <w:p w:rsidR="00FD799D" w:rsidRDefault="00FD799D" w:rsidP="000764F1">
      <w:pPr>
        <w:rPr>
          <w:rFonts w:asciiTheme="minorHAnsi" w:hAnsiTheme="minorHAnsi"/>
          <w:sz w:val="22"/>
          <w:szCs w:val="22"/>
        </w:rPr>
      </w:pPr>
    </w:p>
    <w:p w:rsidR="00FD799D" w:rsidRDefault="00FD799D" w:rsidP="000764F1">
      <w:pPr>
        <w:rPr>
          <w:rFonts w:asciiTheme="minorHAnsi" w:hAnsiTheme="minorHAnsi"/>
          <w:sz w:val="22"/>
          <w:szCs w:val="22"/>
        </w:rPr>
      </w:pPr>
    </w:p>
    <w:p w:rsidR="005E609D" w:rsidRPr="006321C1" w:rsidRDefault="000764F1" w:rsidP="000764F1">
      <w:pPr>
        <w:pStyle w:val="Heading1"/>
        <w:numPr>
          <w:ilvl w:val="0"/>
          <w:numId w:val="11"/>
        </w:numPr>
      </w:pPr>
      <w:r>
        <w:lastRenderedPageBreak/>
        <w:t xml:space="preserve"> </w:t>
      </w:r>
      <w:bookmarkStart w:id="14" w:name="_Toc465175541"/>
      <w:r w:rsidRPr="000764F1">
        <w:t>WHAT ARE THE PROCEDURES FOR SUBMITTING A BLOCK TRADE?</w:t>
      </w:r>
      <w:bookmarkEnd w:id="14"/>
    </w:p>
    <w:p w:rsidR="000764F1" w:rsidRDefault="000764F1" w:rsidP="000764F1">
      <w:pPr>
        <w:rPr>
          <w:rFonts w:asciiTheme="minorHAnsi" w:hAnsiTheme="minorHAnsi"/>
          <w:sz w:val="22"/>
          <w:szCs w:val="22"/>
        </w:rPr>
      </w:pPr>
    </w:p>
    <w:p w:rsidR="000764F1" w:rsidRPr="000764F1" w:rsidRDefault="000764F1" w:rsidP="000764F1">
      <w:pPr>
        <w:rPr>
          <w:rFonts w:asciiTheme="minorHAnsi" w:hAnsiTheme="minorHAnsi"/>
          <w:sz w:val="22"/>
          <w:szCs w:val="22"/>
        </w:rPr>
      </w:pPr>
      <w:r w:rsidRPr="000764F1">
        <w:rPr>
          <w:rFonts w:asciiTheme="minorHAnsi" w:hAnsiTheme="minorHAnsi"/>
          <w:sz w:val="22"/>
          <w:szCs w:val="22"/>
        </w:rPr>
        <w:t>In order to submit a Block Trade into NFX, the party entering the transaction must have access to NasdaQ-Port, NFX API, or an ISV which has an NFX Block Trade reporting facility.  Every trade reported into NFX is assigned to an FCM Account where all Accounts and Authorized Traders are managed through one or more of the available interfaces (NFX API, NasdaQ-Port, ISV, etc.).  Each trade report must pass Pre-Trade Risk Management (TradeGuard) in whole before being accepted by the Exchange.  More information can be found here:</w:t>
      </w:r>
    </w:p>
    <w:p w:rsidR="000764F1" w:rsidRPr="000764F1" w:rsidRDefault="000764F1" w:rsidP="000764F1">
      <w:pPr>
        <w:rPr>
          <w:rFonts w:asciiTheme="minorHAnsi" w:hAnsiTheme="minorHAnsi"/>
          <w:sz w:val="22"/>
          <w:szCs w:val="22"/>
        </w:rPr>
      </w:pPr>
    </w:p>
    <w:p w:rsidR="000764F1" w:rsidRPr="00454A62" w:rsidRDefault="00821531" w:rsidP="000764F1">
      <w:pPr>
        <w:rPr>
          <w:rFonts w:asciiTheme="minorHAnsi" w:hAnsiTheme="minorHAnsi"/>
          <w:sz w:val="22"/>
          <w:szCs w:val="22"/>
        </w:rPr>
      </w:pPr>
      <w:hyperlink r:id="rId29" w:history="1">
        <w:r w:rsidR="000764F1" w:rsidRPr="00454A62">
          <w:rPr>
            <w:rStyle w:val="Hyperlink"/>
            <w:rFonts w:asciiTheme="minorHAnsi" w:hAnsiTheme="minorHAnsi"/>
            <w:strike/>
            <w:spacing w:val="0"/>
            <w:sz w:val="22"/>
            <w:szCs w:val="22"/>
          </w:rPr>
          <w:t>www.nasdaqomx.com/transactions/markets/nasdaq-futures/onboarding</w:t>
        </w:r>
      </w:hyperlink>
      <w:r w:rsidR="000764F1" w:rsidRPr="00454A62">
        <w:rPr>
          <w:rFonts w:asciiTheme="minorHAnsi" w:hAnsiTheme="minorHAnsi"/>
          <w:sz w:val="22"/>
          <w:szCs w:val="22"/>
        </w:rPr>
        <w:t xml:space="preserve"> </w:t>
      </w:r>
      <w:hyperlink r:id="rId30" w:history="1">
        <w:r w:rsidR="000764F1" w:rsidRPr="00454A62">
          <w:rPr>
            <w:rStyle w:val="Hyperlink"/>
            <w:rFonts w:asciiTheme="minorHAnsi" w:hAnsiTheme="minorHAnsi"/>
            <w:spacing w:val="0"/>
            <w:sz w:val="22"/>
            <w:szCs w:val="22"/>
          </w:rPr>
          <w:t>http://business.nasdaq.com/nasdaq-futures/onboarding</w:t>
        </w:r>
      </w:hyperlink>
      <w:r w:rsidR="000764F1" w:rsidRPr="00454A62">
        <w:rPr>
          <w:rFonts w:asciiTheme="minorHAnsi" w:hAnsiTheme="minorHAnsi"/>
          <w:sz w:val="22"/>
          <w:szCs w:val="22"/>
        </w:rPr>
        <w:t xml:space="preserve">  </w:t>
      </w:r>
    </w:p>
    <w:p w:rsidR="000764F1" w:rsidRPr="00454A62" w:rsidRDefault="000764F1" w:rsidP="000764F1">
      <w:pPr>
        <w:rPr>
          <w:rFonts w:asciiTheme="minorHAnsi" w:hAnsiTheme="minorHAnsi"/>
          <w:strike/>
          <w:sz w:val="22"/>
          <w:szCs w:val="22"/>
        </w:rPr>
      </w:pPr>
      <w:r w:rsidRPr="00454A62">
        <w:rPr>
          <w:rFonts w:asciiTheme="minorHAnsi" w:hAnsiTheme="minorHAnsi"/>
          <w:strike/>
          <w:sz w:val="22"/>
          <w:szCs w:val="22"/>
        </w:rPr>
        <w:t>or</w:t>
      </w:r>
    </w:p>
    <w:p w:rsidR="000764F1" w:rsidRPr="000764F1" w:rsidRDefault="00821531" w:rsidP="000764F1">
      <w:pPr>
        <w:rPr>
          <w:rFonts w:asciiTheme="minorHAnsi" w:hAnsiTheme="minorHAnsi"/>
          <w:strike/>
          <w:sz w:val="22"/>
          <w:szCs w:val="22"/>
        </w:rPr>
      </w:pPr>
      <w:hyperlink r:id="rId31" w:history="1">
        <w:r w:rsidR="000764F1" w:rsidRPr="00454A62">
          <w:rPr>
            <w:rStyle w:val="Hyperlink"/>
            <w:rFonts w:asciiTheme="minorHAnsi" w:hAnsiTheme="minorHAnsi"/>
            <w:strike/>
            <w:spacing w:val="0"/>
            <w:sz w:val="22"/>
            <w:szCs w:val="22"/>
          </w:rPr>
          <w:t>www.nasdaqomx.com/transactions/markets/nasdaq-futures/information-center</w:t>
        </w:r>
      </w:hyperlink>
      <w:r w:rsidR="000764F1" w:rsidRPr="000764F1">
        <w:rPr>
          <w:rFonts w:asciiTheme="minorHAnsi" w:hAnsiTheme="minorHAnsi"/>
          <w:strike/>
          <w:sz w:val="22"/>
          <w:szCs w:val="22"/>
        </w:rPr>
        <w:t xml:space="preserve"> </w:t>
      </w:r>
    </w:p>
    <w:p w:rsidR="000764F1" w:rsidRPr="000764F1" w:rsidRDefault="000764F1" w:rsidP="000764F1">
      <w:pPr>
        <w:rPr>
          <w:rFonts w:asciiTheme="minorHAnsi" w:hAnsiTheme="minorHAnsi"/>
          <w:sz w:val="22"/>
          <w:szCs w:val="22"/>
        </w:rPr>
      </w:pPr>
    </w:p>
    <w:p w:rsidR="000764F1" w:rsidRPr="000764F1" w:rsidRDefault="000764F1" w:rsidP="000764F1">
      <w:pPr>
        <w:rPr>
          <w:rFonts w:asciiTheme="minorHAnsi" w:hAnsiTheme="minorHAnsi"/>
          <w:sz w:val="22"/>
          <w:szCs w:val="22"/>
        </w:rPr>
      </w:pPr>
      <w:r w:rsidRPr="000764F1">
        <w:rPr>
          <w:rFonts w:asciiTheme="minorHAnsi" w:hAnsiTheme="minorHAnsi"/>
          <w:sz w:val="22"/>
          <w:szCs w:val="22"/>
        </w:rPr>
        <w:t>The following three steps are necessary to submit a Block Trade:</w:t>
      </w:r>
    </w:p>
    <w:p w:rsidR="000764F1" w:rsidRPr="000764F1" w:rsidRDefault="000764F1" w:rsidP="000764F1">
      <w:pPr>
        <w:rPr>
          <w:rFonts w:asciiTheme="minorHAnsi" w:hAnsiTheme="minorHAnsi"/>
          <w:sz w:val="22"/>
          <w:szCs w:val="22"/>
        </w:rPr>
      </w:pPr>
    </w:p>
    <w:p w:rsidR="000764F1" w:rsidRDefault="000764F1" w:rsidP="000764F1">
      <w:pPr>
        <w:rPr>
          <w:rFonts w:asciiTheme="minorHAnsi" w:hAnsiTheme="minorHAnsi"/>
          <w:sz w:val="22"/>
          <w:szCs w:val="22"/>
        </w:rPr>
      </w:pPr>
      <w:r w:rsidRPr="000764F1">
        <w:rPr>
          <w:rFonts w:asciiTheme="minorHAnsi" w:hAnsiTheme="minorHAnsi"/>
          <w:sz w:val="22"/>
          <w:szCs w:val="22"/>
        </w:rPr>
        <w:t>Step 1:  All Customer Accounts must be registered in the NFX Trading System as Accounts of a Clearing Futures Participant.  This is required for all Customer Accounts, regardless of whether the Customer is going to engage in Order Book trading or  Block Trading. The Account registration is electronically submitted via a request to the NFX Market Operations. Block Trades are subject to NFX Rules at Chapter IV, Section 11.</w:t>
      </w:r>
    </w:p>
    <w:p w:rsidR="000764F1" w:rsidRDefault="000764F1" w:rsidP="000764F1">
      <w:pPr>
        <w:rPr>
          <w:rFonts w:asciiTheme="minorHAnsi" w:hAnsiTheme="minorHAnsi"/>
          <w:sz w:val="22"/>
          <w:szCs w:val="22"/>
        </w:rPr>
      </w:pPr>
    </w:p>
    <w:p w:rsidR="000764F1" w:rsidRDefault="000764F1" w:rsidP="000764F1">
      <w:pPr>
        <w:jc w:val="center"/>
        <w:rPr>
          <w:rFonts w:asciiTheme="minorHAnsi" w:hAnsiTheme="minorHAnsi"/>
          <w:sz w:val="22"/>
          <w:szCs w:val="22"/>
        </w:rPr>
      </w:pPr>
      <w:r w:rsidRPr="002B2145">
        <w:rPr>
          <w:rFonts w:asciiTheme="minorHAnsi" w:hAnsiTheme="minorHAnsi"/>
          <w:noProof/>
        </w:rPr>
        <w:drawing>
          <wp:inline distT="0" distB="0" distL="0" distR="0" wp14:anchorId="6AC0A0C5" wp14:editId="7AE48433">
            <wp:extent cx="1493932" cy="1752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97510" cy="1756798"/>
                    </a:xfrm>
                    <a:prstGeom prst="rect">
                      <a:avLst/>
                    </a:prstGeom>
                    <a:noFill/>
                  </pic:spPr>
                </pic:pic>
              </a:graphicData>
            </a:graphic>
          </wp:inline>
        </w:drawing>
      </w:r>
    </w:p>
    <w:p w:rsidR="000764F1" w:rsidRDefault="000764F1" w:rsidP="000764F1">
      <w:pPr>
        <w:rPr>
          <w:rFonts w:asciiTheme="minorHAnsi" w:hAnsiTheme="minorHAnsi"/>
          <w:sz w:val="22"/>
          <w:szCs w:val="22"/>
        </w:rPr>
      </w:pPr>
    </w:p>
    <w:p w:rsidR="000764F1" w:rsidRDefault="000764F1" w:rsidP="000764F1">
      <w:pPr>
        <w:rPr>
          <w:rFonts w:asciiTheme="minorHAnsi" w:hAnsiTheme="minorHAnsi"/>
          <w:sz w:val="22"/>
          <w:szCs w:val="22"/>
        </w:rPr>
      </w:pPr>
    </w:p>
    <w:p w:rsidR="000764F1" w:rsidRDefault="000764F1" w:rsidP="000764F1">
      <w:pPr>
        <w:rPr>
          <w:rFonts w:asciiTheme="minorHAnsi" w:hAnsiTheme="minorHAnsi"/>
          <w:sz w:val="22"/>
          <w:szCs w:val="22"/>
        </w:rPr>
      </w:pPr>
      <w:r w:rsidRPr="000764F1">
        <w:rPr>
          <w:rFonts w:asciiTheme="minorHAnsi" w:hAnsiTheme="minorHAnsi"/>
          <w:sz w:val="22"/>
          <w:szCs w:val="22"/>
        </w:rPr>
        <w:t>Step 2: A Brokerage Firm is granted the generic right to register Block Trades on behalf of a Clearing Futures Participant or FCM.</w:t>
      </w:r>
    </w:p>
    <w:p w:rsidR="000764F1" w:rsidRDefault="000764F1" w:rsidP="000764F1">
      <w:pPr>
        <w:rPr>
          <w:rFonts w:asciiTheme="minorHAnsi" w:hAnsiTheme="minorHAnsi"/>
          <w:sz w:val="22"/>
          <w:szCs w:val="22"/>
        </w:rPr>
      </w:pPr>
    </w:p>
    <w:p w:rsidR="000764F1" w:rsidRDefault="000764F1" w:rsidP="000764F1">
      <w:pPr>
        <w:jc w:val="center"/>
        <w:rPr>
          <w:rFonts w:asciiTheme="minorHAnsi" w:hAnsiTheme="minorHAnsi"/>
          <w:sz w:val="22"/>
          <w:szCs w:val="22"/>
        </w:rPr>
      </w:pPr>
      <w:r w:rsidRPr="003129C2">
        <w:rPr>
          <w:noProof/>
        </w:rPr>
        <w:drawing>
          <wp:inline distT="0" distB="0" distL="0" distR="0" wp14:anchorId="1FD6BD29" wp14:editId="0C2389B1">
            <wp:extent cx="3017520" cy="724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17520" cy="724392"/>
                    </a:xfrm>
                    <a:prstGeom prst="rect">
                      <a:avLst/>
                    </a:prstGeom>
                    <a:noFill/>
                  </pic:spPr>
                </pic:pic>
              </a:graphicData>
            </a:graphic>
          </wp:inline>
        </w:drawing>
      </w:r>
    </w:p>
    <w:p w:rsidR="000764F1" w:rsidRDefault="000764F1" w:rsidP="000764F1">
      <w:pPr>
        <w:rPr>
          <w:rFonts w:asciiTheme="minorHAnsi" w:hAnsiTheme="minorHAnsi"/>
          <w:sz w:val="22"/>
          <w:szCs w:val="22"/>
        </w:rPr>
      </w:pPr>
    </w:p>
    <w:p w:rsidR="000764F1" w:rsidRDefault="000764F1" w:rsidP="000764F1">
      <w:pPr>
        <w:rPr>
          <w:rFonts w:asciiTheme="minorHAnsi" w:hAnsiTheme="minorHAnsi"/>
          <w:sz w:val="22"/>
          <w:szCs w:val="22"/>
        </w:rPr>
      </w:pPr>
    </w:p>
    <w:p w:rsidR="000764F1" w:rsidRDefault="000764F1" w:rsidP="000764F1">
      <w:pPr>
        <w:rPr>
          <w:rFonts w:asciiTheme="minorHAnsi" w:hAnsiTheme="minorHAnsi"/>
          <w:sz w:val="22"/>
          <w:szCs w:val="22"/>
        </w:rPr>
      </w:pPr>
      <w:r w:rsidRPr="000764F1">
        <w:rPr>
          <w:rFonts w:asciiTheme="minorHAnsi" w:hAnsiTheme="minorHAnsi"/>
          <w:sz w:val="22"/>
          <w:szCs w:val="22"/>
        </w:rPr>
        <w:t xml:space="preserve">Step 3: The final step in the process is completed when the Clearing Futures Participant provides instructions for the assignment of a Brokerage Firm with trade reporting rights for a specific Account (representing the Customer).  The assignment is electronically submitted via the NFX Block Trade reporting interface, and any necessary modifications may be submitted and applied intra-day.  Please note that no </w:t>
      </w:r>
      <w:r w:rsidRPr="000764F1">
        <w:rPr>
          <w:rFonts w:asciiTheme="minorHAnsi" w:hAnsiTheme="minorHAnsi"/>
          <w:sz w:val="22"/>
          <w:szCs w:val="22"/>
        </w:rPr>
        <w:lastRenderedPageBreak/>
        <w:t>Block Trade reports can be submitted by a trade reporting Brokerage Firm until the respective Accounts have been approved by the Exchange.  Each Account can be utilized by one or multiple Authorized Traders, each of which will have a unique Authorized Trader ID.</w:t>
      </w:r>
    </w:p>
    <w:p w:rsidR="000764F1" w:rsidRDefault="000764F1" w:rsidP="000764F1">
      <w:pPr>
        <w:rPr>
          <w:rFonts w:asciiTheme="minorHAnsi" w:hAnsiTheme="minorHAnsi"/>
          <w:sz w:val="22"/>
          <w:szCs w:val="22"/>
        </w:rPr>
      </w:pPr>
    </w:p>
    <w:p w:rsidR="000764F1" w:rsidRDefault="000764F1" w:rsidP="000764F1">
      <w:pPr>
        <w:jc w:val="center"/>
        <w:rPr>
          <w:rFonts w:asciiTheme="minorHAnsi" w:hAnsiTheme="minorHAnsi"/>
          <w:sz w:val="22"/>
          <w:szCs w:val="22"/>
        </w:rPr>
      </w:pPr>
      <w:r w:rsidRPr="002B2145">
        <w:rPr>
          <w:noProof/>
        </w:rPr>
        <w:drawing>
          <wp:inline distT="0" distB="0" distL="0" distR="0" wp14:anchorId="41A91113" wp14:editId="0E00D495">
            <wp:extent cx="3017520" cy="16796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17520" cy="1679625"/>
                    </a:xfrm>
                    <a:prstGeom prst="rect">
                      <a:avLst/>
                    </a:prstGeom>
                    <a:noFill/>
                  </pic:spPr>
                </pic:pic>
              </a:graphicData>
            </a:graphic>
          </wp:inline>
        </w:drawing>
      </w:r>
    </w:p>
    <w:p w:rsidR="000764F1" w:rsidRDefault="000764F1" w:rsidP="000764F1">
      <w:pPr>
        <w:rPr>
          <w:rFonts w:asciiTheme="minorHAnsi" w:hAnsiTheme="minorHAnsi"/>
          <w:sz w:val="22"/>
          <w:szCs w:val="22"/>
        </w:rPr>
      </w:pPr>
    </w:p>
    <w:p w:rsidR="000764F1" w:rsidRPr="000764F1" w:rsidRDefault="000764F1" w:rsidP="000764F1">
      <w:pPr>
        <w:rPr>
          <w:rFonts w:asciiTheme="minorHAnsi" w:hAnsiTheme="minorHAnsi"/>
          <w:sz w:val="22"/>
          <w:szCs w:val="22"/>
        </w:rPr>
      </w:pPr>
      <w:r w:rsidRPr="000764F1">
        <w:rPr>
          <w:rFonts w:asciiTheme="minorHAnsi" w:hAnsiTheme="minorHAnsi"/>
          <w:sz w:val="22"/>
          <w:szCs w:val="22"/>
        </w:rPr>
        <w:t>Energy Futures and Options must be entered completely within the times of execution specified above.</w:t>
      </w:r>
    </w:p>
    <w:p w:rsidR="000764F1" w:rsidRPr="000764F1" w:rsidRDefault="000764F1" w:rsidP="000764F1">
      <w:pPr>
        <w:rPr>
          <w:rFonts w:asciiTheme="minorHAnsi" w:hAnsiTheme="minorHAnsi"/>
          <w:sz w:val="22"/>
          <w:szCs w:val="22"/>
        </w:rPr>
      </w:pPr>
    </w:p>
    <w:p w:rsidR="000764F1" w:rsidRPr="000764F1" w:rsidRDefault="000764F1" w:rsidP="000764F1">
      <w:pPr>
        <w:rPr>
          <w:rFonts w:asciiTheme="minorHAnsi" w:hAnsiTheme="minorHAnsi"/>
          <w:sz w:val="22"/>
          <w:szCs w:val="22"/>
        </w:rPr>
      </w:pPr>
      <w:r w:rsidRPr="000764F1">
        <w:rPr>
          <w:rFonts w:asciiTheme="minorHAnsi" w:hAnsiTheme="minorHAnsi"/>
          <w:sz w:val="22"/>
          <w:szCs w:val="22"/>
        </w:rPr>
        <w:t>The party submitting the Block Trade should enter complete Block Trade details as follows:</w:t>
      </w:r>
    </w:p>
    <w:p w:rsidR="000764F1" w:rsidRPr="000764F1" w:rsidRDefault="000764F1" w:rsidP="000764F1">
      <w:pPr>
        <w:rPr>
          <w:rFonts w:asciiTheme="minorHAnsi" w:hAnsiTheme="minorHAnsi"/>
          <w:sz w:val="22"/>
          <w:szCs w:val="22"/>
        </w:rPr>
      </w:pPr>
    </w:p>
    <w:p w:rsidR="000764F1" w:rsidRPr="000764F1" w:rsidRDefault="000764F1" w:rsidP="000764F1">
      <w:pPr>
        <w:pStyle w:val="ListParagraph"/>
        <w:numPr>
          <w:ilvl w:val="0"/>
          <w:numId w:val="38"/>
        </w:numPr>
        <w:rPr>
          <w:rFonts w:asciiTheme="minorHAnsi" w:hAnsiTheme="minorHAnsi"/>
          <w:sz w:val="22"/>
          <w:szCs w:val="22"/>
        </w:rPr>
      </w:pPr>
      <w:r w:rsidRPr="000764F1">
        <w:rPr>
          <w:rFonts w:asciiTheme="minorHAnsi" w:hAnsiTheme="minorHAnsi"/>
          <w:sz w:val="22"/>
          <w:szCs w:val="22"/>
        </w:rPr>
        <w:t>Single party – where the seller/buyer submits a trade details (including execution time) that are exactly equal and opposite its corresponding single party trade report (counterparty), the match must successfully happen within the respective Block Trade Reporting Window.</w:t>
      </w:r>
    </w:p>
    <w:p w:rsidR="000764F1" w:rsidRPr="000764F1" w:rsidRDefault="000764F1" w:rsidP="000764F1">
      <w:pPr>
        <w:pStyle w:val="ListParagraph"/>
        <w:numPr>
          <w:ilvl w:val="0"/>
          <w:numId w:val="38"/>
        </w:numPr>
        <w:rPr>
          <w:rFonts w:asciiTheme="minorHAnsi" w:hAnsiTheme="minorHAnsi"/>
          <w:sz w:val="22"/>
          <w:szCs w:val="22"/>
        </w:rPr>
      </w:pPr>
      <w:r w:rsidRPr="000764F1">
        <w:rPr>
          <w:rFonts w:asciiTheme="minorHAnsi" w:hAnsiTheme="minorHAnsi"/>
          <w:sz w:val="22"/>
          <w:szCs w:val="22"/>
        </w:rPr>
        <w:t>Two sided, third party – where an independent party who is neither the buyer nor seller reports a trade for one or both the buyer and seller.  The authorized submitter will need to be permissioned to report trades on behalf of the executing parties and FCM accounts.</w:t>
      </w:r>
    </w:p>
    <w:p w:rsidR="000764F1" w:rsidRPr="000764F1" w:rsidRDefault="000764F1" w:rsidP="000764F1">
      <w:pPr>
        <w:rPr>
          <w:rFonts w:asciiTheme="minorHAnsi" w:hAnsiTheme="minorHAnsi"/>
          <w:sz w:val="22"/>
          <w:szCs w:val="22"/>
        </w:rPr>
      </w:pPr>
    </w:p>
    <w:p w:rsidR="000764F1" w:rsidRPr="000764F1" w:rsidRDefault="000764F1" w:rsidP="000764F1">
      <w:pPr>
        <w:pStyle w:val="ListParagraph"/>
        <w:numPr>
          <w:ilvl w:val="0"/>
          <w:numId w:val="38"/>
        </w:numPr>
        <w:rPr>
          <w:rFonts w:asciiTheme="minorHAnsi" w:hAnsiTheme="minorHAnsi"/>
          <w:sz w:val="22"/>
          <w:szCs w:val="22"/>
        </w:rPr>
      </w:pPr>
      <w:r w:rsidRPr="000764F1">
        <w:rPr>
          <w:rFonts w:asciiTheme="minorHAnsi" w:hAnsiTheme="minorHAnsi"/>
          <w:sz w:val="22"/>
          <w:szCs w:val="22"/>
        </w:rPr>
        <w:t>When reporting a Block Trade, the following information will be required:</w:t>
      </w:r>
    </w:p>
    <w:p w:rsidR="000764F1" w:rsidRPr="00D9716A" w:rsidRDefault="000764F1" w:rsidP="00D9716A">
      <w:pPr>
        <w:pStyle w:val="ListParagraph"/>
        <w:numPr>
          <w:ilvl w:val="0"/>
          <w:numId w:val="38"/>
        </w:numPr>
        <w:ind w:left="1656"/>
        <w:rPr>
          <w:rFonts w:asciiTheme="minorHAnsi" w:hAnsiTheme="minorHAnsi"/>
          <w:sz w:val="22"/>
          <w:szCs w:val="22"/>
        </w:rPr>
      </w:pPr>
      <w:r w:rsidRPr="00D9716A">
        <w:rPr>
          <w:rFonts w:asciiTheme="minorHAnsi" w:hAnsiTheme="minorHAnsi"/>
          <w:sz w:val="22"/>
          <w:szCs w:val="22"/>
        </w:rPr>
        <w:t>Contract (including contract month and contract year for Futures, and, additionally for Options, strike price and put or call designation);</w:t>
      </w:r>
    </w:p>
    <w:p w:rsidR="000764F1" w:rsidRPr="00D9716A" w:rsidRDefault="000764F1" w:rsidP="00D9716A">
      <w:pPr>
        <w:pStyle w:val="ListParagraph"/>
        <w:numPr>
          <w:ilvl w:val="0"/>
          <w:numId w:val="38"/>
        </w:numPr>
        <w:ind w:left="1656"/>
        <w:rPr>
          <w:rFonts w:asciiTheme="minorHAnsi" w:hAnsiTheme="minorHAnsi"/>
          <w:sz w:val="22"/>
          <w:szCs w:val="22"/>
        </w:rPr>
      </w:pPr>
      <w:r w:rsidRPr="00D9716A">
        <w:rPr>
          <w:rFonts w:asciiTheme="minorHAnsi" w:hAnsiTheme="minorHAnsi"/>
          <w:sz w:val="22"/>
          <w:szCs w:val="22"/>
        </w:rPr>
        <w:t>Quantity of the trade and quantity of each respective leg;</w:t>
      </w:r>
    </w:p>
    <w:p w:rsidR="000764F1" w:rsidRPr="00D9716A" w:rsidRDefault="000764F1" w:rsidP="00D9716A">
      <w:pPr>
        <w:pStyle w:val="ListParagraph"/>
        <w:numPr>
          <w:ilvl w:val="0"/>
          <w:numId w:val="38"/>
        </w:numPr>
        <w:ind w:left="1656"/>
        <w:rPr>
          <w:rFonts w:asciiTheme="minorHAnsi" w:hAnsiTheme="minorHAnsi"/>
          <w:sz w:val="22"/>
          <w:szCs w:val="22"/>
        </w:rPr>
      </w:pPr>
      <w:r w:rsidRPr="00D9716A">
        <w:rPr>
          <w:rFonts w:asciiTheme="minorHAnsi" w:hAnsiTheme="minorHAnsi"/>
          <w:sz w:val="22"/>
          <w:szCs w:val="22"/>
        </w:rPr>
        <w:t>Price of the trade and price of each leg;</w:t>
      </w:r>
    </w:p>
    <w:p w:rsidR="000764F1" w:rsidRPr="00D9716A" w:rsidRDefault="000764F1" w:rsidP="00D9716A">
      <w:pPr>
        <w:pStyle w:val="ListParagraph"/>
        <w:numPr>
          <w:ilvl w:val="0"/>
          <w:numId w:val="38"/>
        </w:numPr>
        <w:ind w:left="1656"/>
        <w:rPr>
          <w:rFonts w:asciiTheme="minorHAnsi" w:hAnsiTheme="minorHAnsi"/>
          <w:sz w:val="22"/>
          <w:szCs w:val="22"/>
        </w:rPr>
      </w:pPr>
      <w:r w:rsidRPr="00D9716A">
        <w:rPr>
          <w:rFonts w:asciiTheme="minorHAnsi" w:hAnsiTheme="minorHAnsi"/>
          <w:sz w:val="22"/>
          <w:szCs w:val="22"/>
        </w:rPr>
        <w:t>Buyer’s Clearing Futures Participant and seller’s Clearing Futures Participant;</w:t>
      </w:r>
    </w:p>
    <w:p w:rsidR="000764F1" w:rsidRPr="00D9716A" w:rsidRDefault="000764F1" w:rsidP="00D9716A">
      <w:pPr>
        <w:pStyle w:val="ListParagraph"/>
        <w:numPr>
          <w:ilvl w:val="0"/>
          <w:numId w:val="38"/>
        </w:numPr>
        <w:ind w:left="1656"/>
        <w:rPr>
          <w:rFonts w:asciiTheme="minorHAnsi" w:hAnsiTheme="minorHAnsi"/>
          <w:sz w:val="22"/>
          <w:szCs w:val="22"/>
        </w:rPr>
      </w:pPr>
      <w:r w:rsidRPr="00D9716A">
        <w:rPr>
          <w:rFonts w:asciiTheme="minorHAnsi" w:hAnsiTheme="minorHAnsi"/>
          <w:sz w:val="22"/>
          <w:szCs w:val="22"/>
        </w:rPr>
        <w:t>Buyer’s Customer Account and seller’s Customer Account; and</w:t>
      </w:r>
    </w:p>
    <w:p w:rsidR="000764F1" w:rsidRPr="00D9716A" w:rsidRDefault="000764F1" w:rsidP="00D9716A">
      <w:pPr>
        <w:pStyle w:val="ListParagraph"/>
        <w:numPr>
          <w:ilvl w:val="0"/>
          <w:numId w:val="38"/>
        </w:numPr>
        <w:ind w:left="1656"/>
        <w:rPr>
          <w:rFonts w:asciiTheme="minorHAnsi" w:hAnsiTheme="minorHAnsi"/>
          <w:sz w:val="22"/>
          <w:szCs w:val="22"/>
        </w:rPr>
      </w:pPr>
      <w:r w:rsidRPr="00D9716A">
        <w:rPr>
          <w:rFonts w:asciiTheme="minorHAnsi" w:hAnsiTheme="minorHAnsi"/>
          <w:sz w:val="22"/>
          <w:szCs w:val="22"/>
        </w:rPr>
        <w:t>Execution time of the Order (i.e. the time at which the trade was consummated).</w:t>
      </w:r>
    </w:p>
    <w:p w:rsidR="000764F1" w:rsidRDefault="000764F1" w:rsidP="000764F1">
      <w:pPr>
        <w:rPr>
          <w:rFonts w:asciiTheme="minorHAnsi" w:hAnsiTheme="minorHAnsi"/>
          <w:sz w:val="22"/>
          <w:szCs w:val="22"/>
        </w:rPr>
      </w:pPr>
    </w:p>
    <w:p w:rsidR="00D9716A" w:rsidRPr="00D9716A" w:rsidRDefault="00D9716A" w:rsidP="00D9716A">
      <w:pPr>
        <w:rPr>
          <w:rFonts w:asciiTheme="minorHAnsi" w:hAnsiTheme="minorHAnsi"/>
          <w:b/>
          <w:sz w:val="22"/>
          <w:szCs w:val="22"/>
        </w:rPr>
      </w:pPr>
      <w:r w:rsidRPr="00D9716A">
        <w:rPr>
          <w:rFonts w:asciiTheme="minorHAnsi" w:hAnsiTheme="minorHAnsi"/>
          <w:b/>
          <w:sz w:val="22"/>
          <w:szCs w:val="22"/>
        </w:rPr>
        <w:t>Manual Reporting</w:t>
      </w:r>
    </w:p>
    <w:p w:rsidR="00D9716A" w:rsidRPr="00D9716A" w:rsidRDefault="00D9716A" w:rsidP="00D9716A">
      <w:pPr>
        <w:rPr>
          <w:rFonts w:asciiTheme="minorHAnsi" w:hAnsiTheme="minorHAnsi"/>
          <w:b/>
          <w:sz w:val="22"/>
          <w:szCs w:val="22"/>
        </w:rPr>
      </w:pPr>
    </w:p>
    <w:p w:rsidR="00D9716A" w:rsidRPr="00D9716A" w:rsidRDefault="00D9716A" w:rsidP="00D9716A">
      <w:pPr>
        <w:rPr>
          <w:rFonts w:asciiTheme="minorHAnsi" w:hAnsiTheme="minorHAnsi"/>
          <w:b/>
          <w:sz w:val="22"/>
          <w:szCs w:val="22"/>
        </w:rPr>
      </w:pPr>
      <w:r w:rsidRPr="00D9716A">
        <w:rPr>
          <w:rFonts w:asciiTheme="minorHAnsi" w:hAnsiTheme="minorHAnsi"/>
          <w:b/>
          <w:sz w:val="22"/>
          <w:szCs w:val="22"/>
        </w:rPr>
        <w:t>This option will be available from 08:30 EPT through 15:30 EPT each Business Day.</w:t>
      </w:r>
    </w:p>
    <w:p w:rsidR="00D9716A" w:rsidRPr="00D9716A" w:rsidRDefault="00D9716A" w:rsidP="00D9716A">
      <w:pPr>
        <w:rPr>
          <w:rFonts w:asciiTheme="minorHAnsi" w:hAnsiTheme="minorHAnsi"/>
          <w:sz w:val="22"/>
          <w:szCs w:val="22"/>
        </w:rPr>
      </w:pPr>
    </w:p>
    <w:p w:rsidR="000764F1" w:rsidRDefault="00D9716A" w:rsidP="00D9716A">
      <w:pPr>
        <w:rPr>
          <w:rFonts w:asciiTheme="minorHAnsi" w:hAnsiTheme="minorHAnsi"/>
          <w:sz w:val="22"/>
          <w:szCs w:val="22"/>
        </w:rPr>
      </w:pPr>
      <w:r w:rsidRPr="00D9716A">
        <w:rPr>
          <w:rFonts w:asciiTheme="minorHAnsi" w:hAnsiTheme="minorHAnsi"/>
          <w:sz w:val="22"/>
          <w:szCs w:val="22"/>
        </w:rPr>
        <w:t>If the party submitting the Report determines to submit a Block Trade manually, the party may either: (1) submit an Off-Exchange Submission Form to NFX at tradereports@nasdaq.com; (2) send an email to tradereports@nasdaq.com in lieu of the Off-Exchange Submission Form with required information; or (3) call NFX Market Operations at + 1 215 496 5409 to submit a Block Trade (collectively ”Report”).  The Off-Exchange Submission Form can be found at: www.nasdaqomx.com/nasdaq-futures.  The telephonic feature may only be utilized if the party has completed the security guidelines required by the Exchange to submit Reports telephonically.  The above-referenced information will be required prior to the Exchange accepting the Report.  The submission time shall be the time of the email or phone call.</w:t>
      </w:r>
    </w:p>
    <w:p w:rsidR="000764F1" w:rsidRDefault="000764F1" w:rsidP="000764F1">
      <w:pPr>
        <w:rPr>
          <w:rFonts w:asciiTheme="minorHAnsi" w:hAnsiTheme="minorHAnsi"/>
          <w:sz w:val="22"/>
          <w:szCs w:val="22"/>
        </w:rPr>
      </w:pPr>
    </w:p>
    <w:p w:rsidR="00D9716A" w:rsidRPr="00D9716A" w:rsidRDefault="00D9716A" w:rsidP="00D9716A">
      <w:pPr>
        <w:rPr>
          <w:rFonts w:asciiTheme="minorHAnsi" w:hAnsiTheme="minorHAnsi"/>
          <w:sz w:val="22"/>
          <w:szCs w:val="22"/>
        </w:rPr>
      </w:pPr>
      <w:r w:rsidRPr="00D9716A">
        <w:rPr>
          <w:rFonts w:asciiTheme="minorHAnsi" w:hAnsiTheme="minorHAnsi"/>
          <w:sz w:val="22"/>
          <w:szCs w:val="22"/>
        </w:rPr>
        <w:t>The following three steps are required to manually submit a Block Trade Report:</w:t>
      </w:r>
    </w:p>
    <w:p w:rsidR="00D9716A" w:rsidRPr="00D9716A" w:rsidRDefault="00D9716A" w:rsidP="00D9716A">
      <w:pPr>
        <w:rPr>
          <w:rFonts w:asciiTheme="minorHAnsi" w:hAnsiTheme="minorHAnsi"/>
          <w:sz w:val="22"/>
          <w:szCs w:val="22"/>
        </w:rPr>
      </w:pPr>
    </w:p>
    <w:p w:rsidR="00D9716A" w:rsidRPr="00D9716A" w:rsidRDefault="00D9716A" w:rsidP="00D9716A">
      <w:pPr>
        <w:rPr>
          <w:rFonts w:asciiTheme="minorHAnsi" w:hAnsiTheme="minorHAnsi"/>
          <w:sz w:val="22"/>
          <w:szCs w:val="22"/>
        </w:rPr>
      </w:pPr>
      <w:r w:rsidRPr="00D9716A">
        <w:rPr>
          <w:rFonts w:asciiTheme="minorHAnsi" w:hAnsiTheme="minorHAnsi"/>
          <w:b/>
          <w:sz w:val="22"/>
          <w:szCs w:val="22"/>
        </w:rPr>
        <w:t>Step 1</w:t>
      </w:r>
      <w:r w:rsidRPr="00D9716A">
        <w:rPr>
          <w:rFonts w:asciiTheme="minorHAnsi" w:hAnsiTheme="minorHAnsi"/>
          <w:sz w:val="22"/>
          <w:szCs w:val="22"/>
        </w:rPr>
        <w:t xml:space="preserve"> - The party submitting the Block Trade must submit the Report to NFX within the number of minutes of the time of execution (the “Reporting Window”) specified in the rules for the particular contract; except that Block Trades executed outside of Trading Hours must be reported within fifteen (15) minutes of the commencement of the next Open Session of a Trading Session for that Contract.  If the Block Trade includes certain legs subject to a five (5) minute Reporting Window and other legs subject to a fifteen (15) minute Reporting Window, the reporting requirement for the transaction will be fifteen (15) minutes.  </w:t>
      </w:r>
    </w:p>
    <w:p w:rsidR="00D9716A" w:rsidRPr="00D9716A" w:rsidRDefault="00D9716A" w:rsidP="00D9716A">
      <w:pPr>
        <w:rPr>
          <w:rFonts w:asciiTheme="minorHAnsi" w:hAnsiTheme="minorHAnsi"/>
          <w:sz w:val="22"/>
          <w:szCs w:val="22"/>
        </w:rPr>
      </w:pPr>
    </w:p>
    <w:p w:rsidR="00D9716A" w:rsidRPr="00D9716A" w:rsidRDefault="00D9716A" w:rsidP="00D9716A">
      <w:pPr>
        <w:rPr>
          <w:rFonts w:asciiTheme="minorHAnsi" w:hAnsiTheme="minorHAnsi"/>
          <w:sz w:val="22"/>
          <w:szCs w:val="22"/>
        </w:rPr>
      </w:pPr>
      <w:r w:rsidRPr="00D9716A">
        <w:rPr>
          <w:rFonts w:asciiTheme="minorHAnsi" w:hAnsiTheme="minorHAnsi"/>
          <w:b/>
          <w:sz w:val="22"/>
          <w:szCs w:val="22"/>
        </w:rPr>
        <w:t>Step 2</w:t>
      </w:r>
      <w:r w:rsidRPr="00D9716A">
        <w:rPr>
          <w:rFonts w:asciiTheme="minorHAnsi" w:hAnsiTheme="minorHAnsi"/>
          <w:sz w:val="22"/>
          <w:szCs w:val="22"/>
        </w:rPr>
        <w:t xml:space="preserve"> – A confirmation will be sent within thirty (30) minutes of the submission of the Report to the submitter by NFX Market Operations.  This confirmation will be sent via email.  The submitter will have fifteen (15) minutes to review the email and respond to the Exchange.  Once the submitter affirms the confirmation, the Report will be immediately sent to OCC.  If the submitter modifies the confirmation as a result of an error caused by the Exchange in documenting the Report, the Report will be modified and immediately submitted to OCC.  Reports may not otherwise be modified.  If the submitter does not respond within fifteen (15) minutes, the Exchange will submit the Report to OCC as confirmed via email.  If NasdaQ-Port rejects the transaction being reported, the submitter will be immediately be notified.</w:t>
      </w:r>
    </w:p>
    <w:p w:rsidR="00D9716A" w:rsidRPr="00D9716A" w:rsidRDefault="00D9716A" w:rsidP="00D9716A">
      <w:pPr>
        <w:rPr>
          <w:rFonts w:asciiTheme="minorHAnsi" w:hAnsiTheme="minorHAnsi"/>
          <w:sz w:val="22"/>
          <w:szCs w:val="22"/>
        </w:rPr>
      </w:pPr>
      <w:r w:rsidRPr="00D9716A">
        <w:rPr>
          <w:rFonts w:asciiTheme="minorHAnsi" w:hAnsiTheme="minorHAnsi"/>
          <w:sz w:val="22"/>
          <w:szCs w:val="22"/>
        </w:rPr>
        <w:t xml:space="preserve"> </w:t>
      </w:r>
    </w:p>
    <w:p w:rsidR="00D9716A" w:rsidRPr="00D9716A" w:rsidRDefault="00D9716A" w:rsidP="00D9716A">
      <w:pPr>
        <w:rPr>
          <w:rFonts w:asciiTheme="minorHAnsi" w:hAnsiTheme="minorHAnsi"/>
          <w:sz w:val="22"/>
          <w:szCs w:val="22"/>
        </w:rPr>
      </w:pPr>
      <w:r w:rsidRPr="00D9716A">
        <w:rPr>
          <w:rFonts w:asciiTheme="minorHAnsi" w:hAnsiTheme="minorHAnsi"/>
          <w:b/>
          <w:sz w:val="22"/>
          <w:szCs w:val="22"/>
        </w:rPr>
        <w:t>Step 3</w:t>
      </w:r>
      <w:r w:rsidRPr="00D9716A">
        <w:rPr>
          <w:rFonts w:asciiTheme="minorHAnsi" w:hAnsiTheme="minorHAnsi"/>
          <w:sz w:val="22"/>
          <w:szCs w:val="22"/>
        </w:rPr>
        <w:t xml:space="preserve"> - NFX Market Operations will submit the Block Trade Report into NasdaQ-Port within thirty (30) minutes of a validated email or unconfirmed email that was not validated within fifteen (15) minutes.  The Report must be compliant with NFX Rules at Chapter IV, Section 11. </w:t>
      </w:r>
    </w:p>
    <w:p w:rsidR="00D9716A" w:rsidRPr="00D9716A" w:rsidRDefault="00D9716A" w:rsidP="00D9716A">
      <w:pPr>
        <w:rPr>
          <w:rFonts w:asciiTheme="minorHAnsi" w:hAnsiTheme="minorHAnsi"/>
          <w:sz w:val="22"/>
          <w:szCs w:val="22"/>
        </w:rPr>
      </w:pPr>
    </w:p>
    <w:p w:rsidR="000764F1" w:rsidRDefault="00D9716A" w:rsidP="00D9716A">
      <w:pPr>
        <w:rPr>
          <w:rFonts w:asciiTheme="minorHAnsi" w:hAnsiTheme="minorHAnsi"/>
          <w:sz w:val="22"/>
          <w:szCs w:val="22"/>
        </w:rPr>
      </w:pPr>
      <w:r w:rsidRPr="00D9716A">
        <w:rPr>
          <w:rFonts w:asciiTheme="minorHAnsi" w:hAnsiTheme="minorHAnsi"/>
          <w:sz w:val="22"/>
          <w:szCs w:val="22"/>
        </w:rPr>
        <w:t>Clearing Futures Participants and Futures Participants involved in the execution of Block Trades must maintain a record of the transaction in accordance with this NFX Rule, Chapter III, Section 1.</w:t>
      </w:r>
    </w:p>
    <w:p w:rsidR="00D9716A" w:rsidRDefault="00D9716A" w:rsidP="000764F1">
      <w:pPr>
        <w:rPr>
          <w:rFonts w:asciiTheme="minorHAnsi" w:hAnsiTheme="minorHAnsi"/>
          <w:sz w:val="22"/>
          <w:szCs w:val="22"/>
        </w:rPr>
      </w:pPr>
    </w:p>
    <w:p w:rsidR="00FD799D" w:rsidRDefault="00FD799D" w:rsidP="000764F1">
      <w:pPr>
        <w:rPr>
          <w:rFonts w:asciiTheme="minorHAnsi" w:hAnsiTheme="minorHAnsi"/>
          <w:sz w:val="22"/>
          <w:szCs w:val="22"/>
        </w:rPr>
      </w:pPr>
    </w:p>
    <w:p w:rsidR="00FD799D" w:rsidRPr="00102C8D" w:rsidRDefault="00FD799D" w:rsidP="00FD799D">
      <w:pPr>
        <w:pStyle w:val="Heading1"/>
      </w:pPr>
      <w:r>
        <w:t xml:space="preserve"> </w:t>
      </w:r>
      <w:bookmarkStart w:id="15" w:name="_Toc465175542"/>
      <w:r w:rsidRPr="00FD799D">
        <w:t>DISSEMINATION OF BLOCK TRADE INFORMATION</w:t>
      </w:r>
      <w:bookmarkEnd w:id="15"/>
    </w:p>
    <w:p w:rsidR="00FD799D" w:rsidRDefault="00FD799D" w:rsidP="000764F1">
      <w:pPr>
        <w:rPr>
          <w:rFonts w:asciiTheme="minorHAnsi" w:hAnsiTheme="minorHAnsi"/>
          <w:sz w:val="22"/>
          <w:szCs w:val="22"/>
        </w:rPr>
      </w:pPr>
      <w:r w:rsidRPr="00FD799D">
        <w:rPr>
          <w:rFonts w:asciiTheme="minorHAnsi" w:hAnsiTheme="minorHAnsi"/>
          <w:sz w:val="22"/>
          <w:szCs w:val="22"/>
        </w:rPr>
        <w:t>NFX distributes OTC trade information via the NFX API, ITCH Market Data Protocol (ISVs distribute market data), and via web.</w:t>
      </w:r>
    </w:p>
    <w:p w:rsidR="00FD799D" w:rsidRDefault="00FD799D" w:rsidP="000764F1">
      <w:pPr>
        <w:rPr>
          <w:rFonts w:asciiTheme="minorHAnsi" w:hAnsiTheme="minorHAnsi"/>
          <w:sz w:val="22"/>
          <w:szCs w:val="22"/>
        </w:rPr>
      </w:pPr>
    </w:p>
    <w:p w:rsidR="00280CEE" w:rsidRPr="00102C8D" w:rsidRDefault="00280CEE" w:rsidP="00F06F0D">
      <w:pPr>
        <w:pStyle w:val="Heading1"/>
      </w:pPr>
      <w:r w:rsidRPr="00102C8D">
        <w:t xml:space="preserve"> </w:t>
      </w:r>
      <w:bookmarkStart w:id="16" w:name="_Toc465175543"/>
      <w:r w:rsidR="00F06F0D" w:rsidRPr="00F06F0D">
        <w:t>HOW DO I OBTAIN ACCESS TO ENTER ORDERS DIRECTLY INTO NFX?</w:t>
      </w:r>
      <w:bookmarkEnd w:id="16"/>
    </w:p>
    <w:p w:rsidR="00F06F0D" w:rsidRPr="00F06F0D" w:rsidRDefault="00F06F0D" w:rsidP="00F06F0D">
      <w:pPr>
        <w:rPr>
          <w:rFonts w:asciiTheme="minorHAnsi" w:hAnsiTheme="minorHAnsi"/>
          <w:sz w:val="22"/>
          <w:szCs w:val="22"/>
        </w:rPr>
      </w:pPr>
      <w:r w:rsidRPr="00F06F0D">
        <w:rPr>
          <w:rFonts w:asciiTheme="minorHAnsi" w:hAnsiTheme="minorHAnsi"/>
          <w:sz w:val="22"/>
          <w:szCs w:val="22"/>
        </w:rPr>
        <w:t xml:space="preserve">In order to obtain access to NFX Block Trade Reporting, Clearing Futures Participants, customers, and third parties (e.g. Brokers) must have completed or must complete: (1) an Electronic User Agreement or Off-Exchange Reporting Broker Agreement; and (2) an Enrollment Form.  In addition, Customers and third parties (e.g. Brokers) must receive permission to submit a block trade report directly in to NFX via one or more or NFX’s access points: NFX API, NasdaQ-Port, and an ISV from an FCM clearing the specific account(s) involved in the block trade.  Such permission must be received for each individual account for which the customer or third party intends to enter a block trade and must be given by the FCM clearing the account.  FCMs can permission customers and third parties to enter blocks for their accounts they clear through NasdaQ-Port.  </w:t>
      </w:r>
    </w:p>
    <w:p w:rsidR="00F06F0D" w:rsidRPr="00F06F0D" w:rsidRDefault="00F06F0D" w:rsidP="00F06F0D">
      <w:pPr>
        <w:rPr>
          <w:rFonts w:asciiTheme="minorHAnsi" w:hAnsiTheme="minorHAnsi"/>
          <w:sz w:val="22"/>
          <w:szCs w:val="22"/>
        </w:rPr>
      </w:pPr>
    </w:p>
    <w:p w:rsidR="00F06F0D" w:rsidRPr="00F06F0D" w:rsidRDefault="00F06F0D" w:rsidP="00F06F0D">
      <w:pPr>
        <w:rPr>
          <w:rFonts w:asciiTheme="minorHAnsi" w:hAnsiTheme="minorHAnsi"/>
          <w:sz w:val="22"/>
          <w:szCs w:val="22"/>
        </w:rPr>
      </w:pPr>
      <w:r w:rsidRPr="00F06F0D">
        <w:rPr>
          <w:rFonts w:asciiTheme="minorHAnsi" w:hAnsiTheme="minorHAnsi"/>
          <w:sz w:val="22"/>
          <w:szCs w:val="22"/>
        </w:rPr>
        <w:t>Further information can be found here:</w:t>
      </w:r>
    </w:p>
    <w:p w:rsidR="00F06F0D" w:rsidRPr="00F06F0D" w:rsidRDefault="00F06F0D" w:rsidP="00F06F0D">
      <w:pPr>
        <w:rPr>
          <w:rFonts w:asciiTheme="minorHAnsi" w:hAnsiTheme="minorHAnsi"/>
          <w:sz w:val="22"/>
          <w:szCs w:val="22"/>
        </w:rPr>
      </w:pPr>
    </w:p>
    <w:p w:rsidR="00F06F0D" w:rsidRPr="00454A62" w:rsidRDefault="00821531" w:rsidP="00F06F0D">
      <w:pPr>
        <w:rPr>
          <w:rFonts w:asciiTheme="minorHAnsi" w:hAnsiTheme="minorHAnsi"/>
          <w:sz w:val="22"/>
          <w:szCs w:val="22"/>
        </w:rPr>
      </w:pPr>
      <w:hyperlink r:id="rId35" w:history="1">
        <w:r w:rsidR="00F06F0D" w:rsidRPr="00454A62">
          <w:rPr>
            <w:rStyle w:val="Hyperlink"/>
            <w:rFonts w:asciiTheme="minorHAnsi" w:hAnsiTheme="minorHAnsi"/>
            <w:strike/>
            <w:spacing w:val="0"/>
            <w:sz w:val="22"/>
            <w:szCs w:val="22"/>
          </w:rPr>
          <w:t>www.nasdaqomx.com/transactions/markets/nasdaq-futures/onboarding</w:t>
        </w:r>
      </w:hyperlink>
      <w:r w:rsidR="00F06F0D" w:rsidRPr="00454A62">
        <w:rPr>
          <w:rFonts w:asciiTheme="minorHAnsi" w:hAnsiTheme="minorHAnsi"/>
          <w:sz w:val="22"/>
          <w:szCs w:val="22"/>
        </w:rPr>
        <w:t xml:space="preserve"> </w:t>
      </w:r>
      <w:hyperlink r:id="rId36" w:history="1">
        <w:r w:rsidR="00F06F0D" w:rsidRPr="00454A62">
          <w:rPr>
            <w:rStyle w:val="Hyperlink"/>
            <w:rFonts w:asciiTheme="minorHAnsi" w:hAnsiTheme="minorHAnsi"/>
            <w:spacing w:val="0"/>
            <w:sz w:val="22"/>
            <w:szCs w:val="22"/>
          </w:rPr>
          <w:t>http://business.nasdaq.com/nasdaq-futures/onboarding</w:t>
        </w:r>
      </w:hyperlink>
      <w:r w:rsidR="00F06F0D" w:rsidRPr="00454A62">
        <w:rPr>
          <w:rFonts w:asciiTheme="minorHAnsi" w:hAnsiTheme="minorHAnsi"/>
          <w:sz w:val="22"/>
          <w:szCs w:val="22"/>
        </w:rPr>
        <w:t xml:space="preserve"> </w:t>
      </w:r>
    </w:p>
    <w:p w:rsidR="00F06F0D" w:rsidRPr="00454A62" w:rsidRDefault="00F06F0D" w:rsidP="00F06F0D">
      <w:pPr>
        <w:rPr>
          <w:rFonts w:asciiTheme="minorHAnsi" w:hAnsiTheme="minorHAnsi"/>
          <w:strike/>
          <w:sz w:val="22"/>
          <w:szCs w:val="22"/>
        </w:rPr>
      </w:pPr>
      <w:r w:rsidRPr="00454A62">
        <w:rPr>
          <w:rFonts w:asciiTheme="minorHAnsi" w:hAnsiTheme="minorHAnsi"/>
          <w:strike/>
          <w:sz w:val="22"/>
          <w:szCs w:val="22"/>
        </w:rPr>
        <w:t>or</w:t>
      </w:r>
    </w:p>
    <w:p w:rsidR="00F06F0D" w:rsidRPr="00F06F0D" w:rsidRDefault="00821531" w:rsidP="00F06F0D">
      <w:pPr>
        <w:rPr>
          <w:rFonts w:asciiTheme="minorHAnsi" w:hAnsiTheme="minorHAnsi"/>
          <w:strike/>
          <w:sz w:val="22"/>
          <w:szCs w:val="22"/>
        </w:rPr>
      </w:pPr>
      <w:hyperlink r:id="rId37" w:history="1">
        <w:r w:rsidR="00F06F0D" w:rsidRPr="00454A62">
          <w:rPr>
            <w:rStyle w:val="Hyperlink"/>
            <w:rFonts w:asciiTheme="minorHAnsi" w:hAnsiTheme="minorHAnsi"/>
            <w:strike/>
            <w:spacing w:val="0"/>
            <w:sz w:val="22"/>
            <w:szCs w:val="22"/>
          </w:rPr>
          <w:t>www.nasdaqomx.com/transactions/markets/nasdaq-futures/information-center</w:t>
        </w:r>
      </w:hyperlink>
    </w:p>
    <w:p w:rsidR="00F06F0D" w:rsidRDefault="00F06F0D" w:rsidP="00F06F0D">
      <w:pPr>
        <w:rPr>
          <w:rFonts w:asciiTheme="minorHAnsi" w:hAnsiTheme="minorHAnsi"/>
          <w:sz w:val="22"/>
          <w:szCs w:val="22"/>
        </w:rPr>
      </w:pPr>
    </w:p>
    <w:p w:rsidR="00F06F0D" w:rsidRDefault="00F06F0D" w:rsidP="00F06F0D">
      <w:pPr>
        <w:rPr>
          <w:rFonts w:asciiTheme="minorHAnsi" w:hAnsiTheme="minorHAnsi"/>
          <w:sz w:val="22"/>
          <w:szCs w:val="22"/>
        </w:rPr>
      </w:pPr>
      <w:r>
        <w:rPr>
          <w:rFonts w:asciiTheme="minorHAnsi" w:hAnsiTheme="minorHAnsi"/>
          <w:sz w:val="22"/>
          <w:szCs w:val="22"/>
        </w:rPr>
        <w:t xml:space="preserve"> </w:t>
      </w:r>
    </w:p>
    <w:p w:rsidR="00F06F0D" w:rsidRPr="00102C8D" w:rsidRDefault="00F06F0D" w:rsidP="00F06F0D">
      <w:pPr>
        <w:pStyle w:val="Heading1"/>
      </w:pPr>
      <w:r>
        <w:t xml:space="preserve"> </w:t>
      </w:r>
      <w:bookmarkStart w:id="17" w:name="_Toc465175544"/>
      <w:r>
        <w:t>must block trades be submitted by an exchange futures participant or clearing futures participant</w:t>
      </w:r>
      <w:r w:rsidRPr="00F06F0D">
        <w:t>?</w:t>
      </w:r>
      <w:bookmarkEnd w:id="17"/>
    </w:p>
    <w:p w:rsidR="00F06F0D" w:rsidRDefault="00F06F0D" w:rsidP="003D3971">
      <w:pPr>
        <w:rPr>
          <w:rFonts w:asciiTheme="minorHAnsi" w:hAnsiTheme="minorHAnsi"/>
          <w:sz w:val="22"/>
          <w:szCs w:val="22"/>
        </w:rPr>
      </w:pPr>
      <w:r w:rsidRPr="00F06F0D">
        <w:rPr>
          <w:rFonts w:asciiTheme="minorHAnsi" w:hAnsiTheme="minorHAnsi"/>
          <w:sz w:val="22"/>
          <w:szCs w:val="22"/>
        </w:rPr>
        <w:t xml:space="preserve">No.  If the Clearing Futures Participant has authorized an Authorized Customer or Off-Exchange Reporting Broker (ORB) to submit Block Trades, these transactions may be submitted by the Authorized Customer or ORB directly into the NFX Workstation.  </w:t>
      </w:r>
    </w:p>
    <w:p w:rsidR="00F06F0D" w:rsidRDefault="00F06F0D" w:rsidP="003D3971">
      <w:pPr>
        <w:rPr>
          <w:rFonts w:asciiTheme="minorHAnsi" w:hAnsiTheme="minorHAnsi"/>
          <w:sz w:val="22"/>
          <w:szCs w:val="22"/>
        </w:rPr>
      </w:pPr>
    </w:p>
    <w:p w:rsidR="00F06F0D" w:rsidRPr="00102C8D" w:rsidRDefault="00F06F0D" w:rsidP="00F06F0D">
      <w:pPr>
        <w:pStyle w:val="Heading1"/>
      </w:pPr>
      <w:r>
        <w:t xml:space="preserve"> </w:t>
      </w:r>
      <w:bookmarkStart w:id="18" w:name="_Toc465175545"/>
      <w:r>
        <w:t>who is responsible for reporting the execution time</w:t>
      </w:r>
      <w:r w:rsidRPr="00F06F0D">
        <w:t>?</w:t>
      </w:r>
      <w:bookmarkEnd w:id="18"/>
    </w:p>
    <w:p w:rsidR="00F06F0D" w:rsidRDefault="00FD799D" w:rsidP="003D3971">
      <w:pPr>
        <w:rPr>
          <w:rFonts w:asciiTheme="minorHAnsi" w:hAnsiTheme="minorHAnsi"/>
          <w:sz w:val="22"/>
          <w:szCs w:val="22"/>
        </w:rPr>
      </w:pPr>
      <w:r w:rsidRPr="00FD799D">
        <w:rPr>
          <w:rFonts w:asciiTheme="minorHAnsi" w:hAnsiTheme="minorHAnsi"/>
          <w:sz w:val="22"/>
          <w:szCs w:val="22"/>
        </w:rPr>
        <w:t>Either party, or broker, may report a Block Trade.  The party or broker submitting the Block Trade to the Exchange is responsible for reporting the time of execution.</w:t>
      </w:r>
    </w:p>
    <w:p w:rsidR="00F06F0D" w:rsidRDefault="00F06F0D" w:rsidP="003D3971">
      <w:pPr>
        <w:rPr>
          <w:rFonts w:asciiTheme="minorHAnsi" w:hAnsiTheme="minorHAnsi"/>
          <w:sz w:val="22"/>
          <w:szCs w:val="22"/>
        </w:rPr>
      </w:pPr>
    </w:p>
    <w:p w:rsidR="00FD799D" w:rsidRPr="00102C8D" w:rsidRDefault="00FD799D" w:rsidP="00FD799D">
      <w:pPr>
        <w:pStyle w:val="Heading1"/>
      </w:pPr>
      <w:r>
        <w:t xml:space="preserve"> </w:t>
      </w:r>
      <w:bookmarkStart w:id="19" w:name="_Toc465175546"/>
      <w:r>
        <w:t xml:space="preserve">how should </w:t>
      </w:r>
      <w:r w:rsidRPr="00FD799D">
        <w:t>MULTI-LEG BLOCK TRADES BE SUBMITTED TO THE EXCHANGE?</w:t>
      </w:r>
      <w:bookmarkEnd w:id="19"/>
    </w:p>
    <w:p w:rsidR="00FD799D" w:rsidRPr="00FD799D" w:rsidRDefault="00FD799D" w:rsidP="00FD799D">
      <w:pPr>
        <w:rPr>
          <w:rFonts w:asciiTheme="minorHAnsi" w:hAnsiTheme="minorHAnsi"/>
          <w:sz w:val="22"/>
          <w:szCs w:val="22"/>
        </w:rPr>
      </w:pPr>
      <w:r w:rsidRPr="00FD799D">
        <w:rPr>
          <w:rFonts w:asciiTheme="minorHAnsi" w:hAnsiTheme="minorHAnsi"/>
          <w:sz w:val="22"/>
          <w:szCs w:val="22"/>
        </w:rPr>
        <w:t xml:space="preserve">Multi-leg transactions may be submitted to the Exchange as Block Trade reports as specified below.  </w:t>
      </w:r>
    </w:p>
    <w:p w:rsidR="00FD799D" w:rsidRPr="00FD799D" w:rsidRDefault="00FD799D" w:rsidP="00FD799D">
      <w:pPr>
        <w:rPr>
          <w:rFonts w:asciiTheme="minorHAnsi" w:hAnsiTheme="minorHAnsi"/>
          <w:sz w:val="22"/>
          <w:szCs w:val="22"/>
        </w:rPr>
      </w:pPr>
    </w:p>
    <w:p w:rsidR="00FD799D" w:rsidRPr="00FD799D" w:rsidRDefault="00FD799D" w:rsidP="00FD799D">
      <w:pPr>
        <w:rPr>
          <w:rFonts w:asciiTheme="minorHAnsi" w:hAnsiTheme="minorHAnsi"/>
          <w:sz w:val="22"/>
          <w:szCs w:val="22"/>
        </w:rPr>
      </w:pPr>
      <w:r w:rsidRPr="00FD799D">
        <w:rPr>
          <w:rFonts w:asciiTheme="minorHAnsi" w:hAnsiTheme="minorHAnsi"/>
          <w:sz w:val="22"/>
          <w:szCs w:val="22"/>
        </w:rPr>
        <w:t>● Multi-leg transactions must be part of a unified strategy which is controlled by an Eligible Contract Participant and executed for a single account or group of accounts that comply with Exchange Rules at Chapter IV, Section 11;</w:t>
      </w:r>
    </w:p>
    <w:p w:rsidR="00FD799D" w:rsidRPr="00FD799D" w:rsidRDefault="00FD799D" w:rsidP="00FD799D">
      <w:pPr>
        <w:rPr>
          <w:rFonts w:asciiTheme="minorHAnsi" w:hAnsiTheme="minorHAnsi"/>
          <w:sz w:val="22"/>
          <w:szCs w:val="22"/>
        </w:rPr>
      </w:pPr>
    </w:p>
    <w:p w:rsidR="00FD799D" w:rsidRPr="00FD799D" w:rsidRDefault="00FD799D" w:rsidP="00FD799D">
      <w:pPr>
        <w:rPr>
          <w:rFonts w:asciiTheme="minorHAnsi" w:hAnsiTheme="minorHAnsi"/>
          <w:sz w:val="22"/>
          <w:szCs w:val="22"/>
        </w:rPr>
      </w:pPr>
      <w:r w:rsidRPr="00FD799D">
        <w:rPr>
          <w:rFonts w:asciiTheme="minorHAnsi" w:hAnsiTheme="minorHAnsi"/>
          <w:sz w:val="22"/>
          <w:szCs w:val="22"/>
        </w:rPr>
        <w:t>● A multi-leg strategy that was executed as a combination trade may be submitted to the Exchange as a Block Trade provided that the aggregate number of contracts for the individual legs meets the requisite minimum quantity requirements (“MQR”) as provided in the Exchange’s Rules at Chapter IV, Section 11 and the related contract specifications;</w:t>
      </w:r>
    </w:p>
    <w:p w:rsidR="00FD799D" w:rsidRPr="00FD799D" w:rsidRDefault="00FD799D" w:rsidP="00FD799D">
      <w:pPr>
        <w:rPr>
          <w:rFonts w:asciiTheme="minorHAnsi" w:hAnsiTheme="minorHAnsi"/>
          <w:sz w:val="22"/>
          <w:szCs w:val="22"/>
        </w:rPr>
      </w:pPr>
    </w:p>
    <w:p w:rsidR="00FD799D" w:rsidRDefault="00FD799D" w:rsidP="00FD799D">
      <w:pPr>
        <w:rPr>
          <w:rFonts w:asciiTheme="minorHAnsi" w:hAnsiTheme="minorHAnsi"/>
          <w:sz w:val="22"/>
          <w:szCs w:val="22"/>
        </w:rPr>
      </w:pPr>
      <w:r w:rsidRPr="00FD799D">
        <w:rPr>
          <w:rFonts w:asciiTheme="minorHAnsi" w:hAnsiTheme="minorHAnsi"/>
          <w:sz w:val="22"/>
          <w:szCs w:val="22"/>
        </w:rPr>
        <w:t>● While the individual leg of a multi-leg strategy transaction does not need to separately satisfy the requisite MQR, the leg must offset the net options position of the leg(s) and the individual leg cannot be greater or less than the number of contracts required to offset the net delta of the leg(s);</w:t>
      </w:r>
    </w:p>
    <w:p w:rsidR="00FD799D" w:rsidRDefault="00FD799D" w:rsidP="003D3971">
      <w:pPr>
        <w:rPr>
          <w:rFonts w:asciiTheme="minorHAnsi" w:hAnsiTheme="minorHAnsi"/>
          <w:sz w:val="22"/>
          <w:szCs w:val="22"/>
        </w:rPr>
      </w:pPr>
    </w:p>
    <w:p w:rsidR="00FD799D" w:rsidRPr="00FD799D" w:rsidRDefault="00FD799D" w:rsidP="00FD799D">
      <w:pPr>
        <w:pStyle w:val="body1"/>
        <w:ind w:left="720" w:right="720"/>
        <w:rPr>
          <w:rFonts w:asciiTheme="minorHAnsi" w:hAnsiTheme="minorHAnsi"/>
          <w:sz w:val="22"/>
          <w:szCs w:val="24"/>
        </w:rPr>
      </w:pPr>
      <w:r w:rsidRPr="00FD799D">
        <w:rPr>
          <w:rFonts w:asciiTheme="minorHAnsi" w:hAnsiTheme="minorHAnsi"/>
          <w:sz w:val="22"/>
          <w:szCs w:val="24"/>
        </w:rPr>
        <w:t xml:space="preserve">For example, a privately executed transaction between two parties, consisting of 125 lots of December 2016 LNQ $4.00 calls and 25 November 2016 HUQ Futures contracts (a 20 delta).  Since the MQR for Futures on Henry Hub Penultimate (HUQ) is 50 lots, the Options quantity complies with the MQR for the Futures portion of the multi-leg transaction; given the Options quantity of 125 lots and the 20 delta for the Options, the Future quantity of 25 lots is equal to the net delta of the Options position (calculated by multiplying the Options quantity by the delta, or 125 x .2000 = 25 lots + 25 Futures lots of HUQ), and therefore the </w:t>
      </w:r>
      <w:r w:rsidRPr="00FD799D">
        <w:rPr>
          <w:rFonts w:asciiTheme="minorHAnsi" w:hAnsiTheme="minorHAnsi"/>
          <w:sz w:val="22"/>
          <w:szCs w:val="24"/>
        </w:rPr>
        <w:lastRenderedPageBreak/>
        <w:t xml:space="preserve">Futures quantity complies with the volume requirement for the futures position of the multi-leg transaction. If the Futures quantity in this example were significantly smaller than </w:t>
      </w:r>
      <w:r w:rsidRPr="00454A62">
        <w:rPr>
          <w:rFonts w:asciiTheme="minorHAnsi" w:hAnsiTheme="minorHAnsi"/>
          <w:strike/>
          <w:sz w:val="22"/>
          <w:szCs w:val="24"/>
        </w:rPr>
        <w:t>16</w:t>
      </w:r>
      <w:r w:rsidR="00454A62" w:rsidRPr="00454A62">
        <w:rPr>
          <w:rFonts w:asciiTheme="minorHAnsi" w:hAnsiTheme="minorHAnsi"/>
          <w:sz w:val="22"/>
          <w:szCs w:val="24"/>
          <w:u w:val="single"/>
        </w:rPr>
        <w:t>50</w:t>
      </w:r>
      <w:r w:rsidRPr="00FD799D">
        <w:rPr>
          <w:rFonts w:asciiTheme="minorHAnsi" w:hAnsiTheme="minorHAnsi"/>
          <w:sz w:val="22"/>
          <w:szCs w:val="24"/>
        </w:rPr>
        <w:t xml:space="preserve"> lots, it would not comply with the volume requirement for the Futures portion of a multi-leg Block Trade.</w:t>
      </w:r>
    </w:p>
    <w:p w:rsidR="00FD799D" w:rsidRPr="00FD799D" w:rsidRDefault="00FD799D" w:rsidP="00FD799D">
      <w:pPr>
        <w:ind w:firstLine="720"/>
        <w:rPr>
          <w:rFonts w:asciiTheme="minorHAnsi" w:hAnsiTheme="minorHAnsi"/>
          <w:sz w:val="20"/>
          <w:szCs w:val="22"/>
        </w:rPr>
      </w:pPr>
    </w:p>
    <w:p w:rsidR="00FD799D" w:rsidRPr="00FD799D" w:rsidRDefault="00FD799D" w:rsidP="00FD799D">
      <w:pPr>
        <w:pStyle w:val="body1"/>
        <w:rPr>
          <w:rFonts w:asciiTheme="minorHAnsi" w:hAnsiTheme="minorHAnsi"/>
          <w:sz w:val="22"/>
          <w:szCs w:val="24"/>
        </w:rPr>
      </w:pPr>
      <w:r w:rsidRPr="00FD799D">
        <w:rPr>
          <w:rFonts w:asciiTheme="minorHAnsi" w:hAnsiTheme="minorHAnsi"/>
          <w:sz w:val="22"/>
          <w:szCs w:val="24"/>
        </w:rPr>
        <w:t>● Where a multi-leg transaction is comprised of two Contracts, such as Henry Hub Penultimate Options (“LNQ”) and Futures (“HUQ”), which have two separate MQRs, the higher MQR requirement must be met;</w:t>
      </w:r>
    </w:p>
    <w:p w:rsidR="00FD799D" w:rsidRPr="00FD799D" w:rsidRDefault="00FD799D" w:rsidP="00FD799D">
      <w:pPr>
        <w:pStyle w:val="body1"/>
        <w:rPr>
          <w:rFonts w:asciiTheme="minorHAnsi" w:hAnsiTheme="minorHAnsi"/>
          <w:sz w:val="22"/>
          <w:szCs w:val="24"/>
        </w:rPr>
      </w:pPr>
      <w:r w:rsidRPr="00FD799D">
        <w:rPr>
          <w:rFonts w:asciiTheme="minorHAnsi" w:hAnsiTheme="minorHAnsi"/>
          <w:sz w:val="22"/>
          <w:szCs w:val="24"/>
        </w:rPr>
        <w:t xml:space="preserve"> </w:t>
      </w:r>
    </w:p>
    <w:p w:rsidR="00FD799D" w:rsidRPr="00FD799D" w:rsidRDefault="00FD799D" w:rsidP="00FD799D">
      <w:pPr>
        <w:pStyle w:val="body1"/>
        <w:rPr>
          <w:rFonts w:asciiTheme="minorHAnsi" w:hAnsiTheme="minorHAnsi"/>
          <w:sz w:val="22"/>
          <w:szCs w:val="24"/>
        </w:rPr>
      </w:pPr>
      <w:r w:rsidRPr="00FD799D">
        <w:rPr>
          <w:rFonts w:asciiTheme="minorHAnsi" w:hAnsiTheme="minorHAnsi"/>
          <w:sz w:val="22"/>
          <w:szCs w:val="24"/>
        </w:rPr>
        <w:t xml:space="preserve">● A multi-leg transaction (e.g. Butterfly Spread of Options) that reflects a Standard Combination Order or Tailor Made Combination Orders on the NFX Trading System (Match Engine) (single symbol Combination Orders) must be broken up into its respective legs to be submitted to the Exchange.  </w:t>
      </w:r>
    </w:p>
    <w:p w:rsidR="00FD799D" w:rsidRPr="00FD799D" w:rsidRDefault="00FD799D" w:rsidP="00FD799D">
      <w:pPr>
        <w:pStyle w:val="body1"/>
        <w:rPr>
          <w:rFonts w:asciiTheme="minorHAnsi" w:hAnsiTheme="minorHAnsi"/>
          <w:sz w:val="22"/>
          <w:szCs w:val="24"/>
        </w:rPr>
      </w:pPr>
    </w:p>
    <w:p w:rsidR="00FD799D" w:rsidRPr="00FD799D" w:rsidRDefault="00FD799D" w:rsidP="00FD799D">
      <w:pPr>
        <w:pStyle w:val="body1"/>
        <w:ind w:left="720" w:right="720"/>
        <w:rPr>
          <w:rFonts w:asciiTheme="minorHAnsi" w:hAnsiTheme="minorHAnsi"/>
          <w:sz w:val="22"/>
          <w:szCs w:val="24"/>
        </w:rPr>
      </w:pPr>
      <w:r w:rsidRPr="00FD799D">
        <w:rPr>
          <w:rFonts w:asciiTheme="minorHAnsi" w:hAnsiTheme="minorHAnsi"/>
          <w:sz w:val="22"/>
          <w:szCs w:val="24"/>
        </w:rPr>
        <w:t xml:space="preserve">● In QPort (Nasdaq’s Block Trade reporting tool) these legs are kept together by a unique identifier (hexadecimal) for processing, thus equivalently containing the original multi-leg transaction; and </w:t>
      </w:r>
    </w:p>
    <w:p w:rsidR="00FD799D" w:rsidRPr="00FD799D" w:rsidRDefault="00FD799D" w:rsidP="00FD799D">
      <w:pPr>
        <w:pStyle w:val="body1"/>
        <w:ind w:left="720" w:right="720"/>
        <w:rPr>
          <w:rFonts w:asciiTheme="minorHAnsi" w:hAnsiTheme="minorHAnsi"/>
          <w:sz w:val="22"/>
          <w:szCs w:val="24"/>
        </w:rPr>
      </w:pPr>
    </w:p>
    <w:p w:rsidR="00FD799D" w:rsidRPr="00FD799D" w:rsidRDefault="00FD799D" w:rsidP="00FD799D">
      <w:pPr>
        <w:pStyle w:val="body1"/>
        <w:ind w:left="720" w:right="720"/>
        <w:rPr>
          <w:rFonts w:asciiTheme="minorHAnsi" w:hAnsiTheme="minorHAnsi"/>
          <w:sz w:val="22"/>
          <w:szCs w:val="24"/>
        </w:rPr>
      </w:pPr>
      <w:r w:rsidRPr="00FD799D">
        <w:rPr>
          <w:rFonts w:asciiTheme="minorHAnsi" w:hAnsiTheme="minorHAnsi"/>
          <w:sz w:val="22"/>
          <w:szCs w:val="24"/>
        </w:rPr>
        <w:t>● Nasdaq’s FIX API does not tie these component legs together after Pre-Trade Risk Management and requires the user to uniquely identify the original multi-leg transaction in the details of the trade (e.g. Agreement Time).</w:t>
      </w:r>
    </w:p>
    <w:p w:rsidR="00FD799D" w:rsidRDefault="00FD799D" w:rsidP="003D3971">
      <w:pPr>
        <w:rPr>
          <w:rFonts w:asciiTheme="minorHAnsi" w:hAnsiTheme="minorHAnsi"/>
          <w:sz w:val="22"/>
          <w:szCs w:val="22"/>
        </w:rPr>
      </w:pPr>
    </w:p>
    <w:p w:rsidR="00FD799D" w:rsidRPr="00102C8D" w:rsidRDefault="00FD799D" w:rsidP="00FD799D">
      <w:pPr>
        <w:pStyle w:val="Heading1"/>
      </w:pPr>
      <w:r>
        <w:t xml:space="preserve"> </w:t>
      </w:r>
      <w:bookmarkStart w:id="20" w:name="_Toc465175547"/>
      <w:r w:rsidRPr="00FD799D">
        <w:t>MAY BLOCK TRADES BE GIVEN-UP?</w:t>
      </w:r>
      <w:bookmarkEnd w:id="20"/>
    </w:p>
    <w:p w:rsidR="00FD799D" w:rsidRDefault="00FD799D" w:rsidP="003D3971">
      <w:pPr>
        <w:rPr>
          <w:rFonts w:asciiTheme="minorHAnsi" w:hAnsiTheme="minorHAnsi"/>
          <w:sz w:val="22"/>
          <w:szCs w:val="22"/>
        </w:rPr>
      </w:pPr>
      <w:r w:rsidRPr="00FD799D">
        <w:rPr>
          <w:rFonts w:asciiTheme="minorHAnsi" w:hAnsiTheme="minorHAnsi"/>
          <w:sz w:val="22"/>
          <w:szCs w:val="22"/>
        </w:rPr>
        <w:t>Yes. Block trades are subject to give-ups.</w:t>
      </w:r>
    </w:p>
    <w:p w:rsidR="00FD799D" w:rsidRDefault="00FD799D" w:rsidP="003D3971">
      <w:pPr>
        <w:rPr>
          <w:rFonts w:asciiTheme="minorHAnsi" w:hAnsiTheme="minorHAnsi"/>
          <w:sz w:val="22"/>
          <w:szCs w:val="22"/>
        </w:rPr>
      </w:pPr>
    </w:p>
    <w:p w:rsidR="00451FD9" w:rsidRPr="00102C8D" w:rsidRDefault="00451FD9" w:rsidP="00451FD9">
      <w:pPr>
        <w:pStyle w:val="Heading1"/>
      </w:pPr>
      <w:r>
        <w:t xml:space="preserve"> </w:t>
      </w:r>
      <w:bookmarkStart w:id="21" w:name="_Toc465175548"/>
      <w:r w:rsidRPr="00451FD9">
        <w:t>CAN ORDERS BE BUNCHED TO CONSTITUTE ONE SIDE OF A BLOCK TRADE?</w:t>
      </w:r>
      <w:bookmarkEnd w:id="21"/>
    </w:p>
    <w:p w:rsidR="00451FD9" w:rsidRPr="00451FD9" w:rsidRDefault="00451FD9" w:rsidP="00451FD9">
      <w:pPr>
        <w:rPr>
          <w:rFonts w:asciiTheme="minorHAnsi" w:hAnsiTheme="minorHAnsi"/>
          <w:sz w:val="22"/>
          <w:szCs w:val="22"/>
        </w:rPr>
      </w:pPr>
      <w:r w:rsidRPr="00451FD9">
        <w:rPr>
          <w:rFonts w:asciiTheme="minorHAnsi" w:hAnsiTheme="minorHAnsi"/>
          <w:sz w:val="22"/>
          <w:szCs w:val="22"/>
        </w:rPr>
        <w:t>The bunching of Block Trade Orders is not permitted, except in the case of eligible CTAs or foreign Persons performing a similar role.</w:t>
      </w:r>
    </w:p>
    <w:p w:rsidR="00451FD9" w:rsidRPr="00451FD9" w:rsidRDefault="00451FD9" w:rsidP="00451FD9">
      <w:pPr>
        <w:rPr>
          <w:rFonts w:asciiTheme="minorHAnsi" w:hAnsiTheme="minorHAnsi"/>
          <w:sz w:val="22"/>
          <w:szCs w:val="22"/>
        </w:rPr>
      </w:pPr>
    </w:p>
    <w:p w:rsidR="00FD799D" w:rsidRDefault="00451FD9" w:rsidP="00451FD9">
      <w:pPr>
        <w:rPr>
          <w:rFonts w:asciiTheme="minorHAnsi" w:hAnsiTheme="minorHAnsi"/>
          <w:sz w:val="22"/>
          <w:szCs w:val="22"/>
        </w:rPr>
      </w:pPr>
      <w:r w:rsidRPr="00451FD9">
        <w:rPr>
          <w:rFonts w:asciiTheme="minorHAnsi" w:hAnsiTheme="minorHAnsi"/>
          <w:sz w:val="22"/>
          <w:szCs w:val="22"/>
        </w:rPr>
        <w:t>For example, a CTA eligible to transact blocks may bunch Orders entered on behalf of multiple accounts over which the CTA exercises power of attorney, provided that the aggregate Order meets the minimum quantity requirements.  Two or more traders who generally act independently with respect to accounts with different beneficial ownership may not bunch their Orders for purposes of meeting the Block Trade minimum order quantity requirements.  Other than the CTA exception, brokers may not bunch Orders from otherwise autonomous Customers.</w:t>
      </w:r>
    </w:p>
    <w:p w:rsidR="00FD799D" w:rsidRDefault="00FD799D" w:rsidP="003D3971">
      <w:pPr>
        <w:rPr>
          <w:rFonts w:asciiTheme="minorHAnsi" w:hAnsiTheme="minorHAnsi"/>
          <w:sz w:val="22"/>
          <w:szCs w:val="22"/>
        </w:rPr>
      </w:pPr>
    </w:p>
    <w:p w:rsidR="00FD799D" w:rsidRDefault="00FD799D" w:rsidP="003D3971">
      <w:pPr>
        <w:rPr>
          <w:rFonts w:asciiTheme="minorHAnsi" w:hAnsiTheme="minorHAnsi"/>
          <w:sz w:val="22"/>
          <w:szCs w:val="22"/>
        </w:rPr>
      </w:pPr>
    </w:p>
    <w:p w:rsidR="00451FD9" w:rsidRPr="00102C8D" w:rsidRDefault="00451FD9" w:rsidP="00451FD9">
      <w:pPr>
        <w:pStyle w:val="Heading1"/>
      </w:pPr>
      <w:r>
        <w:t xml:space="preserve"> </w:t>
      </w:r>
      <w:bookmarkStart w:id="22" w:name="_Toc465175549"/>
      <w:r>
        <w:t>what fees are associated with block trades</w:t>
      </w:r>
      <w:r w:rsidRPr="00451FD9">
        <w:t>?</w:t>
      </w:r>
      <w:bookmarkEnd w:id="22"/>
    </w:p>
    <w:p w:rsidR="00FD799D" w:rsidRDefault="00FD799D" w:rsidP="003D3971">
      <w:pPr>
        <w:rPr>
          <w:rFonts w:asciiTheme="minorHAnsi" w:hAnsiTheme="minorHAnsi"/>
          <w:sz w:val="22"/>
          <w:szCs w:val="22"/>
        </w:rPr>
      </w:pPr>
    </w:p>
    <w:p w:rsidR="00451FD9" w:rsidRDefault="00451FD9" w:rsidP="003D3971">
      <w:pPr>
        <w:rPr>
          <w:rFonts w:asciiTheme="minorHAnsi" w:hAnsiTheme="minorHAnsi"/>
          <w:sz w:val="22"/>
          <w:szCs w:val="22"/>
        </w:rPr>
      </w:pPr>
      <w:r w:rsidRPr="00451FD9">
        <w:rPr>
          <w:rFonts w:asciiTheme="minorHAnsi" w:hAnsiTheme="minorHAnsi"/>
          <w:sz w:val="22"/>
          <w:szCs w:val="22"/>
        </w:rPr>
        <w:t xml:space="preserve">There </w:t>
      </w:r>
      <w:r w:rsidRPr="00454A62">
        <w:rPr>
          <w:rFonts w:asciiTheme="minorHAnsi" w:hAnsiTheme="minorHAnsi"/>
          <w:sz w:val="22"/>
          <w:szCs w:val="22"/>
        </w:rPr>
        <w:t xml:space="preserve">are </w:t>
      </w:r>
      <w:r w:rsidRPr="00454A62">
        <w:rPr>
          <w:rFonts w:asciiTheme="minorHAnsi" w:hAnsiTheme="minorHAnsi"/>
          <w:strike/>
          <w:sz w:val="22"/>
          <w:szCs w:val="22"/>
        </w:rPr>
        <w:t>no</w:t>
      </w:r>
      <w:r w:rsidRPr="00451FD9">
        <w:rPr>
          <w:rFonts w:asciiTheme="minorHAnsi" w:hAnsiTheme="minorHAnsi"/>
          <w:sz w:val="22"/>
          <w:szCs w:val="22"/>
        </w:rPr>
        <w:t xml:space="preserve"> Block Trade fees.  See the NFX Fee Schedule</w:t>
      </w:r>
    </w:p>
    <w:p w:rsidR="00451FD9" w:rsidRDefault="00451FD9" w:rsidP="003D3971">
      <w:pPr>
        <w:rPr>
          <w:rFonts w:asciiTheme="minorHAnsi" w:hAnsiTheme="minorHAnsi"/>
          <w:sz w:val="22"/>
          <w:szCs w:val="22"/>
        </w:rPr>
      </w:pPr>
    </w:p>
    <w:p w:rsidR="00451FD9" w:rsidRDefault="00451FD9" w:rsidP="003D3971">
      <w:pPr>
        <w:rPr>
          <w:rFonts w:asciiTheme="minorHAnsi" w:hAnsiTheme="minorHAnsi"/>
          <w:sz w:val="22"/>
          <w:szCs w:val="22"/>
        </w:rPr>
      </w:pPr>
    </w:p>
    <w:p w:rsidR="00451FD9" w:rsidRDefault="00451FD9" w:rsidP="003D3971">
      <w:pPr>
        <w:rPr>
          <w:rFonts w:asciiTheme="minorHAnsi" w:hAnsiTheme="minorHAnsi"/>
          <w:sz w:val="22"/>
          <w:szCs w:val="22"/>
        </w:rPr>
      </w:pPr>
    </w:p>
    <w:p w:rsidR="00451FD9" w:rsidRPr="00102C8D" w:rsidRDefault="00451FD9" w:rsidP="00451FD9">
      <w:pPr>
        <w:pStyle w:val="Heading1"/>
      </w:pPr>
      <w:r>
        <w:lastRenderedPageBreak/>
        <w:t xml:space="preserve"> </w:t>
      </w:r>
      <w:bookmarkStart w:id="23" w:name="_Toc465175550"/>
      <w:r w:rsidRPr="00451FD9">
        <w:t>CAN TRADE AT SETTLEMENT (“TAS”) TRADES BE EXECUTED AS BLOCK TRADES?</w:t>
      </w:r>
      <w:bookmarkEnd w:id="23"/>
    </w:p>
    <w:p w:rsidR="00451FD9" w:rsidRDefault="00451FD9" w:rsidP="003D3971">
      <w:pPr>
        <w:rPr>
          <w:rFonts w:asciiTheme="minorHAnsi" w:hAnsiTheme="minorHAnsi"/>
          <w:sz w:val="22"/>
          <w:szCs w:val="22"/>
        </w:rPr>
      </w:pPr>
      <w:r w:rsidRPr="00451FD9">
        <w:rPr>
          <w:rFonts w:asciiTheme="minorHAnsi" w:hAnsiTheme="minorHAnsi"/>
          <w:sz w:val="22"/>
          <w:szCs w:val="22"/>
        </w:rPr>
        <w:t>Yes, TAS trades may be executed as Block Trades for certain contracts.  TAS Block Trades may be executed for those products and contract months for which both TAS and Block Trades are permitted.  TAS trades can be executed, and are subject to the same eligibility, minimum trade quantity and timely reporting requirements as Block Trades generally.  TAS Block Trades are to be reported using the same procedures outlined above for Block Trades generally.</w:t>
      </w:r>
    </w:p>
    <w:p w:rsidR="00451FD9" w:rsidRDefault="00451FD9" w:rsidP="003D3971">
      <w:pPr>
        <w:rPr>
          <w:rFonts w:asciiTheme="minorHAnsi" w:hAnsiTheme="minorHAnsi"/>
          <w:sz w:val="22"/>
          <w:szCs w:val="22"/>
        </w:rPr>
      </w:pPr>
    </w:p>
    <w:p w:rsidR="00451FD9" w:rsidRPr="00102C8D" w:rsidRDefault="00451FD9" w:rsidP="00451FD9">
      <w:pPr>
        <w:pStyle w:val="Heading1"/>
      </w:pPr>
      <w:r>
        <w:t xml:space="preserve"> </w:t>
      </w:r>
      <w:bookmarkStart w:id="24" w:name="_Toc465175551"/>
      <w:r w:rsidRPr="00451FD9">
        <w:t>DO BLOCK TRADES BETWEEN ACCOUNTS OF AFFILIATED PARTIES CONSTITUTE A WASH TRADE?</w:t>
      </w:r>
      <w:bookmarkEnd w:id="24"/>
    </w:p>
    <w:p w:rsidR="00451FD9" w:rsidRDefault="00451FD9" w:rsidP="003D3971">
      <w:pPr>
        <w:rPr>
          <w:rFonts w:asciiTheme="minorHAnsi" w:hAnsiTheme="minorHAnsi"/>
          <w:sz w:val="22"/>
          <w:szCs w:val="22"/>
        </w:rPr>
      </w:pPr>
    </w:p>
    <w:p w:rsidR="00451FD9" w:rsidRPr="00451FD9" w:rsidRDefault="00451FD9" w:rsidP="00451FD9">
      <w:pPr>
        <w:rPr>
          <w:rFonts w:asciiTheme="minorHAnsi" w:hAnsiTheme="minorHAnsi"/>
          <w:sz w:val="22"/>
          <w:szCs w:val="22"/>
        </w:rPr>
      </w:pPr>
      <w:r w:rsidRPr="00451FD9">
        <w:rPr>
          <w:rFonts w:asciiTheme="minorHAnsi" w:hAnsiTheme="minorHAnsi"/>
          <w:sz w:val="22"/>
          <w:szCs w:val="22"/>
        </w:rPr>
        <w:t xml:space="preserve">The Exchange permits Block Trades in all Futures and Options Contracts between accounts of affiliated parties provided that each Block Trade meets all of the following requirements: </w:t>
      </w:r>
    </w:p>
    <w:p w:rsidR="00451FD9" w:rsidRPr="00451FD9" w:rsidRDefault="00451FD9" w:rsidP="00451FD9">
      <w:pPr>
        <w:rPr>
          <w:rFonts w:asciiTheme="minorHAnsi" w:hAnsiTheme="minorHAnsi"/>
          <w:sz w:val="22"/>
          <w:szCs w:val="22"/>
        </w:rPr>
      </w:pPr>
    </w:p>
    <w:p w:rsidR="00451FD9" w:rsidRPr="00451FD9" w:rsidRDefault="00451FD9" w:rsidP="00451FD9">
      <w:pPr>
        <w:pStyle w:val="ListParagraph"/>
        <w:numPr>
          <w:ilvl w:val="0"/>
          <w:numId w:val="39"/>
        </w:numPr>
        <w:rPr>
          <w:rFonts w:asciiTheme="minorHAnsi" w:hAnsiTheme="minorHAnsi"/>
          <w:sz w:val="22"/>
          <w:szCs w:val="22"/>
        </w:rPr>
      </w:pPr>
      <w:r w:rsidRPr="00451FD9">
        <w:rPr>
          <w:rFonts w:asciiTheme="minorHAnsi" w:hAnsiTheme="minorHAnsi"/>
          <w:sz w:val="22"/>
          <w:szCs w:val="22"/>
        </w:rPr>
        <w:t>the Block Trade price must be executed at a fair and reasonable market price;</w:t>
      </w:r>
    </w:p>
    <w:p w:rsidR="00451FD9" w:rsidRPr="00451FD9" w:rsidRDefault="00451FD9" w:rsidP="00451FD9">
      <w:pPr>
        <w:pStyle w:val="ListParagraph"/>
        <w:numPr>
          <w:ilvl w:val="0"/>
          <w:numId w:val="39"/>
        </w:numPr>
        <w:rPr>
          <w:rFonts w:asciiTheme="minorHAnsi" w:hAnsiTheme="minorHAnsi"/>
          <w:sz w:val="22"/>
          <w:szCs w:val="22"/>
        </w:rPr>
      </w:pPr>
      <w:r w:rsidRPr="00451FD9">
        <w:rPr>
          <w:rFonts w:asciiTheme="minorHAnsi" w:hAnsiTheme="minorHAnsi"/>
          <w:sz w:val="22"/>
          <w:szCs w:val="22"/>
        </w:rPr>
        <w:t>each party must have a separate and independent legal bona fide business purpose for engaging in the trades; and</w:t>
      </w:r>
    </w:p>
    <w:p w:rsidR="00451FD9" w:rsidRPr="00451FD9" w:rsidRDefault="00451FD9" w:rsidP="00451FD9">
      <w:pPr>
        <w:pStyle w:val="ListParagraph"/>
        <w:numPr>
          <w:ilvl w:val="0"/>
          <w:numId w:val="39"/>
        </w:numPr>
        <w:rPr>
          <w:rFonts w:asciiTheme="minorHAnsi" w:hAnsiTheme="minorHAnsi"/>
          <w:sz w:val="22"/>
          <w:szCs w:val="22"/>
        </w:rPr>
      </w:pPr>
      <w:r w:rsidRPr="00451FD9">
        <w:rPr>
          <w:rFonts w:asciiTheme="minorHAnsi" w:hAnsiTheme="minorHAnsi"/>
          <w:sz w:val="22"/>
          <w:szCs w:val="22"/>
        </w:rPr>
        <w:t>each party's decision to enter into the Block Trade must be made by a separate and independent decision-maker.</w:t>
      </w:r>
    </w:p>
    <w:p w:rsidR="00451FD9" w:rsidRPr="00451FD9" w:rsidRDefault="00451FD9" w:rsidP="00451FD9">
      <w:pPr>
        <w:rPr>
          <w:rFonts w:asciiTheme="minorHAnsi" w:hAnsiTheme="minorHAnsi"/>
          <w:sz w:val="22"/>
          <w:szCs w:val="22"/>
        </w:rPr>
      </w:pPr>
    </w:p>
    <w:p w:rsidR="00451FD9" w:rsidRDefault="00451FD9" w:rsidP="00451FD9">
      <w:pPr>
        <w:rPr>
          <w:rFonts w:asciiTheme="minorHAnsi" w:hAnsiTheme="minorHAnsi"/>
          <w:sz w:val="22"/>
          <w:szCs w:val="22"/>
        </w:rPr>
      </w:pPr>
      <w:r w:rsidRPr="00451FD9">
        <w:rPr>
          <w:rFonts w:asciiTheme="minorHAnsi" w:hAnsiTheme="minorHAnsi"/>
          <w:sz w:val="22"/>
          <w:szCs w:val="22"/>
        </w:rPr>
        <w:t>If the Block Trade(s) does not meeting all of the requirements set forth above, the transaction may constitute an illegal wash trade prohibited by NFX Rule, Chapter III, Section 24(g).</w:t>
      </w:r>
    </w:p>
    <w:p w:rsidR="00451FD9" w:rsidRDefault="00451FD9" w:rsidP="003D3971">
      <w:pPr>
        <w:rPr>
          <w:rFonts w:asciiTheme="minorHAnsi" w:hAnsiTheme="minorHAnsi"/>
          <w:sz w:val="22"/>
          <w:szCs w:val="22"/>
        </w:rPr>
      </w:pPr>
    </w:p>
    <w:p w:rsidR="00451FD9" w:rsidRPr="00102C8D" w:rsidRDefault="00451FD9" w:rsidP="00451FD9">
      <w:pPr>
        <w:pStyle w:val="Heading1"/>
      </w:pPr>
      <w:r>
        <w:t xml:space="preserve"> </w:t>
      </w:r>
      <w:bookmarkStart w:id="25" w:name="_Toc465175552"/>
      <w:r w:rsidRPr="00451FD9">
        <w:t>WHAT RESTRICTIONS ARE IN PLACE REGARDING THE DISCLOSURE OF BLOCK TRADE DETAILS?</w:t>
      </w:r>
      <w:bookmarkEnd w:id="25"/>
    </w:p>
    <w:p w:rsidR="004E0D36" w:rsidRPr="00454A62" w:rsidRDefault="004E0D36" w:rsidP="004E0D36">
      <w:pPr>
        <w:autoSpaceDE w:val="0"/>
        <w:autoSpaceDN w:val="0"/>
        <w:adjustRightInd w:val="0"/>
        <w:rPr>
          <w:rFonts w:asciiTheme="minorHAnsi" w:hAnsiTheme="minorHAnsi"/>
          <w:color w:val="000000"/>
          <w:sz w:val="22"/>
        </w:rPr>
      </w:pPr>
      <w:r w:rsidRPr="00454A62">
        <w:rPr>
          <w:rFonts w:asciiTheme="minorHAnsi" w:hAnsiTheme="minorHAnsi"/>
          <w:color w:val="000000"/>
          <w:sz w:val="22"/>
        </w:rPr>
        <w:t xml:space="preserve">Parties involved in the solicitation or negotiation of a Block Trade may not disclose the details of those communications to any other party for any purpose other than to facilitate the execution of the Block Trade. Parties privy to nonpublic information regarding a consummated Block Trade may not disclose such information to any other party prior to the public report of the Block Trade by the Exchange. A broker negotiating a Block Trade on behalf of a Customer may disclose the identity of the Customer to potential counterparties, including the counterparty with which the Block trade is consummated, only with the permission of the Customer. </w:t>
      </w:r>
    </w:p>
    <w:p w:rsidR="004E0D36" w:rsidRPr="00454A62" w:rsidRDefault="004E0D36" w:rsidP="004E0D36">
      <w:pPr>
        <w:autoSpaceDE w:val="0"/>
        <w:autoSpaceDN w:val="0"/>
        <w:adjustRightInd w:val="0"/>
        <w:rPr>
          <w:rFonts w:asciiTheme="minorHAnsi" w:hAnsiTheme="minorHAnsi"/>
          <w:color w:val="000000"/>
          <w:sz w:val="22"/>
        </w:rPr>
      </w:pPr>
    </w:p>
    <w:p w:rsidR="004E0D36" w:rsidRPr="00454A62" w:rsidRDefault="004E0D36" w:rsidP="004E0D36">
      <w:pPr>
        <w:autoSpaceDE w:val="0"/>
        <w:autoSpaceDN w:val="0"/>
        <w:adjustRightInd w:val="0"/>
        <w:rPr>
          <w:rFonts w:asciiTheme="minorHAnsi" w:hAnsiTheme="minorHAnsi"/>
          <w:color w:val="000000"/>
          <w:sz w:val="22"/>
        </w:rPr>
      </w:pPr>
      <w:r w:rsidRPr="00454A62">
        <w:rPr>
          <w:rFonts w:asciiTheme="minorHAnsi" w:hAnsiTheme="minorHAnsi"/>
          <w:color w:val="000000"/>
          <w:sz w:val="22"/>
        </w:rPr>
        <w:t xml:space="preserve">Pre-hedging or anticipatory hedging of any part of the Block Trade in the same Contract or a closely related contract </w:t>
      </w:r>
      <w:r w:rsidRPr="00454A62">
        <w:rPr>
          <w:rFonts w:asciiTheme="minorHAnsi" w:hAnsiTheme="minorHAnsi"/>
          <w:color w:val="000000"/>
          <w:sz w:val="22"/>
          <w:u w:val="single"/>
        </w:rPr>
        <w:t xml:space="preserve">is allowed where the parties to the block trade have </w:t>
      </w:r>
      <w:r w:rsidRPr="00454A62">
        <w:rPr>
          <w:rFonts w:asciiTheme="minorHAnsi" w:hAnsiTheme="minorHAnsi"/>
          <w:strike/>
          <w:color w:val="000000"/>
          <w:sz w:val="22"/>
        </w:rPr>
        <w:t xml:space="preserve">based upon </w:t>
      </w:r>
      <w:r w:rsidRPr="00454A62">
        <w:rPr>
          <w:rFonts w:asciiTheme="minorHAnsi" w:hAnsiTheme="minorHAnsi"/>
          <w:color w:val="000000"/>
          <w:sz w:val="22"/>
        </w:rPr>
        <w:t xml:space="preserve">a </w:t>
      </w:r>
      <w:r w:rsidRPr="00454A62">
        <w:rPr>
          <w:rFonts w:asciiTheme="minorHAnsi" w:hAnsiTheme="minorHAnsi"/>
          <w:color w:val="000000"/>
          <w:sz w:val="22"/>
          <w:u w:val="single"/>
        </w:rPr>
        <w:t xml:space="preserve">good faith belief that the block trade will be consummated.  </w:t>
      </w:r>
      <w:r w:rsidRPr="00454A62">
        <w:rPr>
          <w:rFonts w:asciiTheme="minorHAnsi" w:hAnsiTheme="minorHAnsi"/>
          <w:color w:val="000000"/>
          <w:sz w:val="22"/>
        </w:rPr>
        <w:t xml:space="preserve">Pre-hedging or anticipatory hedging </w:t>
      </w:r>
      <w:r w:rsidRPr="00454A62">
        <w:rPr>
          <w:rFonts w:asciiTheme="minorHAnsi" w:hAnsiTheme="minorHAnsi"/>
          <w:strike/>
          <w:color w:val="000000"/>
          <w:sz w:val="22"/>
        </w:rPr>
        <w:t>solicitation to participate in a Block Trade is not permitted not</w:t>
      </w:r>
      <w:r w:rsidRPr="00454A62">
        <w:rPr>
          <w:rFonts w:asciiTheme="minorHAnsi" w:hAnsiTheme="minorHAnsi"/>
          <w:color w:val="000000"/>
          <w:sz w:val="22"/>
        </w:rPr>
        <w:t xml:space="preserve"> </w:t>
      </w:r>
      <w:r w:rsidRPr="00454A62">
        <w:rPr>
          <w:rFonts w:asciiTheme="minorHAnsi" w:hAnsiTheme="minorHAnsi"/>
          <w:color w:val="000000"/>
          <w:sz w:val="22"/>
          <w:u w:val="single"/>
        </w:rPr>
        <w:t>is prohibited where</w:t>
      </w:r>
      <w:r w:rsidRPr="00454A62">
        <w:rPr>
          <w:rFonts w:asciiTheme="minorHAnsi" w:hAnsiTheme="minorHAnsi"/>
          <w:color w:val="000000"/>
          <w:sz w:val="22"/>
        </w:rPr>
        <w:t xml:space="preserve"> </w:t>
      </w:r>
      <w:r w:rsidRPr="00454A62">
        <w:rPr>
          <w:rFonts w:asciiTheme="minorHAnsi" w:hAnsiTheme="minorHAnsi"/>
          <w:strike/>
          <w:color w:val="000000"/>
          <w:sz w:val="22"/>
        </w:rPr>
        <w:t xml:space="preserve"> </w:t>
      </w:r>
      <w:r w:rsidRPr="00454A62">
        <w:rPr>
          <w:rFonts w:asciiTheme="minorHAnsi" w:hAnsiTheme="minorHAnsi"/>
          <w:strike/>
          <w:color w:val="000000"/>
          <w:sz w:val="22"/>
          <w:u w:val="single"/>
        </w:rPr>
        <w:t>for</w:t>
      </w:r>
      <w:r w:rsidRPr="00454A62">
        <w:rPr>
          <w:rFonts w:asciiTheme="minorHAnsi" w:hAnsiTheme="minorHAnsi"/>
          <w:color w:val="000000"/>
          <w:sz w:val="22"/>
          <w:u w:val="single"/>
        </w:rPr>
        <w:t xml:space="preserve"> an intermediary takes the opposite side of a block trade with a customer.  In cases where an intermediary is counter-party to a block trade with a customer, the intermediary may not establish an offsetting position prior to the consummation of the block trade in any account which is owned or controlled by, or in which an ownership interest is held, or for the proprietary account of the employer of the intermediary.</w:t>
      </w:r>
      <w:r w:rsidRPr="00454A62">
        <w:rPr>
          <w:rFonts w:asciiTheme="minorHAnsi" w:hAnsiTheme="minorHAnsi"/>
          <w:color w:val="000000"/>
          <w:sz w:val="22"/>
        </w:rPr>
        <w:t xml:space="preserve">  A closely-related product is one that is highly correlated to, or serves as a substitute for, or is the functional equivalent of the product being traded as part of a Block Trade. </w:t>
      </w:r>
    </w:p>
    <w:p w:rsidR="004E0D36" w:rsidRPr="00454A62" w:rsidRDefault="004E0D36" w:rsidP="004E0D36">
      <w:pPr>
        <w:autoSpaceDE w:val="0"/>
        <w:autoSpaceDN w:val="0"/>
        <w:adjustRightInd w:val="0"/>
        <w:rPr>
          <w:rFonts w:asciiTheme="minorHAnsi" w:hAnsiTheme="minorHAnsi"/>
          <w:color w:val="000000"/>
          <w:sz w:val="22"/>
        </w:rPr>
      </w:pPr>
    </w:p>
    <w:p w:rsidR="004E0D36" w:rsidRPr="00454A62" w:rsidRDefault="004E0D36" w:rsidP="004E0D36">
      <w:pPr>
        <w:autoSpaceDE w:val="0"/>
        <w:autoSpaceDN w:val="0"/>
        <w:adjustRightInd w:val="0"/>
        <w:rPr>
          <w:rFonts w:asciiTheme="minorHAnsi" w:hAnsiTheme="minorHAnsi"/>
          <w:color w:val="000000"/>
          <w:sz w:val="22"/>
        </w:rPr>
      </w:pPr>
      <w:r w:rsidRPr="00454A62">
        <w:rPr>
          <w:rFonts w:asciiTheme="minorHAnsi" w:hAnsiTheme="minorHAnsi"/>
          <w:color w:val="000000"/>
          <w:sz w:val="22"/>
        </w:rPr>
        <w:t>The Exchange may proceed with enforcement action when the facts and circumstances of pre-hedging suggest deceptive or manipulative conduct by any of the involved parties, including when an intermediary handling a Customer order acts against its Customer’s best interests. This guidance only applies in the context of pre-hedging of block trades. This guidance does not affect any requirement under the CEA or Commission Regulations.</w:t>
      </w:r>
    </w:p>
    <w:p w:rsidR="004E0D36" w:rsidRPr="00454A62" w:rsidRDefault="004E0D36" w:rsidP="004E0D36">
      <w:pPr>
        <w:autoSpaceDE w:val="0"/>
        <w:autoSpaceDN w:val="0"/>
        <w:adjustRightInd w:val="0"/>
        <w:rPr>
          <w:rFonts w:asciiTheme="minorHAnsi" w:hAnsiTheme="minorHAnsi"/>
          <w:color w:val="000000"/>
          <w:sz w:val="22"/>
        </w:rPr>
      </w:pPr>
    </w:p>
    <w:p w:rsidR="004E0D36" w:rsidRPr="00454A62" w:rsidRDefault="004E0D36" w:rsidP="004E0D36">
      <w:pPr>
        <w:autoSpaceDE w:val="0"/>
        <w:autoSpaceDN w:val="0"/>
        <w:adjustRightInd w:val="0"/>
        <w:rPr>
          <w:rFonts w:asciiTheme="minorHAnsi" w:hAnsiTheme="minorHAnsi"/>
          <w:strike/>
          <w:color w:val="000000"/>
          <w:sz w:val="22"/>
        </w:rPr>
      </w:pPr>
      <w:r w:rsidRPr="00454A62">
        <w:rPr>
          <w:rFonts w:asciiTheme="minorHAnsi" w:hAnsiTheme="minorHAnsi"/>
          <w:strike/>
          <w:color w:val="000000"/>
          <w:sz w:val="22"/>
        </w:rPr>
        <w:t xml:space="preserve">Counterparties to a Block Trade are permitted to initiate trades to hedge or offset risk associated with the Block Trade following the consummation of the Block Trade but prior to the public report of the Block Trade by the Exchange. </w:t>
      </w:r>
    </w:p>
    <w:p w:rsidR="004E0D36" w:rsidRPr="00454A62" w:rsidRDefault="004E0D36" w:rsidP="004E0D36">
      <w:pPr>
        <w:autoSpaceDE w:val="0"/>
        <w:autoSpaceDN w:val="0"/>
        <w:adjustRightInd w:val="0"/>
        <w:rPr>
          <w:rFonts w:asciiTheme="minorHAnsi" w:hAnsiTheme="minorHAnsi"/>
          <w:color w:val="000000"/>
          <w:sz w:val="22"/>
        </w:rPr>
      </w:pPr>
    </w:p>
    <w:p w:rsidR="004E0D36" w:rsidRPr="00964688" w:rsidRDefault="004E0D36" w:rsidP="004E0D36">
      <w:pPr>
        <w:rPr>
          <w:rFonts w:asciiTheme="minorHAnsi" w:hAnsiTheme="minorHAnsi"/>
          <w:color w:val="1F497D"/>
          <w:sz w:val="20"/>
          <w:szCs w:val="22"/>
        </w:rPr>
      </w:pPr>
      <w:r w:rsidRPr="00454A62">
        <w:rPr>
          <w:rFonts w:asciiTheme="minorHAnsi" w:hAnsiTheme="minorHAnsi"/>
          <w:strike/>
          <w:color w:val="000000"/>
          <w:sz w:val="22"/>
        </w:rPr>
        <w:t xml:space="preserve">Except as provided above, parties privy to nonpublic information related to a Block Trade may not trade in the same Contract or a closely-related contract for the purpose of gaining an advantage through use of such nonpublic information prior to the public report of the Block Trade by the Exchange. This prohibition is not intended to preclude such parties from continuing to transact in the marketplace in the context of their normal business; rather, it precludes parties in possession of actionable nonpublic information regarding an imminent Block Trade or report of a Block Trade from specifically using such information to their advantage. Information regarding a Block Trade is considered to be nonpublic until such time that the Block Trade details have been disseminated to the marketplace by the Exchange or the information can otherwise be demonstrated to have become stale or obsolete. </w:t>
      </w:r>
      <w:r w:rsidRPr="00454A62">
        <w:rPr>
          <w:rFonts w:asciiTheme="minorHAnsi" w:hAnsiTheme="minorHAnsi"/>
          <w:color w:val="000000"/>
          <w:sz w:val="22"/>
        </w:rPr>
        <w:t>Parties solicited to provide a two-sided block market are not deemed to be in possession of nonpublic information provided that side of market interest is not disclosed in the context of the solicitation.</w:t>
      </w:r>
    </w:p>
    <w:p w:rsidR="009833B5" w:rsidRPr="00102C8D" w:rsidRDefault="009833B5" w:rsidP="009833B5">
      <w:pPr>
        <w:pStyle w:val="Heading1"/>
      </w:pPr>
      <w:r>
        <w:t xml:space="preserve"> </w:t>
      </w:r>
      <w:bookmarkStart w:id="26" w:name="_Toc465175553"/>
      <w:r w:rsidRPr="00451FD9">
        <w:t>H</w:t>
      </w:r>
      <w:r w:rsidR="00BE68BF">
        <w:t>ow are block trades published</w:t>
      </w:r>
      <w:r w:rsidRPr="00451FD9">
        <w:t>?</w:t>
      </w:r>
      <w:bookmarkEnd w:id="26"/>
    </w:p>
    <w:p w:rsidR="009833B5" w:rsidRDefault="009833B5" w:rsidP="003D3971">
      <w:pPr>
        <w:rPr>
          <w:rFonts w:asciiTheme="minorHAnsi" w:hAnsiTheme="minorHAnsi"/>
          <w:sz w:val="22"/>
          <w:szCs w:val="22"/>
        </w:rPr>
      </w:pPr>
      <w:r w:rsidRPr="009833B5">
        <w:rPr>
          <w:rFonts w:asciiTheme="minorHAnsi" w:hAnsiTheme="minorHAnsi"/>
          <w:sz w:val="22"/>
          <w:szCs w:val="22"/>
        </w:rPr>
        <w:t>The Exchange will promptly publish Block Trade information separately from the reports of transactions in the regular market.  Block trades are reported independently of transaction prices in the regular market and are not included as part of the daily trading range (i.e. they do not impact the daily high/low prices).  Block Trade volume is also identified in the daily volume reports published by the Exchange.</w:t>
      </w:r>
    </w:p>
    <w:p w:rsidR="009833B5" w:rsidRDefault="009833B5" w:rsidP="003D3971">
      <w:pPr>
        <w:rPr>
          <w:rFonts w:asciiTheme="minorHAnsi" w:hAnsiTheme="minorHAnsi"/>
          <w:sz w:val="22"/>
          <w:szCs w:val="22"/>
        </w:rPr>
      </w:pPr>
    </w:p>
    <w:p w:rsidR="007A4E95" w:rsidRPr="00102C8D" w:rsidRDefault="007A4E95" w:rsidP="007A4E95">
      <w:pPr>
        <w:pStyle w:val="Heading1"/>
      </w:pPr>
      <w:r>
        <w:t xml:space="preserve"> </w:t>
      </w:r>
      <w:bookmarkStart w:id="27" w:name="_Toc465175554"/>
      <w:r w:rsidRPr="007A4E95">
        <w:t>WHAT TYPE OF DOCUMENTATION MAY BE REQUIRED BY NFX REGULATIONS REGARDING A BLOCK TRADE?</w:t>
      </w:r>
      <w:bookmarkEnd w:id="27"/>
    </w:p>
    <w:p w:rsidR="009833B5" w:rsidRDefault="007A4E95" w:rsidP="003D3971">
      <w:pPr>
        <w:rPr>
          <w:rFonts w:asciiTheme="minorHAnsi" w:hAnsiTheme="minorHAnsi"/>
          <w:sz w:val="22"/>
          <w:szCs w:val="22"/>
        </w:rPr>
      </w:pPr>
      <w:r w:rsidRPr="007A4E95">
        <w:rPr>
          <w:rFonts w:asciiTheme="minorHAnsi" w:hAnsiTheme="minorHAnsi"/>
          <w:sz w:val="22"/>
          <w:szCs w:val="22"/>
        </w:rPr>
        <w:t>Futures Participants must provide Block Trade documentation to the Exchange upon request. Documentation requested by the Exchange may include evidence that the price of the Block Trade transaction was fair and reasonable based on relevant market information, including underlying markets and independence of the parties to the transaction.</w:t>
      </w:r>
    </w:p>
    <w:p w:rsidR="009833B5" w:rsidRDefault="009833B5" w:rsidP="003D3971">
      <w:pPr>
        <w:rPr>
          <w:rFonts w:asciiTheme="minorHAnsi" w:hAnsiTheme="minorHAnsi"/>
          <w:sz w:val="22"/>
          <w:szCs w:val="22"/>
        </w:rPr>
      </w:pPr>
    </w:p>
    <w:p w:rsidR="007A4E95" w:rsidRPr="00102C8D" w:rsidRDefault="007A4E95" w:rsidP="007A4E95">
      <w:pPr>
        <w:pStyle w:val="Heading1"/>
      </w:pPr>
      <w:r>
        <w:t xml:space="preserve"> </w:t>
      </w:r>
      <w:bookmarkStart w:id="28" w:name="_Toc465175555"/>
      <w:r w:rsidRPr="007A4E95">
        <w:t>WHAT IS AN EXCHANGE FOR RELATED POSITION?</w:t>
      </w:r>
      <w:bookmarkEnd w:id="28"/>
    </w:p>
    <w:p w:rsidR="007A4E95" w:rsidRPr="007A4E95" w:rsidRDefault="007A4E95" w:rsidP="007A4E95">
      <w:pPr>
        <w:rPr>
          <w:rFonts w:asciiTheme="minorHAnsi" w:hAnsiTheme="minorHAnsi"/>
          <w:i/>
          <w:sz w:val="22"/>
          <w:szCs w:val="22"/>
        </w:rPr>
      </w:pPr>
      <w:r w:rsidRPr="007A4E95">
        <w:rPr>
          <w:rFonts w:asciiTheme="minorHAnsi" w:hAnsiTheme="minorHAnsi"/>
          <w:i/>
          <w:sz w:val="22"/>
          <w:szCs w:val="22"/>
        </w:rPr>
        <w:t xml:space="preserve">Generally </w:t>
      </w:r>
    </w:p>
    <w:p w:rsidR="007A4E95" w:rsidRPr="007A4E95" w:rsidRDefault="007A4E95" w:rsidP="007A4E95">
      <w:pPr>
        <w:rPr>
          <w:rFonts w:asciiTheme="minorHAnsi" w:hAnsiTheme="minorHAnsi"/>
          <w:sz w:val="22"/>
          <w:szCs w:val="22"/>
        </w:rPr>
      </w:pPr>
    </w:p>
    <w:p w:rsidR="007A4E95" w:rsidRPr="007A4E95" w:rsidRDefault="007A4E95" w:rsidP="007A4E95">
      <w:pPr>
        <w:rPr>
          <w:rFonts w:asciiTheme="minorHAnsi" w:hAnsiTheme="minorHAnsi"/>
          <w:sz w:val="22"/>
          <w:szCs w:val="22"/>
        </w:rPr>
      </w:pPr>
      <w:r w:rsidRPr="007A4E95">
        <w:rPr>
          <w:rFonts w:asciiTheme="minorHAnsi" w:hAnsiTheme="minorHAnsi"/>
          <w:sz w:val="22"/>
          <w:szCs w:val="22"/>
        </w:rPr>
        <w:t xml:space="preserve">EFRPs are permissible, noncompetitive, privately negotiated transactions executed apart and away from the public auction market which are permitted by arrangement between only two parties in accordance with Exchange Rule located at Chapter IV, Section 12. The Exchange currently permits the following types of EFRP transactions: </w:t>
      </w:r>
    </w:p>
    <w:p w:rsidR="007A4E95" w:rsidRPr="007A4E95" w:rsidRDefault="007A4E95" w:rsidP="007A4E95">
      <w:pPr>
        <w:rPr>
          <w:rFonts w:asciiTheme="minorHAnsi" w:hAnsiTheme="minorHAnsi"/>
          <w:sz w:val="22"/>
          <w:szCs w:val="22"/>
        </w:rPr>
      </w:pPr>
    </w:p>
    <w:p w:rsidR="007A4E95" w:rsidRPr="007A4E95" w:rsidRDefault="007A4E95" w:rsidP="007A4E95">
      <w:pPr>
        <w:rPr>
          <w:rFonts w:asciiTheme="minorHAnsi" w:hAnsiTheme="minorHAnsi"/>
          <w:sz w:val="22"/>
          <w:szCs w:val="22"/>
        </w:rPr>
      </w:pPr>
      <w:r w:rsidRPr="007A4E95">
        <w:rPr>
          <w:rFonts w:asciiTheme="minorHAnsi" w:hAnsiTheme="minorHAnsi"/>
          <w:sz w:val="22"/>
          <w:szCs w:val="22"/>
        </w:rPr>
        <w:lastRenderedPageBreak/>
        <w:t xml:space="preserve">Exchange of Futures for Physical (“EFP”) – the simultaneous execution of an Exchange futures contract and a corresponding physical transaction or a forward contract on a physical transaction. </w:t>
      </w:r>
    </w:p>
    <w:p w:rsidR="007A4E95" w:rsidRPr="007A4E95" w:rsidRDefault="007A4E95" w:rsidP="007A4E95">
      <w:pPr>
        <w:rPr>
          <w:rFonts w:asciiTheme="minorHAnsi" w:hAnsiTheme="minorHAnsi"/>
          <w:sz w:val="22"/>
          <w:szCs w:val="22"/>
        </w:rPr>
      </w:pPr>
    </w:p>
    <w:p w:rsidR="007A4E95" w:rsidRPr="007A4E95" w:rsidRDefault="007A4E95" w:rsidP="007A4E95">
      <w:pPr>
        <w:rPr>
          <w:rFonts w:asciiTheme="minorHAnsi" w:hAnsiTheme="minorHAnsi"/>
          <w:sz w:val="22"/>
          <w:szCs w:val="22"/>
        </w:rPr>
      </w:pPr>
      <w:r w:rsidRPr="007A4E95">
        <w:rPr>
          <w:rFonts w:asciiTheme="minorHAnsi" w:hAnsiTheme="minorHAnsi"/>
          <w:sz w:val="22"/>
          <w:szCs w:val="22"/>
        </w:rPr>
        <w:t xml:space="preserve">Exchange of Futures for Risk (“EFR”) – the simultaneous execution of an Exchange Futures contract and a corresponding OTC swap or other OTC derivative transaction. </w:t>
      </w:r>
    </w:p>
    <w:p w:rsidR="007A4E95" w:rsidRPr="007A4E95" w:rsidRDefault="007A4E95" w:rsidP="007A4E95">
      <w:pPr>
        <w:rPr>
          <w:rFonts w:asciiTheme="minorHAnsi" w:hAnsiTheme="minorHAnsi"/>
          <w:sz w:val="22"/>
          <w:szCs w:val="22"/>
        </w:rPr>
      </w:pPr>
    </w:p>
    <w:p w:rsidR="007A4E95" w:rsidRPr="007A4E95" w:rsidRDefault="007A4E95" w:rsidP="007A4E95">
      <w:pPr>
        <w:rPr>
          <w:rFonts w:asciiTheme="minorHAnsi" w:hAnsiTheme="minorHAnsi"/>
          <w:sz w:val="22"/>
          <w:szCs w:val="22"/>
        </w:rPr>
      </w:pPr>
      <w:r w:rsidRPr="007A4E95">
        <w:rPr>
          <w:rFonts w:asciiTheme="minorHAnsi" w:hAnsiTheme="minorHAnsi"/>
          <w:sz w:val="22"/>
          <w:szCs w:val="22"/>
        </w:rPr>
        <w:t xml:space="preserve">Exchange of Option for Option (“EOO”) – the simultaneous execution of an Exchange Option contract and a corresponding transaction in an OTC Option or other OTC instrument with similar characteristics. </w:t>
      </w:r>
    </w:p>
    <w:p w:rsidR="007A4E95" w:rsidRPr="007A4E95" w:rsidRDefault="007A4E95" w:rsidP="007A4E95">
      <w:pPr>
        <w:rPr>
          <w:rFonts w:asciiTheme="minorHAnsi" w:hAnsiTheme="minorHAnsi"/>
          <w:sz w:val="22"/>
          <w:szCs w:val="22"/>
        </w:rPr>
      </w:pPr>
    </w:p>
    <w:p w:rsidR="007A4E95" w:rsidRPr="007A4E95" w:rsidRDefault="007A4E95" w:rsidP="007A4E95">
      <w:pPr>
        <w:rPr>
          <w:rFonts w:asciiTheme="minorHAnsi" w:hAnsiTheme="minorHAnsi"/>
          <w:sz w:val="22"/>
          <w:szCs w:val="22"/>
        </w:rPr>
      </w:pPr>
      <w:r w:rsidRPr="007A4E95">
        <w:rPr>
          <w:rFonts w:asciiTheme="minorHAnsi" w:hAnsiTheme="minorHAnsi"/>
          <w:sz w:val="22"/>
          <w:szCs w:val="22"/>
        </w:rPr>
        <w:t xml:space="preserve">The related position component of an EFRP may not be a Futures contract or an Options on a Futures contract. </w:t>
      </w:r>
    </w:p>
    <w:p w:rsidR="007A4E95" w:rsidRPr="007A4E95" w:rsidRDefault="007A4E95" w:rsidP="007A4E95">
      <w:pPr>
        <w:rPr>
          <w:rFonts w:asciiTheme="minorHAnsi" w:hAnsiTheme="minorHAnsi"/>
          <w:sz w:val="22"/>
          <w:szCs w:val="22"/>
        </w:rPr>
      </w:pPr>
    </w:p>
    <w:p w:rsidR="007A4E95" w:rsidRPr="007A4E95" w:rsidRDefault="007A4E95" w:rsidP="007A4E95">
      <w:pPr>
        <w:rPr>
          <w:rFonts w:asciiTheme="minorHAnsi" w:hAnsiTheme="minorHAnsi"/>
          <w:sz w:val="22"/>
          <w:szCs w:val="22"/>
        </w:rPr>
      </w:pPr>
      <w:r w:rsidRPr="007A4E95">
        <w:rPr>
          <w:rFonts w:asciiTheme="minorHAnsi" w:hAnsiTheme="minorHAnsi"/>
          <w:sz w:val="22"/>
          <w:szCs w:val="22"/>
        </w:rPr>
        <w:t xml:space="preserve">Permissible EFRPs are bilaterally negotiated apart from a public auction market and subsequently novated by the Clearing Corporation, just like any other futures transaction. The cash, spot or OTC position that is traded opposite to the futures contract in the context of an EFRP must be a product that represents a legitimate economic offset. The item that is deliverable on the futures contract may always be used for the cash or OTC component of the transaction. If the commodity used to fulfill the cash or OTC component is not deliverable against the futures contract, it must be an item that is reasonably equivalent in terms of its physical and economic properties.  The cash commodity or OTC component should have a reliable and demonstrable price relationship with the futures contract. It should exhibit price movement that parallels the price movement of the futures contract.  A lack of consistent price relationship between the cash commodity or OTC component and the futures contract could be evidence that a party did not engage in a permissible EFRP transaction in violation of the Exchange Rules at Chapter IV, Section 12 and Section 4(a) of the Act as such transaction was not conducted subject to the rules of a contract market designated or registered with the Exchange. </w:t>
      </w:r>
    </w:p>
    <w:p w:rsidR="007A4E95" w:rsidRPr="007A4E95" w:rsidRDefault="007A4E95" w:rsidP="007A4E95">
      <w:pPr>
        <w:rPr>
          <w:rFonts w:asciiTheme="minorHAnsi" w:hAnsiTheme="minorHAnsi"/>
          <w:sz w:val="22"/>
          <w:szCs w:val="22"/>
        </w:rPr>
      </w:pPr>
    </w:p>
    <w:p w:rsidR="009833B5" w:rsidRDefault="007A4E95" w:rsidP="007A4E95">
      <w:pPr>
        <w:rPr>
          <w:rFonts w:asciiTheme="minorHAnsi" w:hAnsiTheme="minorHAnsi"/>
          <w:sz w:val="22"/>
          <w:szCs w:val="22"/>
        </w:rPr>
      </w:pPr>
      <w:r w:rsidRPr="007A4E95">
        <w:rPr>
          <w:rFonts w:asciiTheme="minorHAnsi" w:hAnsiTheme="minorHAnsi"/>
          <w:sz w:val="22"/>
          <w:szCs w:val="22"/>
        </w:rPr>
        <w:t>An EFRP may be transacted at any time and at any price agreed upon by the two counterparties provided the Exchange has designated a Contract as eligible for EFRPs. The related position (cash, OTC swap, OTC option, or other OTC derivative) must involve the commodity underlying the Exchange Contract, or must be a derivative, by-product, or related product of such commodity that has a reasonable degree of price correlation to the commodity underlying the Exchange Contract.</w:t>
      </w:r>
    </w:p>
    <w:p w:rsidR="009833B5" w:rsidRDefault="009833B5" w:rsidP="003D3971">
      <w:pPr>
        <w:rPr>
          <w:rFonts w:asciiTheme="minorHAnsi" w:hAnsiTheme="minorHAnsi"/>
          <w:sz w:val="22"/>
          <w:szCs w:val="22"/>
        </w:rPr>
      </w:pPr>
    </w:p>
    <w:p w:rsidR="007A4E95" w:rsidRPr="00102C8D" w:rsidRDefault="007A4E95" w:rsidP="007A4E95">
      <w:pPr>
        <w:pStyle w:val="Heading1"/>
      </w:pPr>
      <w:r>
        <w:t xml:space="preserve"> </w:t>
      </w:r>
      <w:bookmarkStart w:id="29" w:name="_Toc465175556"/>
      <w:r w:rsidRPr="007A4E95">
        <w:t>ARE THERE ANY PRICE RESTRICTIONS FOR AN EFRP?</w:t>
      </w:r>
      <w:bookmarkEnd w:id="29"/>
    </w:p>
    <w:p w:rsidR="007A4E95" w:rsidRPr="007A4E95" w:rsidRDefault="007A4E95" w:rsidP="007A4E95">
      <w:pPr>
        <w:rPr>
          <w:rFonts w:asciiTheme="minorHAnsi" w:hAnsiTheme="minorHAnsi"/>
          <w:sz w:val="22"/>
          <w:szCs w:val="22"/>
        </w:rPr>
      </w:pPr>
      <w:r w:rsidRPr="007A4E95">
        <w:rPr>
          <w:rFonts w:asciiTheme="minorHAnsi" w:hAnsiTheme="minorHAnsi"/>
          <w:sz w:val="22"/>
          <w:szCs w:val="22"/>
        </w:rPr>
        <w:t>An EFRP transaction may be entered into in accordance with the applicable price increments or option premium increments set forth in Contract, at such prices as are mutually agreed upon by the two parties to the transaction. The quantity covered by the related position must be approximately equivalent to the quantity covered by the Exchange Contracts.</w:t>
      </w:r>
    </w:p>
    <w:p w:rsidR="007A4E95" w:rsidRPr="007A4E95" w:rsidRDefault="007A4E95" w:rsidP="007A4E95">
      <w:pPr>
        <w:rPr>
          <w:rFonts w:asciiTheme="minorHAnsi" w:hAnsiTheme="minorHAnsi"/>
          <w:sz w:val="22"/>
          <w:szCs w:val="22"/>
        </w:rPr>
      </w:pPr>
      <w:r w:rsidRPr="007A4E95">
        <w:rPr>
          <w:rFonts w:asciiTheme="minorHAnsi" w:hAnsiTheme="minorHAnsi"/>
          <w:sz w:val="22"/>
          <w:szCs w:val="22"/>
        </w:rPr>
        <w:t xml:space="preserve"> </w:t>
      </w:r>
    </w:p>
    <w:p w:rsidR="007A4E95" w:rsidRPr="007A4E95" w:rsidRDefault="007A4E95" w:rsidP="007A4E95">
      <w:pPr>
        <w:rPr>
          <w:rFonts w:asciiTheme="minorHAnsi" w:hAnsiTheme="minorHAnsi"/>
          <w:sz w:val="22"/>
          <w:szCs w:val="22"/>
        </w:rPr>
      </w:pPr>
      <w:r w:rsidRPr="007A4E95">
        <w:rPr>
          <w:rFonts w:asciiTheme="minorHAnsi" w:hAnsiTheme="minorHAnsi"/>
          <w:sz w:val="22"/>
          <w:szCs w:val="22"/>
        </w:rPr>
        <w:t xml:space="preserve">EFRPs may not be priced to facilitate the transfer of funds between parties for any purpose other than as a consequence of legitimate commercial activity. Market participants may be required to demonstrate that EFRPs executed at prices away from prevailing market prices were executed at such prices for legitimate purposes. </w:t>
      </w:r>
    </w:p>
    <w:p w:rsidR="007A4E95" w:rsidRPr="007A4E95" w:rsidRDefault="007A4E95" w:rsidP="007A4E95">
      <w:pPr>
        <w:rPr>
          <w:rFonts w:asciiTheme="minorHAnsi" w:hAnsiTheme="minorHAnsi"/>
          <w:sz w:val="22"/>
          <w:szCs w:val="22"/>
        </w:rPr>
      </w:pPr>
    </w:p>
    <w:p w:rsidR="009833B5" w:rsidRDefault="007A4E95" w:rsidP="007A4E95">
      <w:pPr>
        <w:rPr>
          <w:rFonts w:asciiTheme="minorHAnsi" w:hAnsiTheme="minorHAnsi"/>
          <w:sz w:val="22"/>
          <w:szCs w:val="22"/>
        </w:rPr>
      </w:pPr>
      <w:r w:rsidRPr="007A4E95">
        <w:rPr>
          <w:rFonts w:asciiTheme="minorHAnsi" w:hAnsiTheme="minorHAnsi"/>
          <w:sz w:val="22"/>
          <w:szCs w:val="22"/>
        </w:rPr>
        <w:t xml:space="preserve">The Exchange will cancel an EFRP transaction, pursuant to NFX Rules at Chapter V, Section 5, in a Contract if the execution price of a transaction in a contract: (1) that has taken place outside the non-reviewable range designated for a Contract; and (2) which the Exchange determines has taken place at an unrepresentative price or when necessary to mitigate market disrupting events caused by malfunctions in its Trading System or errors in Orders submitted by Futures Participants or Authorized Customers.  </w:t>
      </w:r>
      <w:r w:rsidRPr="007A4E95">
        <w:rPr>
          <w:rFonts w:asciiTheme="minorHAnsi" w:hAnsiTheme="minorHAnsi"/>
          <w:sz w:val="22"/>
          <w:szCs w:val="22"/>
        </w:rPr>
        <w:lastRenderedPageBreak/>
        <w:t>Exchange staff may cancel any transaction if it believes that allowing the transaction(s) to stand, as executed, could have a material, adverse effect on the integrity of the market or result in a price distortion.</w:t>
      </w:r>
    </w:p>
    <w:p w:rsidR="009833B5" w:rsidRDefault="009833B5" w:rsidP="003D3971">
      <w:pPr>
        <w:rPr>
          <w:rFonts w:asciiTheme="minorHAnsi" w:hAnsiTheme="minorHAnsi"/>
          <w:sz w:val="22"/>
          <w:szCs w:val="22"/>
        </w:rPr>
      </w:pPr>
    </w:p>
    <w:p w:rsidR="00F470BB" w:rsidRPr="00102C8D" w:rsidRDefault="00F470BB" w:rsidP="00F470BB">
      <w:pPr>
        <w:pStyle w:val="Heading1"/>
      </w:pPr>
      <w:r>
        <w:t xml:space="preserve"> </w:t>
      </w:r>
      <w:bookmarkStart w:id="30" w:name="_Toc465175557"/>
      <w:r w:rsidR="00BE68BF">
        <w:t>what a</w:t>
      </w:r>
      <w:r w:rsidRPr="007A4E95">
        <w:t>RE THE</w:t>
      </w:r>
      <w:r w:rsidR="00BE68BF">
        <w:t xml:space="preserve"> </w:t>
      </w:r>
      <w:r w:rsidRPr="007A4E95">
        <w:t>RE</w:t>
      </w:r>
      <w:r w:rsidR="00BE68BF">
        <w:t>porting requirements for an efrp</w:t>
      </w:r>
      <w:r w:rsidRPr="007A4E95">
        <w:t>?</w:t>
      </w:r>
      <w:bookmarkEnd w:id="30"/>
    </w:p>
    <w:p w:rsidR="00F470BB" w:rsidRPr="00F470BB" w:rsidRDefault="00F470BB" w:rsidP="00F470BB">
      <w:pPr>
        <w:rPr>
          <w:rFonts w:asciiTheme="minorHAnsi" w:hAnsiTheme="minorHAnsi"/>
          <w:sz w:val="22"/>
          <w:szCs w:val="22"/>
        </w:rPr>
      </w:pPr>
      <w:r w:rsidRPr="00F470BB">
        <w:rPr>
          <w:rFonts w:asciiTheme="minorHAnsi" w:hAnsiTheme="minorHAnsi"/>
          <w:sz w:val="22"/>
          <w:szCs w:val="22"/>
        </w:rPr>
        <w:t xml:space="preserve">EFRP transactions must be reported to the Exchange within thirty minutes of the time of execution.  The date and the time of execution of all EFRP transactions must be denoted on the record of the transaction. Futures Participants should collect and maintain the relevant documentation described above in a manner that is readily accessible to produce to the Exchange upon request. </w:t>
      </w:r>
    </w:p>
    <w:p w:rsidR="00F470BB" w:rsidRPr="00F470BB" w:rsidRDefault="00F470BB" w:rsidP="00F470BB">
      <w:pPr>
        <w:rPr>
          <w:rFonts w:asciiTheme="minorHAnsi" w:hAnsiTheme="minorHAnsi"/>
          <w:sz w:val="22"/>
          <w:szCs w:val="22"/>
        </w:rPr>
      </w:pPr>
    </w:p>
    <w:p w:rsidR="00F470BB" w:rsidRPr="00F470BB" w:rsidRDefault="00F470BB" w:rsidP="00F470BB">
      <w:pPr>
        <w:rPr>
          <w:rFonts w:asciiTheme="minorHAnsi" w:hAnsiTheme="minorHAnsi"/>
          <w:sz w:val="22"/>
          <w:szCs w:val="22"/>
        </w:rPr>
      </w:pPr>
      <w:r w:rsidRPr="00F470BB">
        <w:rPr>
          <w:rFonts w:asciiTheme="minorHAnsi" w:hAnsiTheme="minorHAnsi"/>
          <w:sz w:val="22"/>
          <w:szCs w:val="22"/>
        </w:rPr>
        <w:t xml:space="preserve">EFRPs may be reported to the Exchange via the Participant Trade Report message in the NASDAQ Futures FIX protocol, NasdaQ-port via a web interface, or an ISV.  </w:t>
      </w:r>
    </w:p>
    <w:p w:rsidR="00F470BB" w:rsidRPr="00F470BB" w:rsidRDefault="00F470BB" w:rsidP="00F470BB">
      <w:pPr>
        <w:rPr>
          <w:rFonts w:asciiTheme="minorHAnsi" w:hAnsiTheme="minorHAnsi"/>
          <w:sz w:val="22"/>
          <w:szCs w:val="22"/>
        </w:rPr>
      </w:pPr>
    </w:p>
    <w:p w:rsidR="00F470BB" w:rsidRPr="00F470BB" w:rsidRDefault="00F470BB" w:rsidP="00F470BB">
      <w:pPr>
        <w:rPr>
          <w:rFonts w:asciiTheme="minorHAnsi" w:hAnsiTheme="minorHAnsi"/>
          <w:b/>
          <w:sz w:val="22"/>
          <w:szCs w:val="22"/>
        </w:rPr>
      </w:pPr>
      <w:r w:rsidRPr="00F470BB">
        <w:rPr>
          <w:rFonts w:asciiTheme="minorHAnsi" w:hAnsiTheme="minorHAnsi"/>
          <w:b/>
          <w:sz w:val="22"/>
          <w:szCs w:val="22"/>
        </w:rPr>
        <w:t>Manual Reporting</w:t>
      </w:r>
    </w:p>
    <w:p w:rsidR="00F470BB" w:rsidRPr="00F470BB" w:rsidRDefault="00F470BB" w:rsidP="00F470BB">
      <w:pPr>
        <w:rPr>
          <w:rFonts w:asciiTheme="minorHAnsi" w:hAnsiTheme="minorHAnsi"/>
          <w:sz w:val="22"/>
          <w:szCs w:val="22"/>
        </w:rPr>
      </w:pPr>
    </w:p>
    <w:p w:rsidR="00F470BB" w:rsidRPr="00F470BB" w:rsidRDefault="00F470BB" w:rsidP="00F470BB">
      <w:pPr>
        <w:rPr>
          <w:rFonts w:asciiTheme="minorHAnsi" w:hAnsiTheme="minorHAnsi"/>
          <w:b/>
          <w:sz w:val="22"/>
          <w:szCs w:val="22"/>
        </w:rPr>
      </w:pPr>
      <w:r w:rsidRPr="00F470BB">
        <w:rPr>
          <w:rFonts w:asciiTheme="minorHAnsi" w:hAnsiTheme="minorHAnsi"/>
          <w:b/>
          <w:sz w:val="22"/>
          <w:szCs w:val="22"/>
        </w:rPr>
        <w:t>This option will be available from 08:30 EPT through 15:30 EPT each Business Day.</w:t>
      </w:r>
    </w:p>
    <w:p w:rsidR="00F470BB" w:rsidRPr="00F470BB" w:rsidRDefault="00F470BB" w:rsidP="00F470BB">
      <w:pPr>
        <w:rPr>
          <w:rFonts w:asciiTheme="minorHAnsi" w:hAnsiTheme="minorHAnsi"/>
          <w:sz w:val="22"/>
          <w:szCs w:val="22"/>
        </w:rPr>
      </w:pPr>
    </w:p>
    <w:p w:rsidR="00F470BB" w:rsidRPr="00F470BB" w:rsidRDefault="00F470BB" w:rsidP="00F470BB">
      <w:pPr>
        <w:rPr>
          <w:rFonts w:asciiTheme="minorHAnsi" w:hAnsiTheme="minorHAnsi"/>
          <w:sz w:val="22"/>
          <w:szCs w:val="22"/>
        </w:rPr>
      </w:pPr>
      <w:r w:rsidRPr="00F470BB">
        <w:rPr>
          <w:rFonts w:asciiTheme="minorHAnsi" w:hAnsiTheme="minorHAnsi"/>
          <w:sz w:val="22"/>
          <w:szCs w:val="22"/>
        </w:rPr>
        <w:t>If the party submitting the Report determines to submit an EFRP manually, the party may either: (1) submit an Off-Exchange Submission Form to NFX at tradereports@nasdaq.com; (2) send an email to tradereports@nasdaq.com in lieu of the Off-Exchange Submission Form with required information; or (3) call NFX Market Operations at + 1 215 496 5409 to submit a EFRP (collectively ”Report”).  The Off-Exchange Submission Form can be found at: www.nasdaqomx.com/nasdaq-futures.  The telephonic feature may only be utilized if the party has completed the security guidelines required by the Exchange to submit Reports telephonically.  The above-referenced information will be required prior to the Exchange accepting the Report.  The submission time shall be the time of the email or phone call.</w:t>
      </w:r>
    </w:p>
    <w:p w:rsidR="00F470BB" w:rsidRPr="00F470BB" w:rsidRDefault="00F470BB" w:rsidP="00F470BB">
      <w:pPr>
        <w:rPr>
          <w:rFonts w:asciiTheme="minorHAnsi" w:hAnsiTheme="minorHAnsi"/>
          <w:sz w:val="22"/>
          <w:szCs w:val="22"/>
        </w:rPr>
      </w:pPr>
    </w:p>
    <w:p w:rsidR="00F470BB" w:rsidRPr="00F470BB" w:rsidRDefault="00F470BB" w:rsidP="00F470BB">
      <w:pPr>
        <w:rPr>
          <w:rFonts w:asciiTheme="minorHAnsi" w:hAnsiTheme="minorHAnsi"/>
          <w:sz w:val="22"/>
          <w:szCs w:val="22"/>
        </w:rPr>
      </w:pPr>
      <w:r w:rsidRPr="00F470BB">
        <w:rPr>
          <w:rFonts w:asciiTheme="minorHAnsi" w:hAnsiTheme="minorHAnsi"/>
          <w:sz w:val="22"/>
          <w:szCs w:val="22"/>
        </w:rPr>
        <w:t>The following three steps are required to manually submit an EFRP Report:</w:t>
      </w:r>
    </w:p>
    <w:p w:rsidR="00F470BB" w:rsidRPr="00F470BB" w:rsidRDefault="00F470BB" w:rsidP="00F470BB">
      <w:pPr>
        <w:rPr>
          <w:rFonts w:asciiTheme="minorHAnsi" w:hAnsiTheme="minorHAnsi"/>
          <w:sz w:val="22"/>
          <w:szCs w:val="22"/>
        </w:rPr>
      </w:pPr>
    </w:p>
    <w:p w:rsidR="00F470BB" w:rsidRPr="00F470BB" w:rsidRDefault="00F470BB" w:rsidP="00F470BB">
      <w:pPr>
        <w:rPr>
          <w:rFonts w:asciiTheme="minorHAnsi" w:hAnsiTheme="minorHAnsi"/>
          <w:sz w:val="22"/>
          <w:szCs w:val="22"/>
        </w:rPr>
      </w:pPr>
      <w:r w:rsidRPr="00F470BB">
        <w:rPr>
          <w:rFonts w:asciiTheme="minorHAnsi" w:hAnsiTheme="minorHAnsi"/>
          <w:b/>
          <w:sz w:val="22"/>
          <w:szCs w:val="22"/>
        </w:rPr>
        <w:t>Step 1 -</w:t>
      </w:r>
      <w:r w:rsidRPr="00F470BB">
        <w:rPr>
          <w:rFonts w:asciiTheme="minorHAnsi" w:hAnsiTheme="minorHAnsi"/>
          <w:sz w:val="22"/>
          <w:szCs w:val="22"/>
        </w:rPr>
        <w:t xml:space="preserve"> The party submitting the EFRP must submit the Report to NFX within thirty (30) minutes of the time of execution.</w:t>
      </w:r>
    </w:p>
    <w:p w:rsidR="00F470BB" w:rsidRPr="00F470BB" w:rsidRDefault="00F470BB" w:rsidP="00F470BB">
      <w:pPr>
        <w:rPr>
          <w:rFonts w:asciiTheme="minorHAnsi" w:hAnsiTheme="minorHAnsi"/>
          <w:sz w:val="22"/>
          <w:szCs w:val="22"/>
        </w:rPr>
      </w:pPr>
    </w:p>
    <w:p w:rsidR="00F470BB" w:rsidRPr="00F470BB" w:rsidRDefault="00F470BB" w:rsidP="00F470BB">
      <w:pPr>
        <w:rPr>
          <w:rFonts w:asciiTheme="minorHAnsi" w:hAnsiTheme="minorHAnsi"/>
          <w:sz w:val="22"/>
          <w:szCs w:val="22"/>
        </w:rPr>
      </w:pPr>
      <w:r w:rsidRPr="00F470BB">
        <w:rPr>
          <w:rFonts w:asciiTheme="minorHAnsi" w:hAnsiTheme="minorHAnsi"/>
          <w:b/>
          <w:sz w:val="22"/>
          <w:szCs w:val="22"/>
        </w:rPr>
        <w:t>Step 2 -</w:t>
      </w:r>
      <w:r>
        <w:rPr>
          <w:rFonts w:asciiTheme="minorHAnsi" w:hAnsiTheme="minorHAnsi"/>
          <w:sz w:val="22"/>
          <w:szCs w:val="22"/>
        </w:rPr>
        <w:t xml:space="preserve"> </w:t>
      </w:r>
      <w:r w:rsidRPr="00F470BB">
        <w:rPr>
          <w:rFonts w:asciiTheme="minorHAnsi" w:hAnsiTheme="minorHAnsi"/>
          <w:sz w:val="22"/>
          <w:szCs w:val="22"/>
        </w:rPr>
        <w:t>A confirmation will be sent within thirty (30) minutes of the submission of the Report to the submitter by NFX Market Operations.  This confirmation will be sent via email.  The submitter will have fifteen (15) minutes to review the email and respond to the Exchange.  Once the submitter affirms the confirmation, the Report will be immediately sent to OCC.  If the submitter modifies the confirmation as a result of an error caused by the Exchange in documenting the Report, the Report will be modified and immediately submitted to OCC.  Reports may not otherwise be modified.  If the submitter does not respond within fifteen (15) minutes, the Exchange will submit the Report to OCC as confirmed via email.  If NasdaQ-Port rejects the transaction being reported, the submitter will be immediately be notified.</w:t>
      </w:r>
    </w:p>
    <w:p w:rsidR="00F470BB" w:rsidRPr="00F470BB" w:rsidRDefault="00F470BB" w:rsidP="00F470BB">
      <w:pPr>
        <w:rPr>
          <w:rFonts w:asciiTheme="minorHAnsi" w:hAnsiTheme="minorHAnsi"/>
          <w:sz w:val="22"/>
          <w:szCs w:val="22"/>
        </w:rPr>
      </w:pPr>
      <w:r w:rsidRPr="00F470BB">
        <w:rPr>
          <w:rFonts w:asciiTheme="minorHAnsi" w:hAnsiTheme="minorHAnsi"/>
          <w:sz w:val="22"/>
          <w:szCs w:val="22"/>
        </w:rPr>
        <w:t xml:space="preserve"> </w:t>
      </w:r>
    </w:p>
    <w:p w:rsidR="00F470BB" w:rsidRPr="00F470BB" w:rsidRDefault="00F470BB" w:rsidP="00F470BB">
      <w:pPr>
        <w:rPr>
          <w:rFonts w:asciiTheme="minorHAnsi" w:hAnsiTheme="minorHAnsi"/>
          <w:sz w:val="22"/>
          <w:szCs w:val="22"/>
        </w:rPr>
      </w:pPr>
      <w:r w:rsidRPr="00F470BB">
        <w:rPr>
          <w:rFonts w:asciiTheme="minorHAnsi" w:hAnsiTheme="minorHAnsi"/>
          <w:b/>
          <w:sz w:val="22"/>
          <w:szCs w:val="22"/>
        </w:rPr>
        <w:t>Step 3 -</w:t>
      </w:r>
      <w:r w:rsidRPr="00F470BB">
        <w:rPr>
          <w:rFonts w:asciiTheme="minorHAnsi" w:hAnsiTheme="minorHAnsi"/>
          <w:sz w:val="22"/>
          <w:szCs w:val="22"/>
        </w:rPr>
        <w:t xml:space="preserve"> NFX Market Operations will submit the EFRP Report into NasdaQ-Port within thirty (30) minutes of a validated email or unconfirmed email that was not validated within fifteen (15) minutes.  The Report must be compliant with NFX Rules at Chapter IV, Section 11. </w:t>
      </w:r>
    </w:p>
    <w:p w:rsidR="00F470BB" w:rsidRPr="00F470BB" w:rsidRDefault="00F470BB" w:rsidP="00F470BB">
      <w:pPr>
        <w:rPr>
          <w:rFonts w:asciiTheme="minorHAnsi" w:hAnsiTheme="minorHAnsi"/>
          <w:sz w:val="22"/>
          <w:szCs w:val="22"/>
        </w:rPr>
      </w:pPr>
    </w:p>
    <w:p w:rsidR="00F470BB" w:rsidRPr="00F470BB" w:rsidRDefault="00F470BB" w:rsidP="00F470BB">
      <w:pPr>
        <w:rPr>
          <w:rFonts w:asciiTheme="minorHAnsi" w:hAnsiTheme="minorHAnsi"/>
          <w:sz w:val="22"/>
          <w:szCs w:val="22"/>
        </w:rPr>
      </w:pPr>
      <w:r w:rsidRPr="00F470BB">
        <w:rPr>
          <w:rFonts w:asciiTheme="minorHAnsi" w:hAnsiTheme="minorHAnsi"/>
          <w:sz w:val="22"/>
          <w:szCs w:val="22"/>
        </w:rPr>
        <w:t xml:space="preserve">Each Clearing Futures Participant and omnibus account submitting large trader positions in accordance with this Rule must submit for each reportable account the EFRP volume bought and sold in the reportable instrument, by contract month, and additionally for EOOs, by put and call strike. The information must be included in the daily large trader report to the Exchange. </w:t>
      </w:r>
    </w:p>
    <w:p w:rsidR="00F470BB" w:rsidRPr="00F470BB" w:rsidRDefault="00F470BB" w:rsidP="00F470BB">
      <w:pPr>
        <w:rPr>
          <w:rFonts w:asciiTheme="minorHAnsi" w:hAnsiTheme="minorHAnsi"/>
          <w:sz w:val="22"/>
          <w:szCs w:val="22"/>
        </w:rPr>
      </w:pPr>
    </w:p>
    <w:p w:rsidR="009833B5" w:rsidRDefault="00F470BB" w:rsidP="00F470BB">
      <w:pPr>
        <w:rPr>
          <w:rFonts w:asciiTheme="minorHAnsi" w:hAnsiTheme="minorHAnsi"/>
          <w:sz w:val="22"/>
          <w:szCs w:val="22"/>
        </w:rPr>
      </w:pPr>
      <w:r w:rsidRPr="00F470BB">
        <w:rPr>
          <w:rFonts w:asciiTheme="minorHAnsi" w:hAnsiTheme="minorHAnsi"/>
          <w:sz w:val="22"/>
          <w:szCs w:val="22"/>
        </w:rPr>
        <w:t>See recordkeeping below.</w:t>
      </w:r>
    </w:p>
    <w:p w:rsidR="009833B5" w:rsidRDefault="009833B5" w:rsidP="003D3971">
      <w:pPr>
        <w:rPr>
          <w:rFonts w:asciiTheme="minorHAnsi" w:hAnsiTheme="minorHAnsi"/>
          <w:sz w:val="22"/>
          <w:szCs w:val="22"/>
        </w:rPr>
      </w:pPr>
    </w:p>
    <w:p w:rsidR="0033184F" w:rsidRPr="00102C8D" w:rsidRDefault="0033184F" w:rsidP="0033184F">
      <w:pPr>
        <w:pStyle w:val="Heading1"/>
      </w:pPr>
      <w:r>
        <w:t xml:space="preserve"> </w:t>
      </w:r>
      <w:bookmarkStart w:id="31" w:name="_Toc465175558"/>
      <w:r w:rsidRPr="0033184F">
        <w:t>WHAT RECORDKEEPING REQUIREMENTS ARE REQUIRED FOR AN EFRP</w:t>
      </w:r>
      <w:r w:rsidRPr="007A4E95">
        <w:t>?</w:t>
      </w:r>
      <w:bookmarkEnd w:id="31"/>
    </w:p>
    <w:p w:rsidR="00F470BB" w:rsidRDefault="0033184F" w:rsidP="003D3971">
      <w:pPr>
        <w:rPr>
          <w:rFonts w:asciiTheme="minorHAnsi" w:hAnsiTheme="minorHAnsi"/>
          <w:sz w:val="22"/>
          <w:szCs w:val="22"/>
        </w:rPr>
      </w:pPr>
      <w:r w:rsidRPr="0033184F">
        <w:rPr>
          <w:rFonts w:asciiTheme="minorHAnsi" w:hAnsiTheme="minorHAnsi"/>
          <w:sz w:val="22"/>
          <w:szCs w:val="22"/>
        </w:rPr>
        <w:t>All records relevant to the Exchange contract and the corresponding related position transaction, including any records required to be kept pursuant to CFTC Regulation 1.35. Customer confirmations and account statements must reflect transactions which transacted as EFRP.</w:t>
      </w:r>
    </w:p>
    <w:p w:rsidR="00F470BB" w:rsidRDefault="00F470BB" w:rsidP="003D3971">
      <w:pPr>
        <w:rPr>
          <w:rFonts w:asciiTheme="minorHAnsi" w:hAnsiTheme="minorHAnsi"/>
          <w:sz w:val="22"/>
          <w:szCs w:val="22"/>
        </w:rPr>
      </w:pPr>
    </w:p>
    <w:p w:rsidR="0033184F" w:rsidRPr="0033184F" w:rsidRDefault="0033184F" w:rsidP="0033184F">
      <w:pPr>
        <w:pStyle w:val="Heading1"/>
      </w:pPr>
      <w:r>
        <w:t xml:space="preserve"> </w:t>
      </w:r>
      <w:bookmarkStart w:id="32" w:name="_Toc465175559"/>
      <w:r w:rsidRPr="0033184F">
        <w:t>DO EFRP TRANSACTIONS BETWEEN ACCOUNTS OF AFFILIATED PARTIES CONSISTUTE A WASH TRADE?</w:t>
      </w:r>
      <w:bookmarkEnd w:id="32"/>
    </w:p>
    <w:p w:rsidR="00D16DE3" w:rsidRPr="00D16DE3" w:rsidRDefault="00D16DE3" w:rsidP="00D16DE3">
      <w:pPr>
        <w:rPr>
          <w:rFonts w:asciiTheme="minorHAnsi" w:hAnsiTheme="minorHAnsi"/>
          <w:sz w:val="22"/>
          <w:szCs w:val="22"/>
        </w:rPr>
      </w:pPr>
      <w:r w:rsidRPr="00D16DE3">
        <w:rPr>
          <w:rFonts w:asciiTheme="minorHAnsi" w:hAnsiTheme="minorHAnsi"/>
          <w:sz w:val="22"/>
          <w:szCs w:val="22"/>
        </w:rPr>
        <w:t xml:space="preserve">The accounts involved in the execution of an EFRP transaction must be (i) independently controlled accounts with different beneficial ownership; or (ii) independently controlled accounts of separate legal entities with the same beneficial ownership, provided that the account controllers operate in separate business units; or (iii) independently controlled accounts within the same legal entity, provided that the account controllers operate in separate business units. </w:t>
      </w:r>
    </w:p>
    <w:p w:rsidR="00D16DE3" w:rsidRPr="00D16DE3" w:rsidRDefault="00D16DE3" w:rsidP="00D16DE3">
      <w:pPr>
        <w:rPr>
          <w:rFonts w:asciiTheme="minorHAnsi" w:hAnsiTheme="minorHAnsi"/>
          <w:sz w:val="22"/>
          <w:szCs w:val="22"/>
        </w:rPr>
      </w:pPr>
    </w:p>
    <w:p w:rsidR="00D16DE3" w:rsidRPr="00D16DE3" w:rsidRDefault="00D16DE3" w:rsidP="00D16DE3">
      <w:pPr>
        <w:rPr>
          <w:rFonts w:asciiTheme="minorHAnsi" w:hAnsiTheme="minorHAnsi"/>
          <w:sz w:val="22"/>
          <w:szCs w:val="22"/>
        </w:rPr>
      </w:pPr>
      <w:r w:rsidRPr="00D16DE3">
        <w:rPr>
          <w:rFonts w:asciiTheme="minorHAnsi" w:hAnsiTheme="minorHAnsi"/>
          <w:sz w:val="22"/>
          <w:szCs w:val="22"/>
        </w:rPr>
        <w:t>Accounts with the same beneficial ownership include accounts owned by the same person or entity, accounts of a parent and its wholly owned subsidiaries, and accounts of subsidiaries that are wholly owned by the same parent. Common beneficial ownership is more inclusive and includes not only accounts with the same beneficial ownership, but also accounts with common beneficial ownership that is less than 100%.</w:t>
      </w:r>
    </w:p>
    <w:p w:rsidR="00D16DE3" w:rsidRPr="00D16DE3" w:rsidRDefault="00D16DE3" w:rsidP="00D16DE3">
      <w:pPr>
        <w:rPr>
          <w:rFonts w:asciiTheme="minorHAnsi" w:hAnsiTheme="minorHAnsi"/>
          <w:sz w:val="22"/>
          <w:szCs w:val="22"/>
        </w:rPr>
      </w:pPr>
    </w:p>
    <w:p w:rsidR="00D16DE3" w:rsidRDefault="00D16DE3" w:rsidP="00D16DE3">
      <w:pPr>
        <w:rPr>
          <w:rFonts w:asciiTheme="minorHAnsi" w:hAnsiTheme="minorHAnsi"/>
          <w:sz w:val="22"/>
          <w:szCs w:val="22"/>
        </w:rPr>
      </w:pPr>
      <w:r w:rsidRPr="00D16DE3">
        <w:rPr>
          <w:rFonts w:asciiTheme="minorHAnsi" w:hAnsiTheme="minorHAnsi"/>
          <w:sz w:val="22"/>
          <w:szCs w:val="22"/>
        </w:rPr>
        <w:t>Parties to an EFRP transaction involving the same legal entity or common beneficial ownership must be able to demonstrate the independent control of decision making for the respective accounts and that the EFRP had economic substance for each party to the trade.</w:t>
      </w:r>
    </w:p>
    <w:p w:rsidR="00D16DE3" w:rsidRDefault="00D16DE3" w:rsidP="00D16DE3">
      <w:pPr>
        <w:rPr>
          <w:rFonts w:asciiTheme="minorHAnsi" w:hAnsiTheme="minorHAnsi"/>
          <w:sz w:val="22"/>
          <w:szCs w:val="22"/>
        </w:rPr>
      </w:pPr>
    </w:p>
    <w:p w:rsidR="00D16DE3" w:rsidRPr="0033184F" w:rsidRDefault="00D16DE3" w:rsidP="00D16DE3">
      <w:pPr>
        <w:pStyle w:val="Heading1"/>
      </w:pPr>
      <w:r>
        <w:t xml:space="preserve"> </w:t>
      </w:r>
      <w:bookmarkStart w:id="33" w:name="_Toc465175560"/>
      <w:r w:rsidRPr="00D16DE3">
        <w:t>WHAT TYPE OF DOCUMENTATION MAY BE REQUIRED BY NFX REGULATIONS REGARDING AN EFRP?</w:t>
      </w:r>
      <w:bookmarkEnd w:id="33"/>
    </w:p>
    <w:p w:rsidR="00D16DE3" w:rsidRDefault="00D16DE3" w:rsidP="00D16DE3">
      <w:pPr>
        <w:rPr>
          <w:rFonts w:asciiTheme="minorHAnsi" w:hAnsiTheme="minorHAnsi"/>
          <w:sz w:val="22"/>
          <w:szCs w:val="22"/>
        </w:rPr>
      </w:pPr>
    </w:p>
    <w:p w:rsidR="00D16DE3" w:rsidRPr="00D16DE3" w:rsidRDefault="00D16DE3" w:rsidP="00D16DE3">
      <w:pPr>
        <w:rPr>
          <w:rFonts w:asciiTheme="minorHAnsi" w:hAnsiTheme="minorHAnsi"/>
          <w:sz w:val="22"/>
          <w:szCs w:val="22"/>
        </w:rPr>
      </w:pPr>
      <w:r w:rsidRPr="00D16DE3">
        <w:rPr>
          <w:rFonts w:asciiTheme="minorHAnsi" w:hAnsiTheme="minorHAnsi"/>
          <w:sz w:val="22"/>
          <w:szCs w:val="22"/>
        </w:rPr>
        <w:t>Futures Participants and Clearing Futures Participants are responsible for exercising due diligence as to the bona fide nature of EFRP transactions submitted on behalf of Customers. Futures Participants and Clearing Futures Participants must obtain or have the right to access documentation confirming the details of the futures, cash or OTC component to an EFRP transaction. Documentation customarily generated in accordance with futures or options components of an EFRP transaction may include: account statements or order tickets.</w:t>
      </w:r>
    </w:p>
    <w:p w:rsidR="00D16DE3" w:rsidRPr="00D16DE3" w:rsidRDefault="00D16DE3" w:rsidP="00D16DE3">
      <w:pPr>
        <w:rPr>
          <w:rFonts w:asciiTheme="minorHAnsi" w:hAnsiTheme="minorHAnsi"/>
          <w:sz w:val="22"/>
          <w:szCs w:val="22"/>
        </w:rPr>
      </w:pPr>
    </w:p>
    <w:p w:rsidR="00D16DE3" w:rsidRPr="00D16DE3" w:rsidRDefault="00D16DE3" w:rsidP="00D16DE3">
      <w:pPr>
        <w:rPr>
          <w:rFonts w:asciiTheme="minorHAnsi" w:hAnsiTheme="minorHAnsi"/>
          <w:sz w:val="22"/>
          <w:szCs w:val="22"/>
        </w:rPr>
      </w:pPr>
      <w:r w:rsidRPr="00D16DE3">
        <w:rPr>
          <w:rFonts w:asciiTheme="minorHAnsi" w:hAnsiTheme="minorHAnsi"/>
          <w:sz w:val="22"/>
          <w:szCs w:val="22"/>
        </w:rPr>
        <w:t xml:space="preserve">Documentation customarily generated in accordance with cash market or other relevant market practices such as signed swap agreements, OTC contracts, cash confirmations, invoices, warehouse receipts and bills of sale, as well as documentation that demonstrates proof of payment and transfer of ownership of the related position transaction (e.g. canceled checks, bank statements, Fedwire confirms, Fixed Income Clearing Corporation documents, bills of lading etc.), which evidence title to or contract(s) to buy or sell </w:t>
      </w:r>
      <w:r w:rsidRPr="00D16DE3">
        <w:rPr>
          <w:rFonts w:asciiTheme="minorHAnsi" w:hAnsiTheme="minorHAnsi"/>
          <w:sz w:val="22"/>
          <w:szCs w:val="22"/>
        </w:rPr>
        <w:lastRenderedPageBreak/>
        <w:t>the cash commodity involved in the transaction and a transference of ownership. Documentation must demonstrate that buyer of the futures contract is the seller of the physical or OTC component of the EFRP. EFRP documentation must be provided to the Exchange upon request.</w:t>
      </w:r>
    </w:p>
    <w:p w:rsidR="00D16DE3" w:rsidRPr="00D16DE3" w:rsidRDefault="00D16DE3" w:rsidP="00D16DE3">
      <w:pPr>
        <w:rPr>
          <w:rFonts w:asciiTheme="minorHAnsi" w:hAnsiTheme="minorHAnsi"/>
          <w:sz w:val="22"/>
          <w:szCs w:val="22"/>
        </w:rPr>
      </w:pPr>
    </w:p>
    <w:p w:rsidR="00D16DE3" w:rsidRDefault="00D16DE3" w:rsidP="00D16DE3">
      <w:pPr>
        <w:rPr>
          <w:rFonts w:asciiTheme="minorHAnsi" w:hAnsiTheme="minorHAnsi"/>
          <w:sz w:val="22"/>
          <w:szCs w:val="22"/>
        </w:rPr>
      </w:pPr>
      <w:r w:rsidRPr="00D16DE3">
        <w:rPr>
          <w:rFonts w:asciiTheme="minorHAnsi" w:hAnsiTheme="minorHAnsi"/>
          <w:sz w:val="22"/>
          <w:szCs w:val="22"/>
        </w:rPr>
        <w:t>It shall be the responsibility of the Futures Participant and the Clearing Futures Participant to demonstrate, upon the request of Exchange staff, that the EFRP transaction is bona fide and conducted by a person eligible to transact the OTC component. For the protection of the market and investors, the Exchange believes that Futures Participants and Clearing Futures Participants should know their Customers. By way of example, a Futures Participant or Clearing Participant should understand their Customer’s business and with respect to EFRP transactions, this would entail knowing the relative portion of the Customer’s EFRP transactions in a Customer relative to business transacted by that Customer in the underlying commodity or relevant OTC related position in addition to information concerning Customer experience. In reviewing EFRP documentation, Exchange staff considers whether the offsetting cash commodity or OTC component was an independent transaction exposed to price competition as well as the length of time between transactions. Exchange staff may request documentation concerning negotiation of a transaction to establish the bona fide nature of the transaction.</w:t>
      </w:r>
    </w:p>
    <w:p w:rsidR="00D16DE3" w:rsidRDefault="00D16DE3" w:rsidP="00D16DE3">
      <w:pPr>
        <w:rPr>
          <w:rFonts w:asciiTheme="minorHAnsi" w:hAnsiTheme="minorHAnsi"/>
          <w:sz w:val="22"/>
          <w:szCs w:val="22"/>
        </w:rPr>
      </w:pPr>
    </w:p>
    <w:p w:rsidR="008C0240" w:rsidRDefault="008C0240" w:rsidP="001D61C7"/>
    <w:p w:rsidR="00D16DE3" w:rsidRDefault="00D16DE3" w:rsidP="001D61C7"/>
    <w:p w:rsidR="00D16DE3" w:rsidRDefault="00D16DE3" w:rsidP="001D61C7"/>
    <w:p w:rsidR="00D16DE3" w:rsidRDefault="00D16DE3" w:rsidP="001D61C7"/>
    <w:p w:rsidR="008C0240" w:rsidRDefault="008C0240" w:rsidP="001D61C7"/>
    <w:p w:rsidR="008C0240" w:rsidRDefault="008C0240" w:rsidP="001D61C7"/>
    <w:p w:rsidR="008C0240" w:rsidRDefault="008C0240" w:rsidP="001D61C7"/>
    <w:p w:rsidR="008C0240" w:rsidRDefault="008C0240" w:rsidP="001D61C7"/>
    <w:p w:rsidR="008C0240" w:rsidRDefault="008C0240" w:rsidP="001D61C7"/>
    <w:p w:rsidR="008C0240" w:rsidRDefault="008C0240" w:rsidP="001D61C7"/>
    <w:p w:rsidR="008C0240" w:rsidRDefault="008C0240" w:rsidP="001D61C7"/>
    <w:p w:rsidR="008C0240" w:rsidRDefault="008C0240" w:rsidP="001D61C7"/>
    <w:p w:rsidR="008C0240" w:rsidRDefault="008C0240" w:rsidP="001D61C7"/>
    <w:p w:rsidR="008C0240" w:rsidRDefault="008C0240" w:rsidP="001D61C7"/>
    <w:p w:rsidR="008C0240" w:rsidRDefault="008C0240" w:rsidP="001D61C7"/>
    <w:p w:rsidR="008C0240" w:rsidRDefault="008C0240" w:rsidP="001D61C7"/>
    <w:p w:rsidR="008C0240" w:rsidRDefault="008C0240" w:rsidP="001D61C7"/>
    <w:p w:rsidR="008C0240" w:rsidRDefault="008C0240" w:rsidP="001D61C7"/>
    <w:p w:rsidR="008C0240" w:rsidRDefault="008C0240" w:rsidP="001D61C7"/>
    <w:p w:rsidR="00035033" w:rsidRPr="00102C8D" w:rsidRDefault="00035033" w:rsidP="001D61C7"/>
    <w:p w:rsidR="00035033" w:rsidRPr="00102C8D" w:rsidRDefault="00035033" w:rsidP="001D61C7"/>
    <w:p w:rsidR="00035033" w:rsidRPr="00102C8D" w:rsidRDefault="00035033" w:rsidP="001D61C7"/>
    <w:p w:rsidR="00035033" w:rsidRPr="00102C8D" w:rsidRDefault="00035033" w:rsidP="001D61C7"/>
    <w:p w:rsidR="00035033" w:rsidRPr="00102C8D" w:rsidRDefault="00035033" w:rsidP="001D61C7"/>
    <w:p w:rsidR="00240322" w:rsidRDefault="00240322" w:rsidP="001D61C7">
      <w:pPr>
        <w:jc w:val="center"/>
      </w:pPr>
    </w:p>
    <w:p w:rsidR="00240322" w:rsidRDefault="00240322" w:rsidP="001D61C7">
      <w:pPr>
        <w:jc w:val="center"/>
      </w:pPr>
    </w:p>
    <w:p w:rsidR="00240322" w:rsidRDefault="00240322" w:rsidP="001D61C7">
      <w:pPr>
        <w:jc w:val="center"/>
      </w:pPr>
    </w:p>
    <w:p w:rsidR="00240322" w:rsidRDefault="00240322" w:rsidP="001D61C7">
      <w:pPr>
        <w:jc w:val="center"/>
      </w:pPr>
    </w:p>
    <w:p w:rsidR="00240322" w:rsidRDefault="00240322" w:rsidP="001D61C7">
      <w:pPr>
        <w:jc w:val="center"/>
      </w:pPr>
    </w:p>
    <w:p w:rsidR="00240322" w:rsidRDefault="00240322" w:rsidP="001D61C7">
      <w:pPr>
        <w:jc w:val="center"/>
      </w:pPr>
    </w:p>
    <w:p w:rsidR="00240322" w:rsidRDefault="00240322" w:rsidP="001D61C7">
      <w:pPr>
        <w:jc w:val="center"/>
      </w:pPr>
    </w:p>
    <w:p w:rsidR="00240322" w:rsidRDefault="00240322" w:rsidP="001D61C7">
      <w:pPr>
        <w:jc w:val="center"/>
      </w:pPr>
    </w:p>
    <w:p w:rsidR="00240322" w:rsidRDefault="00240322" w:rsidP="001D61C7">
      <w:pPr>
        <w:jc w:val="center"/>
      </w:pPr>
    </w:p>
    <w:p w:rsidR="00240322" w:rsidRDefault="00240322" w:rsidP="001D61C7">
      <w:pPr>
        <w:jc w:val="center"/>
      </w:pPr>
    </w:p>
    <w:p w:rsidR="00240322" w:rsidRDefault="00240322" w:rsidP="001D61C7">
      <w:pPr>
        <w:jc w:val="center"/>
      </w:pPr>
    </w:p>
    <w:p w:rsidR="00240322" w:rsidRDefault="00240322" w:rsidP="001D61C7">
      <w:pPr>
        <w:jc w:val="center"/>
      </w:pPr>
    </w:p>
    <w:p w:rsidR="00240322" w:rsidRDefault="00240322" w:rsidP="001D61C7">
      <w:pPr>
        <w:jc w:val="center"/>
      </w:pPr>
    </w:p>
    <w:p w:rsidR="00240322" w:rsidRDefault="00240322" w:rsidP="001D61C7">
      <w:pPr>
        <w:jc w:val="center"/>
      </w:pPr>
    </w:p>
    <w:p w:rsidR="00240322" w:rsidRDefault="00240322" w:rsidP="001D61C7">
      <w:pPr>
        <w:jc w:val="center"/>
      </w:pPr>
    </w:p>
    <w:p w:rsidR="00A64EDF" w:rsidRDefault="00A64EDF" w:rsidP="001D61C7">
      <w:pPr>
        <w:jc w:val="center"/>
      </w:pPr>
    </w:p>
    <w:p w:rsidR="00A64EDF" w:rsidRDefault="00A64EDF" w:rsidP="001D61C7">
      <w:pPr>
        <w:jc w:val="center"/>
      </w:pPr>
    </w:p>
    <w:p w:rsidR="00A64EDF" w:rsidRDefault="00A64EDF" w:rsidP="001D61C7">
      <w:pPr>
        <w:jc w:val="center"/>
      </w:pPr>
    </w:p>
    <w:p w:rsidR="00BE68BF" w:rsidRDefault="00BE68BF" w:rsidP="001D61C7">
      <w:pPr>
        <w:jc w:val="center"/>
      </w:pPr>
    </w:p>
    <w:p w:rsidR="00BE68BF" w:rsidRDefault="00BE68BF" w:rsidP="001D61C7">
      <w:pPr>
        <w:jc w:val="center"/>
      </w:pPr>
    </w:p>
    <w:p w:rsidR="00BE68BF" w:rsidRDefault="00BE68BF" w:rsidP="001D61C7">
      <w:pPr>
        <w:jc w:val="center"/>
      </w:pPr>
    </w:p>
    <w:p w:rsidR="00BE68BF" w:rsidRDefault="00BE68BF" w:rsidP="001D61C7">
      <w:pPr>
        <w:jc w:val="center"/>
      </w:pPr>
    </w:p>
    <w:p w:rsidR="00A64EDF" w:rsidRDefault="00A64EDF" w:rsidP="001D61C7">
      <w:pPr>
        <w:jc w:val="center"/>
      </w:pPr>
    </w:p>
    <w:p w:rsidR="00A64EDF" w:rsidRDefault="00A64EDF" w:rsidP="001D61C7">
      <w:pPr>
        <w:jc w:val="center"/>
      </w:pPr>
    </w:p>
    <w:p w:rsidR="00A64EDF" w:rsidRDefault="00A64EDF" w:rsidP="001D61C7">
      <w:pPr>
        <w:jc w:val="center"/>
      </w:pPr>
    </w:p>
    <w:p w:rsidR="00A64EDF" w:rsidRDefault="00A64EDF" w:rsidP="001D61C7">
      <w:pPr>
        <w:jc w:val="center"/>
      </w:pPr>
    </w:p>
    <w:p w:rsidR="00454A62" w:rsidRDefault="00454A62" w:rsidP="001D61C7">
      <w:pPr>
        <w:jc w:val="center"/>
      </w:pPr>
    </w:p>
    <w:p w:rsidR="00454A62" w:rsidRDefault="00454A62" w:rsidP="001D61C7">
      <w:pPr>
        <w:jc w:val="center"/>
      </w:pPr>
    </w:p>
    <w:p w:rsidR="00454A62" w:rsidRDefault="00454A62" w:rsidP="001D61C7">
      <w:pPr>
        <w:jc w:val="center"/>
      </w:pPr>
    </w:p>
    <w:p w:rsidR="00454A62" w:rsidRDefault="00454A62" w:rsidP="001D61C7">
      <w:pPr>
        <w:jc w:val="center"/>
      </w:pPr>
    </w:p>
    <w:p w:rsidR="00454A62" w:rsidRDefault="00454A62" w:rsidP="001D61C7">
      <w:pPr>
        <w:jc w:val="center"/>
      </w:pPr>
    </w:p>
    <w:p w:rsidR="00035033" w:rsidRPr="004E6B87" w:rsidRDefault="008C0240" w:rsidP="001D61C7">
      <w:pPr>
        <w:jc w:val="center"/>
      </w:pPr>
      <w:r w:rsidRPr="00102C8D">
        <w:rPr>
          <w:rFonts w:asciiTheme="minorHAnsi" w:hAnsiTheme="minorHAnsi"/>
          <w:b/>
          <w:noProof/>
          <w:sz w:val="22"/>
          <w:szCs w:val="22"/>
        </w:rPr>
        <w:drawing>
          <wp:anchor distT="0" distB="0" distL="114300" distR="114300" simplePos="0" relativeHeight="251672064" behindDoc="0" locked="0" layoutInCell="1" allowOverlap="1" wp14:anchorId="28F309AC" wp14:editId="0EC6D957">
            <wp:simplePos x="0" y="0"/>
            <wp:positionH relativeFrom="margin">
              <wp:posOffset>2167255</wp:posOffset>
            </wp:positionH>
            <wp:positionV relativeFrom="margin">
              <wp:posOffset>4097020</wp:posOffset>
            </wp:positionV>
            <wp:extent cx="1604010" cy="457200"/>
            <wp:effectExtent l="0" t="0" r="0" b="0"/>
            <wp:wrapSquare wrapText="bothSides"/>
            <wp:docPr id="3" name="Picture 3"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r w:rsidR="00035033" w:rsidRPr="00102C8D">
        <w:t>© Copyright 201</w:t>
      </w:r>
      <w:r w:rsidR="008725B4" w:rsidRPr="00391763">
        <w:t>6</w:t>
      </w:r>
      <w:r w:rsidR="00035033" w:rsidRPr="00102C8D">
        <w:t>, Nasdaq, Inc. All rights reserved</w:t>
      </w:r>
    </w:p>
    <w:sectPr w:rsidR="00035033" w:rsidRPr="004E6B87" w:rsidSect="00741DBE">
      <w:headerReference w:type="even" r:id="rId38"/>
      <w:headerReference w:type="default" r:id="rId39"/>
      <w:footerReference w:type="even" r:id="rId40"/>
      <w:headerReference w:type="first" r:id="rId41"/>
      <w:footerReference w:type="first" r:id="rId42"/>
      <w:pgSz w:w="12240" w:h="15840"/>
      <w:pgMar w:top="900" w:right="1340" w:bottom="1140" w:left="1340" w:header="708"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C2" w:rsidRDefault="007130C2">
      <w:r>
        <w:separator/>
      </w:r>
    </w:p>
  </w:endnote>
  <w:endnote w:type="continuationSeparator" w:id="0">
    <w:p w:rsidR="007130C2" w:rsidRDefault="0071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 Baskervill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0A" w:rsidRDefault="00C8670A">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670A" w:rsidRDefault="00C867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0A" w:rsidRDefault="00C8670A">
    <w:pPr>
      <w:pStyle w:val="Footer"/>
      <w:framePr w:wrap="around" w:vAnchor="text" w:hAnchor="page" w:x="11107" w:y="181"/>
      <w:rPr>
        <w:rStyle w:val="PageNumber"/>
        <w:i w:val="0"/>
      </w:rPr>
    </w:pPr>
    <w:r>
      <w:rPr>
        <w:rStyle w:val="PageNumber"/>
        <w:b/>
        <w:i w:val="0"/>
        <w:color w:val="565A5C"/>
      </w:rPr>
      <w:fldChar w:fldCharType="begin"/>
    </w:r>
    <w:r>
      <w:rPr>
        <w:rStyle w:val="PageNumber"/>
        <w:b/>
        <w:i w:val="0"/>
        <w:color w:val="565A5C"/>
      </w:rPr>
      <w:instrText xml:space="preserve">PAGE  </w:instrText>
    </w:r>
    <w:r>
      <w:rPr>
        <w:rStyle w:val="PageNumber"/>
        <w:b/>
        <w:i w:val="0"/>
        <w:color w:val="565A5C"/>
      </w:rPr>
      <w:fldChar w:fldCharType="separate"/>
    </w:r>
    <w:r w:rsidR="00821531">
      <w:rPr>
        <w:rStyle w:val="PageNumber"/>
        <w:b/>
        <w:i w:val="0"/>
        <w:noProof/>
        <w:color w:val="565A5C"/>
      </w:rPr>
      <w:t>3</w:t>
    </w:r>
    <w:r>
      <w:rPr>
        <w:rStyle w:val="PageNumber"/>
        <w:b/>
        <w:i w:val="0"/>
        <w:color w:val="565A5C"/>
      </w:rPr>
      <w:fldChar w:fldCharType="end"/>
    </w:r>
  </w:p>
  <w:p w:rsidR="00C8670A" w:rsidRDefault="00C8670A">
    <w:pPr>
      <w:pStyle w:val="Footer"/>
      <w:ind w:right="360"/>
      <w:rPr>
        <w:b/>
        <w:caps/>
        <w:color w:val="565A5C"/>
      </w:rPr>
    </w:pPr>
    <w:r>
      <w:rPr>
        <w:noProof/>
      </w:rPr>
      <mc:AlternateContent>
        <mc:Choice Requires="wps">
          <w:drawing>
            <wp:anchor distT="0" distB="0" distL="114300" distR="114300" simplePos="0" relativeHeight="251668992" behindDoc="0" locked="0" layoutInCell="1" allowOverlap="1" wp14:anchorId="7DC9230E" wp14:editId="2852C9D9">
              <wp:simplePos x="0" y="0"/>
              <wp:positionH relativeFrom="column">
                <wp:posOffset>0</wp:posOffset>
              </wp:positionH>
              <wp:positionV relativeFrom="paragraph">
                <wp:posOffset>-6350</wp:posOffset>
              </wp:positionV>
              <wp:extent cx="6629400" cy="8890"/>
              <wp:effectExtent l="0" t="0" r="19050" b="2921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8890"/>
                      </a:xfrm>
                      <a:prstGeom prst="line">
                        <a:avLst/>
                      </a:prstGeom>
                      <a:noFill/>
                      <a:ln w="12700">
                        <a:solidFill>
                          <a:srgbClr val="003D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28922" id="Line 1"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6gsAIAAKEFAAAOAAAAZHJzL2Uyb0RvYy54bWysVE1v2zAMvQ/YfxB8d20njvOBJkVrO7t0&#10;W7B221mx5FiYLAmSEicY9t9HyYm7dJdhqA+GKJFPj+Sjbu+OLUcHqg2TYhkkN3GAqKgkYWK3DL4+&#10;r8NZgIzFgmAuBV0GJ2qCu9X7d7edWtCRbCQnVCMAEWbRqWXQWKsWUWSqhrbY3EhFBRzWUrfYgql3&#10;EdG4A/SWR6M4zqJOaqK0rKgxsFv0h8HK49c1reznujbUIr4MgJv1f+3/W/ePVrd4sdNYNaw608D/&#10;waLFTMClA1SBLUZ7zf6CalmlpZG1valkG8m6ZhX1OUA2Sfwqm6cGK+pzgeIYNZTJvB1s9emw0YgR&#10;6F0SIIFb6NEjExQlrjSdMgvwyMVGu+Sqo3hSj7L6YZCQeYPFjnqKzycFYT4iugpxhlFwwbb7KAn4&#10;4L2Vvk7HWreo5kx9c4EOHGqBjr4xp6Ex9GhRBZtZNpqnMfSvgrPZbO77FuGFQ3GxShv7gcoWucUy&#10;4JCAx8SHR2MhD3C9uDh3IdeMc996LlAHDEZTQHdHRnJG3Kk39G6bc40O2KknHhfZ3FUF0K7ctNwL&#10;4tEaikl5XlvMeL8Gfy4cHvWC7CmBdbSw9PuQphfLz3k8L2flLA3TUVaGaVwU4f06T8NsnUwnxbjI&#10;8yL55Ygm6aJhhFDhuF6Em6T/JozzCPWSG6Q7VCW6RvcJA9lrpvfrSTxNx7NwOp2Mw3RcxuHDbJ2H&#10;93mSZdPyIX8oXzEtffbmbcgOpXSs5N5S/dSQDm35Xn/BoOZsPHF6IczpYZSBepwBgz8BHcEXIMx3&#10;8GJVVgdIS/ud2cZr2WnPYZrr3vsYt4+5anCvCHdFL/rB3ddqoNNX7tJ0Zw1tOxfjpbYgkosg/Ay5&#10;sekHcCvJaaOd7tw4wTvgg85vlnto/rS918vLuvoNAAD//wMAUEsDBBQABgAIAAAAIQB67D/C2gAA&#10;AAUBAAAPAAAAZHJzL2Rvd25yZXYueG1sTI/NTsNADITvSLzDykjc2k1RoCiNUyEEPVL1B3HdZt0k&#10;IuuNsps0vD3uCU4ea6yZz/l6cq0aqQ+NZ4TFPAFFXHrbcIVwPLzPnkGFaNia1jMh/FCAdXF7k5vM&#10;+gvvaNzHSkkIh8wg1DF2mdahrMmZMPcdsXhn3zsTZe0rbXtzkXDX6ockedLONCwNtenotabyez84&#10;hLcPO0z+yzfL5efjdrc9bOx43CDe300vK1CRpvh3DFd8QYdCmE5+YBtUiyCPRITZQubVTdJU1Akh&#10;BV3k+j998QsAAP//AwBQSwECLQAUAAYACAAAACEAtoM4kv4AAADhAQAAEwAAAAAAAAAAAAAAAAAA&#10;AAAAW0NvbnRlbnRfVHlwZXNdLnhtbFBLAQItABQABgAIAAAAIQA4/SH/1gAAAJQBAAALAAAAAAAA&#10;AAAAAAAAAC8BAABfcmVscy8ucmVsc1BLAQItABQABgAIAAAAIQA6ua6gsAIAAKEFAAAOAAAAAAAA&#10;AAAAAAAAAC4CAABkcnMvZTJvRG9jLnhtbFBLAQItABQABgAIAAAAIQB67D/C2gAAAAUBAAAPAAAA&#10;AAAAAAAAAAAAAAoFAABkcnMvZG93bnJldi54bWxQSwUGAAAAAAQABADzAAAAEQYAAAAA&#10;" strokecolor="#003d69" strokeweight="1pt">
              <v:shadow color="black" opacity="22938f" offset="0,.74833mm"/>
            </v:line>
          </w:pict>
        </mc:Fallback>
      </mc:AlternateContent>
    </w:r>
  </w:p>
  <w:p w:rsidR="00C8670A" w:rsidRPr="00F9209A" w:rsidRDefault="00C8670A">
    <w:pPr>
      <w:pStyle w:val="Footer"/>
      <w:ind w:right="360"/>
      <w:rPr>
        <w:b/>
        <w:i w:val="0"/>
        <w:caps/>
        <w:color w:val="565A5C"/>
      </w:rPr>
    </w:pPr>
    <w:r w:rsidRPr="00BD347D">
      <w:rPr>
        <w:b/>
        <w:i w:val="0"/>
        <w:caps/>
        <w:color w:val="565A5C"/>
        <w:u w:val="single"/>
      </w:rPr>
      <w:t>NasDAQ Futures</w:t>
    </w:r>
    <w:r w:rsidRPr="00F9209A">
      <w:rPr>
        <w:b/>
        <w:i w:val="0"/>
        <w:caps/>
        <w:color w:val="565A5C"/>
      </w:rPr>
      <w:t xml:space="preserve"> (NFX) </w:t>
    </w:r>
    <w:r>
      <w:rPr>
        <w:b/>
        <w:i w:val="0"/>
        <w:caps/>
        <w:color w:val="565A5C"/>
      </w:rPr>
      <w:t>Off-Exchange transactions reference guide</w:t>
    </w:r>
    <w:r>
      <w:rPr>
        <w:b/>
        <w:i w:val="0"/>
        <w:caps/>
        <w:color w:val="565A5C"/>
      </w:rPr>
      <w:tab/>
    </w:r>
    <w:r w:rsidRPr="00A42AA5">
      <w:rPr>
        <w:b/>
        <w:i w:val="0"/>
        <w:caps/>
        <w:color w:val="565A5C"/>
        <w:u w:val="single"/>
      </w:rPr>
      <w:t>NOVEMBER 10,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0A" w:rsidRDefault="00C8670A">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C8670A" w:rsidRDefault="00C8670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0A" w:rsidRPr="00A057CE" w:rsidRDefault="00C8670A" w:rsidP="001170ED">
    <w:pPr>
      <w:pStyle w:val="Footer"/>
      <w:framePr w:w="205" w:wrap="around" w:vAnchor="text" w:hAnchor="page" w:x="10621" w:y="-1"/>
      <w:rPr>
        <w:rStyle w:val="PageNumber"/>
        <w:i w:val="0"/>
      </w:rPr>
    </w:pPr>
    <w:r w:rsidRPr="00A057CE">
      <w:rPr>
        <w:rStyle w:val="PageNumber"/>
        <w:rFonts w:ascii="Arial Narrow" w:hAnsi="Arial Narrow"/>
        <w:b/>
        <w:i w:val="0"/>
        <w:color w:val="565A5C"/>
      </w:rPr>
      <w:fldChar w:fldCharType="begin"/>
    </w:r>
    <w:r w:rsidRPr="00A057CE">
      <w:rPr>
        <w:rStyle w:val="PageNumber"/>
        <w:rFonts w:ascii="Arial Narrow" w:hAnsi="Arial Narrow"/>
        <w:b/>
        <w:i w:val="0"/>
        <w:color w:val="565A5C"/>
      </w:rPr>
      <w:instrText xml:space="preserve">PAGE  </w:instrText>
    </w:r>
    <w:r w:rsidRPr="00A057CE">
      <w:rPr>
        <w:rStyle w:val="PageNumber"/>
        <w:rFonts w:ascii="Arial Narrow" w:hAnsi="Arial Narrow"/>
        <w:b/>
        <w:i w:val="0"/>
        <w:color w:val="565A5C"/>
      </w:rPr>
      <w:fldChar w:fldCharType="separate"/>
    </w:r>
    <w:r>
      <w:rPr>
        <w:rStyle w:val="PageNumber"/>
        <w:rFonts w:ascii="Arial Narrow" w:hAnsi="Arial Narrow"/>
        <w:b/>
        <w:i w:val="0"/>
        <w:noProof/>
        <w:color w:val="565A5C"/>
      </w:rPr>
      <w:t>5</w:t>
    </w:r>
    <w:r w:rsidRPr="00A057CE">
      <w:rPr>
        <w:rStyle w:val="PageNumber"/>
        <w:rFonts w:ascii="Arial Narrow" w:hAnsi="Arial Narrow"/>
        <w:b/>
        <w:i w:val="0"/>
        <w:color w:val="565A5C"/>
      </w:rPr>
      <w:fldChar w:fldCharType="end"/>
    </w:r>
  </w:p>
  <w:p w:rsidR="00C8670A" w:rsidRDefault="00C8670A">
    <w:pPr>
      <w:rPr>
        <w:rStyle w:val="DocID"/>
        <w:i/>
      </w:rPr>
    </w:pPr>
    <w:r>
      <w:rPr>
        <w:rFonts w:ascii="Arial" w:hAnsi="Arial" w:cs="Arial"/>
        <w:noProof/>
        <w:color w:val="000000"/>
        <w:sz w:val="14"/>
      </w:rPr>
      <mc:AlternateContent>
        <mc:Choice Requires="wps">
          <w:drawing>
            <wp:anchor distT="4294967294" distB="4294967294" distL="114300" distR="114300" simplePos="0" relativeHeight="251663872" behindDoc="0" locked="0" layoutInCell="1" allowOverlap="1" wp14:anchorId="030D872F" wp14:editId="3907B9AA">
              <wp:simplePos x="0" y="0"/>
              <wp:positionH relativeFrom="column">
                <wp:posOffset>0</wp:posOffset>
              </wp:positionH>
              <wp:positionV relativeFrom="paragraph">
                <wp:posOffset>-130811</wp:posOffset>
              </wp:positionV>
              <wp:extent cx="5029200" cy="0"/>
              <wp:effectExtent l="0" t="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7778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AA26F" id="Line 25"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3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B8ogIAAJMFAAAOAAAAZHJzL2Uyb0RvYy54bWysVF1vmzAUfZ+0/2D5nQIJhASVTC0he+m2&#10;au20ZwebYM3YyHZCqmn/fdcmYW33Mk3lAfn64/jcc8/19YdTJ9CRacOVLHB8FWHEZK0ol/sCf3vc&#10;BkuMjCWSEqEkK/ATM/jD+v2766HP2Uy1SlCmEYBIkw99gVtr+zwMTd2yjpgr1TMJi43SHbEQ6n1I&#10;NRkAvRPhLIoW4aA07bWqmTEwuxkX8drjNw2r7ZemMcwiUWDgZv1f+//O/cP1Ncn3mvQtr880yH+w&#10;6AiXcOkEtSGWoIPmf0F1vNbKqMZe1aoLVdPwmvkcIJs4epXNQ0t65nMBcUw/yWTeDrb+fLzXiNMC&#10;JxhJ0kGJ7rhkaJY6aYbe5LCjlPfaJVef5EN/p+ofBklVtkTumaf4+NTDudidCF8ccYHp4YLd8ElR&#10;2EMOVnmdTo3uHCQogE6+HE9TOdjJohom02i2ghpjVF/WQpJfDvba2I9MdcgNCiyAtAcmxztjHRGS&#10;X7a4e6TaciF8tYVEQ4FXKaToVowSnLpFH+j9rhQaHQn4JcuyZZb5rF5t0+ogqQdrGaHVeWwJF+MY&#10;LhfS4TFvwZERRCcLQz8PKXp7/FxFq2pZLZMgmS2qIIk2m+BmWybBYhtn6Wa+KctN/MsRjZO85ZQy&#10;6bherBon/2aFc9OMJpvMOokSvkT36gHZl0xvtmmUJfNlkGXpPEjmVRTcLrdlcFPGi0VW3Za31Sum&#10;lc/evA3ZSUrHSh0s0w8tHdBOHPRXAv5dzFPnFcqdHWaLVeIDaPU0idyHERF7eKNqqzHSyn7ntvXu&#10;db5zmOZ57f2RcZ6IviWjI9wVo82n7V6ric6o3KXoLprKdhbjj7ZgkoshfNe4Rhlbbqfo072+dBN0&#10;vj90fqXc0/I8hvHzt3T9GwAA//8DAFBLAwQUAAYACAAAACEAOysauNoAAAAIAQAADwAAAGRycy9k&#10;b3ducmV2LnhtbEyPQUvDQBCF74L/YRnBi7QbA21szKZUQfBoqweP22SaDWZnQ3aaxH/vCII9znuP&#10;N98rtrPv1IhDbAMZuF8moJCqULfUGPh4f1k8gIpsqbZdIDTwjRG25fVVYfM6TLTH8cCNkhKKuTXg&#10;mPtc61g59DYuQ48k3ikM3rKcQ6PrwU5S7judJslae9uSfHC2x2eH1dfh7A3omV6np2z07LLVivb8&#10;ebd7C8bc3sy7R1CMM/+H4Rdf0KEUpmM4Ux1VZ0CGsIFFmqxBiZ1tUlGOf4ouC305oPwBAAD//wMA&#10;UEsBAi0AFAAGAAgAAAAhALaDOJL+AAAA4QEAABMAAAAAAAAAAAAAAAAAAAAAAFtDb250ZW50X1R5&#10;cGVzXS54bWxQSwECLQAUAAYACAAAACEAOP0h/9YAAACUAQAACwAAAAAAAAAAAAAAAAAvAQAAX3Jl&#10;bHMvLnJlbHNQSwECLQAUAAYACAAAACEAESMAfKICAACTBQAADgAAAAAAAAAAAAAAAAAuAgAAZHJz&#10;L2Uyb0RvYy54bWxQSwECLQAUAAYACAAAACEAOysauNoAAAAIAQAADwAAAAAAAAAAAAAAAAD8BAAA&#10;ZHJzL2Rvd25yZXYueG1sUEsFBgAAAAAEAAQA8wAAAAMGAAAAAA==&#10;" strokecolor="#777877">
              <v:shadow color="black" opacity="22938f" offset="0,.74833mm"/>
            </v:line>
          </w:pict>
        </mc:Fallback>
      </mc:AlternateContent>
    </w:r>
    <w:r>
      <w:rPr>
        <w:rFonts w:ascii="Arial" w:hAnsi="Arial" w:cs="Arial"/>
        <w:noProof/>
        <w:color w:val="000000"/>
        <w:sz w:val="14"/>
      </w:rPr>
      <mc:AlternateContent>
        <mc:Choice Requires="wps">
          <w:drawing>
            <wp:anchor distT="0" distB="0" distL="114300" distR="114300" simplePos="0" relativeHeight="251662848" behindDoc="0" locked="0" layoutInCell="1" allowOverlap="1" wp14:anchorId="786A9350" wp14:editId="2BA24BC4">
              <wp:simplePos x="0" y="0"/>
              <wp:positionH relativeFrom="column">
                <wp:posOffset>0</wp:posOffset>
              </wp:positionH>
              <wp:positionV relativeFrom="paragraph">
                <wp:posOffset>-13970</wp:posOffset>
              </wp:positionV>
              <wp:extent cx="4800600" cy="55118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70A" w:rsidRPr="00904B39" w:rsidRDefault="00C8670A"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A9350" id="_x0000_t202" coordsize="21600,21600" o:spt="202" path="m,l,21600r21600,l21600,xe">
              <v:stroke joinstyle="miter"/>
              <v:path gradientshapeok="t" o:connecttype="rect"/>
            </v:shapetype>
            <v:shape id="Text Box 24" o:spid="_x0000_s1026" type="#_x0000_t202" style="position:absolute;margin-left:0;margin-top:-1.1pt;width:378pt;height:4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5AswIAALIFAAAOAAAAZHJzL2Uyb0RvYy54bWysVNtunDAQfa/Uf7D8ToCt2QAKGyXLUlVK&#10;L1LSD/CCWayCTW3vQlr13zs2e01eqrZ+sMbj8Znb8dzcjl2LdkxpLkWGw6sAIyZKWXGxyfDXp8KL&#10;MdKGioq2UrAMPzONbxdv39wMfcpmspFtxRQCEKHToc9wY0yf+r4uG9ZRfSV7JuCylqqjBo5q41eK&#10;DoDetf4sCOb+IFXVK1kyrUGbT5d44fDrmpXmc11rZlCbYYjNuF25fW13f3FD042ifcPLfRj0L6Lo&#10;KBfg9AiVU0PRVvFXUB0vldSyNlel7HxZ17xkLgfIJgxeZPPY0J65XKA4uj+WSf8/2PLT7otCvMpw&#10;hJGgHbToiY0G3csRzYgtz9DrFKwee7AzI+ihzS5V3T/I8ptGQi4bKjbsTik5NIxWEF5oX/pnTycc&#10;bUHWw0dZgR+6NdIBjbXqbO2gGgjQoU3Px9bYWEpQkhiaHcBVCXdRFIax651P08PrXmnznskOWSHD&#10;Clrv0OnuQRsbDU0PJtaZkAVvW9f+VlwowHDSgG94au9sFK6bP5MgWcWrmHhkNl95JMhz765YEm9e&#10;hNdR/i5fLvPwl/UbkrThVcWEdXNgVkj+rHN7jk+cOHJLy5ZXFs6GpNVmvWwV2lFgduGWqzncnMz8&#10;yzBcESCXFymFMxLczxKvmMfXHilI5CXXQewFYXKfzAOSkLy4TOmBC/bvKaEhw0k0iyYynYJ+kVvg&#10;1uvcaNpxA7Oj5V2GgR2wrBFNLQVXonKyobyd5LNS2PBPpYB2HxrtCGs5OrHVjOsRUCyL17J6Buoq&#10;CcwCEsLAA6GR6gdGAwyPDOvvW6oYRu0HAfS3k+YgKCckISGgXZ8fqCgBIsMGo0lcmmkybXvFNw14&#10;mD6akHfwVWruWHyKZv/BYDC4ZPZDzE6e87OzOo3axW8AAAD//wMAUEsDBBQABgAIAAAAIQC6J1lL&#10;3AAAAAYBAAAPAAAAZHJzL2Rvd25yZXYueG1sTI/BTsMwDIbvSHuHyEhc0JausDKVplOHxGm7MHiA&#10;rDFpoXGqJus6nh7vBEf7//X5c7GZXCdGHELrScFykYBAqr1pySr4eH+dr0GEqMnozhMquGCATTm7&#10;KXRu/JnecDxEKxhCIdcKmhj7XMpQN+h0WPgeibNPPzgdeRysNIM+M9x1Mk2STDrdEl9odI8vDdbf&#10;h5O7Usafyt4vtw/p1K92X1lb2f1FqbvbqXoGEXGKf2W46rM6lOx09CcyQXQK+JGoYJ6mIDh9WmW8&#10;OCpYP2Ygy0L+1y9/AQAA//8DAFBLAQItABQABgAIAAAAIQC2gziS/gAAAOEBAAATAAAAAAAAAAAA&#10;AAAAAAAAAABbQ29udGVudF9UeXBlc10ueG1sUEsBAi0AFAAGAAgAAAAhADj9If/WAAAAlAEAAAsA&#10;AAAAAAAAAAAAAAAALwEAAF9yZWxzLy5yZWxzUEsBAi0AFAAGAAgAAAAhAJRsnkCzAgAAsgUAAA4A&#10;AAAAAAAAAAAAAAAALgIAAGRycy9lMm9Eb2MueG1sUEsBAi0AFAAGAAgAAAAhALonWUvcAAAABgEA&#10;AA8AAAAAAAAAAAAAAAAADQUAAGRycy9kb3ducmV2LnhtbFBLBQYAAAAABAAEAPMAAAAWBgAAAAA=&#10;" filled="f" stroked="f">
              <v:textbox inset="0,0,,7.2pt">
                <w:txbxContent>
                  <w:p w:rsidR="00C8670A" w:rsidRPr="00904B39" w:rsidRDefault="00C8670A"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C2" w:rsidRDefault="007130C2">
      <w:r>
        <w:separator/>
      </w:r>
    </w:p>
  </w:footnote>
  <w:footnote w:type="continuationSeparator" w:id="0">
    <w:p w:rsidR="007130C2" w:rsidRDefault="0071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0A" w:rsidRDefault="00C8670A" w:rsidP="00D25B14">
    <w:r w:rsidRPr="002E383E">
      <w:rPr>
        <w:noProof/>
      </w:rPr>
      <w:drawing>
        <wp:anchor distT="0" distB="0" distL="114300" distR="114300" simplePos="0" relativeHeight="251671040" behindDoc="0" locked="1" layoutInCell="1" allowOverlap="1" wp14:anchorId="0B1643C1" wp14:editId="7032063F">
          <wp:simplePos x="0" y="0"/>
          <wp:positionH relativeFrom="column">
            <wp:posOffset>3646170</wp:posOffset>
          </wp:positionH>
          <wp:positionV relativeFrom="page">
            <wp:posOffset>636905</wp:posOffset>
          </wp:positionV>
          <wp:extent cx="1724025" cy="481965"/>
          <wp:effectExtent l="0" t="0" r="9525" b="0"/>
          <wp:wrapNone/>
          <wp:docPr id="6" name="Picture 6"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8670A" w:rsidRDefault="00C8670A" w:rsidP="00D25B14">
    <w:pPr>
      <w:pStyle w:val="LetterheadAddress"/>
      <w:ind w:left="3930" w:firstLine="1310"/>
      <w:rPr>
        <w:sz w:val="20"/>
      </w:rPr>
    </w:pPr>
  </w:p>
  <w:p w:rsidR="00C8670A" w:rsidRDefault="00C8670A" w:rsidP="00D25B14">
    <w:pPr>
      <w:pStyle w:val="LetterheadAddress"/>
      <w:ind w:left="3930" w:firstLine="1310"/>
      <w:rPr>
        <w:sz w:val="20"/>
      </w:rPr>
    </w:pPr>
  </w:p>
  <w:p w:rsidR="00C8670A" w:rsidRDefault="00C8670A" w:rsidP="00D25B14">
    <w:pPr>
      <w:pStyle w:val="LetterheadAddress"/>
      <w:ind w:left="3930" w:firstLine="1310"/>
      <w:rPr>
        <w:sz w:val="20"/>
      </w:rPr>
    </w:pPr>
  </w:p>
  <w:p w:rsidR="00C8670A" w:rsidRDefault="00C8670A" w:rsidP="00D25B14">
    <w:pPr>
      <w:pStyle w:val="LetterheadAddress"/>
      <w:ind w:left="3930" w:firstLine="1310"/>
      <w:rPr>
        <w:sz w:val="20"/>
      </w:rPr>
    </w:pPr>
  </w:p>
  <w:p w:rsidR="00C8670A" w:rsidRPr="00CF4B16" w:rsidRDefault="00C8670A" w:rsidP="00D25B14">
    <w:pPr>
      <w:pStyle w:val="LetterheadAddress"/>
      <w:ind w:left="3930" w:firstLine="1310"/>
      <w:rPr>
        <w:sz w:val="20"/>
      </w:rPr>
    </w:pPr>
    <w:r>
      <w:rPr>
        <w:sz w:val="20"/>
      </w:rPr>
      <w:tab/>
    </w:r>
    <w:r w:rsidRPr="00CF4B16">
      <w:rPr>
        <w:sz w:val="20"/>
      </w:rPr>
      <w:t>Nasdaq Futures, Inc.</w:t>
    </w:r>
  </w:p>
  <w:p w:rsidR="00C8670A" w:rsidRDefault="00C8670A" w:rsidP="00D25B14">
    <w:pPr>
      <w:pStyle w:val="LetterheadAddress"/>
      <w:ind w:left="3930" w:firstLine="1310"/>
      <w:rPr>
        <w:sz w:val="20"/>
      </w:rPr>
    </w:pPr>
    <w:r>
      <w:rPr>
        <w:sz w:val="20"/>
      </w:rPr>
      <w:tab/>
    </w:r>
    <w:r w:rsidRPr="00CF4B16">
      <w:rPr>
        <w:sz w:val="20"/>
      </w:rPr>
      <w:t>1900 Market Street</w:t>
    </w:r>
  </w:p>
  <w:p w:rsidR="00C8670A" w:rsidRPr="00CF4B16" w:rsidRDefault="00C8670A" w:rsidP="00D25B14">
    <w:pPr>
      <w:pStyle w:val="LetterheadAddress"/>
      <w:ind w:left="3930" w:firstLine="1310"/>
      <w:rPr>
        <w:sz w:val="20"/>
      </w:rPr>
    </w:pPr>
    <w:r>
      <w:rPr>
        <w:sz w:val="20"/>
      </w:rPr>
      <w:tab/>
    </w:r>
    <w:r w:rsidRPr="00CF4B16">
      <w:rPr>
        <w:sz w:val="20"/>
      </w:rPr>
      <w:t>Philadelphia, PA 19103 / USA</w:t>
    </w:r>
  </w:p>
  <w:p w:rsidR="00C8670A" w:rsidRDefault="00C8670A" w:rsidP="00D25B14">
    <w:pPr>
      <w:spacing w:before="120"/>
      <w:ind w:left="5240"/>
    </w:pPr>
    <w:r>
      <w:rPr>
        <w:rFonts w:asciiTheme="majorHAnsi" w:hAnsiTheme="majorHAnsi"/>
        <w:sz w:val="20"/>
        <w:szCs w:val="18"/>
      </w:rPr>
      <w:tab/>
    </w:r>
    <w:r w:rsidRPr="00CF4B16">
      <w:rPr>
        <w:rFonts w:asciiTheme="majorHAnsi" w:hAnsiTheme="majorHAnsi"/>
        <w:sz w:val="20"/>
        <w:szCs w:val="18"/>
      </w:rPr>
      <w:t>business.nasdaq.com/futures</w:t>
    </w:r>
  </w:p>
  <w:p w:rsidR="00C8670A" w:rsidRDefault="00C86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0D3" w:rsidRDefault="00C8670A" w:rsidP="00D25B14">
    <w:pPr>
      <w:rPr>
        <w:rFonts w:ascii="Times New Roman" w:hAnsi="Times New Roman"/>
        <w:sz w:val="20"/>
        <w:szCs w:val="20"/>
      </w:rPr>
    </w:pPr>
    <w:r>
      <w:rPr>
        <w:rFonts w:ascii="Times New Roman" w:hAnsi="Times New Roman"/>
        <w:sz w:val="20"/>
        <w:szCs w:val="20"/>
      </w:rPr>
      <w:t>Commodity Futures Trading Commission</w:t>
    </w:r>
  </w:p>
  <w:p w:rsidR="00C8670A" w:rsidRDefault="00C8670A" w:rsidP="00D25B14">
    <w:pPr>
      <w:rPr>
        <w:rFonts w:ascii="Times New Roman" w:hAnsi="Times New Roman"/>
        <w:sz w:val="20"/>
        <w:szCs w:val="20"/>
      </w:rPr>
    </w:pPr>
    <w:r>
      <w:rPr>
        <w:rFonts w:ascii="Times New Roman" w:hAnsi="Times New Roman"/>
        <w:sz w:val="20"/>
        <w:szCs w:val="20"/>
      </w:rPr>
      <w:t>October 26, 2016</w:t>
    </w:r>
  </w:p>
  <w:p w:rsidR="00A460D3" w:rsidRDefault="00A460D3" w:rsidP="00A460D3">
    <w:pPr>
      <w:spacing w:line="240" w:lineRule="auto"/>
      <w:rPr>
        <w:rFonts w:ascii="Times New Roman" w:hAnsi="Times New Roman"/>
        <w:sz w:val="20"/>
        <w:szCs w:val="20"/>
      </w:rPr>
    </w:pPr>
    <w:r w:rsidRPr="00F83BFF">
      <w:rPr>
        <w:rFonts w:ascii="Times New Roman" w:hAnsi="Times New Roman"/>
        <w:sz w:val="20"/>
        <w:szCs w:val="20"/>
      </w:rPr>
      <w:t>SR-NFX-2016-</w:t>
    </w:r>
    <w:r>
      <w:rPr>
        <w:rFonts w:ascii="Times New Roman" w:hAnsi="Times New Roman"/>
        <w:sz w:val="20"/>
        <w:szCs w:val="20"/>
      </w:rPr>
      <w:t>97</w:t>
    </w:r>
  </w:p>
  <w:p w:rsidR="00C8670A" w:rsidRPr="004C2710" w:rsidRDefault="00C8670A" w:rsidP="00D25B14">
    <w:pPr>
      <w:rPr>
        <w:rFonts w:ascii="Times New Roman" w:hAnsi="Times New Roman"/>
        <w:sz w:val="20"/>
        <w:szCs w:val="20"/>
      </w:rPr>
    </w:pPr>
    <w:r>
      <w:rPr>
        <w:rFonts w:ascii="Times New Roman" w:hAnsi="Times New Roman"/>
        <w:sz w:val="20"/>
        <w:szCs w:val="20"/>
      </w:rPr>
      <w:t>Page 2</w:t>
    </w:r>
  </w:p>
  <w:p w:rsidR="00C8670A" w:rsidRDefault="00C8670A" w:rsidP="00B50A1E">
    <w:pPr>
      <w:pStyle w:val="LetterheadAddress"/>
      <w:ind w:left="3930" w:firstLine="13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0A" w:rsidRDefault="00C8670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0A" w:rsidRPr="00340956" w:rsidRDefault="00C8670A" w:rsidP="002C314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0A" w:rsidRDefault="00C867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54C2F6"/>
    <w:lvl w:ilvl="0">
      <w:start w:val="1"/>
      <w:numFmt w:val="decimal"/>
      <w:pStyle w:val="ListNumber"/>
      <w:lvlText w:val="%1."/>
      <w:lvlJc w:val="left"/>
      <w:pPr>
        <w:tabs>
          <w:tab w:val="num" w:pos="360"/>
        </w:tabs>
        <w:ind w:left="360" w:hanging="360"/>
      </w:pPr>
    </w:lvl>
  </w:abstractNum>
  <w:abstractNum w:abstractNumId="1" w15:restartNumberingAfterBreak="0">
    <w:nsid w:val="012E6CD9"/>
    <w:multiLevelType w:val="hybridMultilevel"/>
    <w:tmpl w:val="56A673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B3221"/>
    <w:multiLevelType w:val="multilevel"/>
    <w:tmpl w:val="FAC271E4"/>
    <w:lvl w:ilvl="0">
      <w:start w:val="3"/>
      <w:numFmt w:val="decimal"/>
      <w:pStyle w:val="Heading1"/>
      <w:suff w:val="nothing"/>
      <w:lvlText w:val="%1"/>
      <w:lvlJc w:val="left"/>
      <w:pPr>
        <w:ind w:left="432" w:hanging="432"/>
      </w:pPr>
      <w:rPr>
        <w:rFonts w:hint="default"/>
        <w:color w:val="auto"/>
        <w:sz w:val="36"/>
      </w:rPr>
    </w:lvl>
    <w:lvl w:ilvl="1">
      <w:start w:val="1"/>
      <w:numFmt w:val="decimal"/>
      <w:pStyle w:val="Heading2"/>
      <w:lvlText w:val="%1.%2"/>
      <w:lvlJc w:val="left"/>
      <w:pPr>
        <w:ind w:left="576" w:hanging="576"/>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DD7BCC"/>
    <w:multiLevelType w:val="hybridMultilevel"/>
    <w:tmpl w:val="03206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45461"/>
    <w:multiLevelType w:val="hybridMultilevel"/>
    <w:tmpl w:val="CA303676"/>
    <w:lvl w:ilvl="0" w:tplc="DE9827A6">
      <w:start w:val="1"/>
      <w:numFmt w:val="bullet"/>
      <w:lvlText w:val="•"/>
      <w:lvlJc w:val="left"/>
      <w:pPr>
        <w:tabs>
          <w:tab w:val="num" w:pos="360"/>
        </w:tabs>
        <w:ind w:left="360" w:hanging="360"/>
      </w:pPr>
      <w:rPr>
        <w:rFonts w:ascii="Arial" w:hAnsi="Arial" w:hint="default"/>
      </w:rPr>
    </w:lvl>
    <w:lvl w:ilvl="1" w:tplc="7DDA9E46" w:tentative="1">
      <w:start w:val="1"/>
      <w:numFmt w:val="bullet"/>
      <w:lvlText w:val="•"/>
      <w:lvlJc w:val="left"/>
      <w:pPr>
        <w:tabs>
          <w:tab w:val="num" w:pos="1080"/>
        </w:tabs>
        <w:ind w:left="1080" w:hanging="360"/>
      </w:pPr>
      <w:rPr>
        <w:rFonts w:ascii="Arial" w:hAnsi="Arial" w:hint="default"/>
      </w:rPr>
    </w:lvl>
    <w:lvl w:ilvl="2" w:tplc="6240BDE8" w:tentative="1">
      <w:start w:val="1"/>
      <w:numFmt w:val="bullet"/>
      <w:lvlText w:val="•"/>
      <w:lvlJc w:val="left"/>
      <w:pPr>
        <w:tabs>
          <w:tab w:val="num" w:pos="1800"/>
        </w:tabs>
        <w:ind w:left="1800" w:hanging="360"/>
      </w:pPr>
      <w:rPr>
        <w:rFonts w:ascii="Arial" w:hAnsi="Arial" w:hint="default"/>
      </w:rPr>
    </w:lvl>
    <w:lvl w:ilvl="3" w:tplc="F7DE852A" w:tentative="1">
      <w:start w:val="1"/>
      <w:numFmt w:val="bullet"/>
      <w:lvlText w:val="•"/>
      <w:lvlJc w:val="left"/>
      <w:pPr>
        <w:tabs>
          <w:tab w:val="num" w:pos="2520"/>
        </w:tabs>
        <w:ind w:left="2520" w:hanging="360"/>
      </w:pPr>
      <w:rPr>
        <w:rFonts w:ascii="Arial" w:hAnsi="Arial" w:hint="default"/>
      </w:rPr>
    </w:lvl>
    <w:lvl w:ilvl="4" w:tplc="053ABFEE" w:tentative="1">
      <w:start w:val="1"/>
      <w:numFmt w:val="bullet"/>
      <w:lvlText w:val="•"/>
      <w:lvlJc w:val="left"/>
      <w:pPr>
        <w:tabs>
          <w:tab w:val="num" w:pos="3240"/>
        </w:tabs>
        <w:ind w:left="3240" w:hanging="360"/>
      </w:pPr>
      <w:rPr>
        <w:rFonts w:ascii="Arial" w:hAnsi="Arial" w:hint="default"/>
      </w:rPr>
    </w:lvl>
    <w:lvl w:ilvl="5" w:tplc="8EF4B350" w:tentative="1">
      <w:start w:val="1"/>
      <w:numFmt w:val="bullet"/>
      <w:lvlText w:val="•"/>
      <w:lvlJc w:val="left"/>
      <w:pPr>
        <w:tabs>
          <w:tab w:val="num" w:pos="3960"/>
        </w:tabs>
        <w:ind w:left="3960" w:hanging="360"/>
      </w:pPr>
      <w:rPr>
        <w:rFonts w:ascii="Arial" w:hAnsi="Arial" w:hint="default"/>
      </w:rPr>
    </w:lvl>
    <w:lvl w:ilvl="6" w:tplc="926A8BF8" w:tentative="1">
      <w:start w:val="1"/>
      <w:numFmt w:val="bullet"/>
      <w:lvlText w:val="•"/>
      <w:lvlJc w:val="left"/>
      <w:pPr>
        <w:tabs>
          <w:tab w:val="num" w:pos="4680"/>
        </w:tabs>
        <w:ind w:left="4680" w:hanging="360"/>
      </w:pPr>
      <w:rPr>
        <w:rFonts w:ascii="Arial" w:hAnsi="Arial" w:hint="default"/>
      </w:rPr>
    </w:lvl>
    <w:lvl w:ilvl="7" w:tplc="5428DBD4" w:tentative="1">
      <w:start w:val="1"/>
      <w:numFmt w:val="bullet"/>
      <w:lvlText w:val="•"/>
      <w:lvlJc w:val="left"/>
      <w:pPr>
        <w:tabs>
          <w:tab w:val="num" w:pos="5400"/>
        </w:tabs>
        <w:ind w:left="5400" w:hanging="360"/>
      </w:pPr>
      <w:rPr>
        <w:rFonts w:ascii="Arial" w:hAnsi="Arial" w:hint="default"/>
      </w:rPr>
    </w:lvl>
    <w:lvl w:ilvl="8" w:tplc="15C0DF0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8156E1"/>
    <w:multiLevelType w:val="hybridMultilevel"/>
    <w:tmpl w:val="5F74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D19D1"/>
    <w:multiLevelType w:val="hybridMultilevel"/>
    <w:tmpl w:val="34C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D7E24"/>
    <w:multiLevelType w:val="hybridMultilevel"/>
    <w:tmpl w:val="9BC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20C65"/>
    <w:multiLevelType w:val="hybridMultilevel"/>
    <w:tmpl w:val="3BB2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B08"/>
    <w:multiLevelType w:val="hybridMultilevel"/>
    <w:tmpl w:val="821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A120F"/>
    <w:multiLevelType w:val="hybridMultilevel"/>
    <w:tmpl w:val="0B60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E6C8C"/>
    <w:multiLevelType w:val="hybridMultilevel"/>
    <w:tmpl w:val="2ACE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14" w15:restartNumberingAfterBreak="0">
    <w:nsid w:val="23FD4CE7"/>
    <w:multiLevelType w:val="hybridMultilevel"/>
    <w:tmpl w:val="F8C6592A"/>
    <w:lvl w:ilvl="0" w:tplc="FFFFFFFF">
      <w:start w:val="1"/>
      <w:numFmt w:val="bullet"/>
      <w:pStyle w:val="TableBulletlis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12F3C"/>
    <w:multiLevelType w:val="hybridMultilevel"/>
    <w:tmpl w:val="6406CE0A"/>
    <w:lvl w:ilvl="0" w:tplc="BA3E769A">
      <w:start w:val="1"/>
      <w:numFmt w:val="decimal"/>
      <w:pStyle w:val="TableNumberlist"/>
      <w:lvlText w:val="%1."/>
      <w:lvlJc w:val="left"/>
      <w:pPr>
        <w:tabs>
          <w:tab w:val="num" w:pos="227"/>
        </w:tabs>
        <w:ind w:left="227" w:hanging="227"/>
      </w:pPr>
      <w:rPr>
        <w:rFonts w:hint="default"/>
      </w:rPr>
    </w:lvl>
    <w:lvl w:ilvl="1" w:tplc="6AC80146" w:tentative="1">
      <w:start w:val="1"/>
      <w:numFmt w:val="lowerLetter"/>
      <w:lvlText w:val="%2."/>
      <w:lvlJc w:val="left"/>
      <w:pPr>
        <w:tabs>
          <w:tab w:val="num" w:pos="1440"/>
        </w:tabs>
        <w:ind w:left="1440" w:hanging="360"/>
      </w:pPr>
    </w:lvl>
    <w:lvl w:ilvl="2" w:tplc="34F0591A" w:tentative="1">
      <w:start w:val="1"/>
      <w:numFmt w:val="lowerRoman"/>
      <w:lvlText w:val="%3."/>
      <w:lvlJc w:val="right"/>
      <w:pPr>
        <w:tabs>
          <w:tab w:val="num" w:pos="2160"/>
        </w:tabs>
        <w:ind w:left="2160" w:hanging="180"/>
      </w:pPr>
    </w:lvl>
    <w:lvl w:ilvl="3" w:tplc="A8DED2AC" w:tentative="1">
      <w:start w:val="1"/>
      <w:numFmt w:val="decimal"/>
      <w:lvlText w:val="%4."/>
      <w:lvlJc w:val="left"/>
      <w:pPr>
        <w:tabs>
          <w:tab w:val="num" w:pos="2880"/>
        </w:tabs>
        <w:ind w:left="2880" w:hanging="360"/>
      </w:pPr>
    </w:lvl>
    <w:lvl w:ilvl="4" w:tplc="974EF56A" w:tentative="1">
      <w:start w:val="1"/>
      <w:numFmt w:val="lowerLetter"/>
      <w:lvlText w:val="%5."/>
      <w:lvlJc w:val="left"/>
      <w:pPr>
        <w:tabs>
          <w:tab w:val="num" w:pos="3600"/>
        </w:tabs>
        <w:ind w:left="3600" w:hanging="360"/>
      </w:pPr>
    </w:lvl>
    <w:lvl w:ilvl="5" w:tplc="6CD8F298" w:tentative="1">
      <w:start w:val="1"/>
      <w:numFmt w:val="lowerRoman"/>
      <w:lvlText w:val="%6."/>
      <w:lvlJc w:val="right"/>
      <w:pPr>
        <w:tabs>
          <w:tab w:val="num" w:pos="4320"/>
        </w:tabs>
        <w:ind w:left="4320" w:hanging="180"/>
      </w:pPr>
    </w:lvl>
    <w:lvl w:ilvl="6" w:tplc="57F6F126" w:tentative="1">
      <w:start w:val="1"/>
      <w:numFmt w:val="decimal"/>
      <w:lvlText w:val="%7."/>
      <w:lvlJc w:val="left"/>
      <w:pPr>
        <w:tabs>
          <w:tab w:val="num" w:pos="5040"/>
        </w:tabs>
        <w:ind w:left="5040" w:hanging="360"/>
      </w:pPr>
    </w:lvl>
    <w:lvl w:ilvl="7" w:tplc="01E85CD2" w:tentative="1">
      <w:start w:val="1"/>
      <w:numFmt w:val="lowerLetter"/>
      <w:lvlText w:val="%8."/>
      <w:lvlJc w:val="left"/>
      <w:pPr>
        <w:tabs>
          <w:tab w:val="num" w:pos="5760"/>
        </w:tabs>
        <w:ind w:left="5760" w:hanging="360"/>
      </w:pPr>
    </w:lvl>
    <w:lvl w:ilvl="8" w:tplc="822693E6" w:tentative="1">
      <w:start w:val="1"/>
      <w:numFmt w:val="lowerRoman"/>
      <w:lvlText w:val="%9."/>
      <w:lvlJc w:val="right"/>
      <w:pPr>
        <w:tabs>
          <w:tab w:val="num" w:pos="6480"/>
        </w:tabs>
        <w:ind w:left="6480" w:hanging="180"/>
      </w:pPr>
    </w:lvl>
  </w:abstractNum>
  <w:abstractNum w:abstractNumId="16"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7" w15:restartNumberingAfterBreak="0">
    <w:nsid w:val="38443D2B"/>
    <w:multiLevelType w:val="hybridMultilevel"/>
    <w:tmpl w:val="76CE52FE"/>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C3ED1"/>
    <w:multiLevelType w:val="hybridMultilevel"/>
    <w:tmpl w:val="6EFE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52ED5"/>
    <w:multiLevelType w:val="hybridMultilevel"/>
    <w:tmpl w:val="A2844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47461"/>
    <w:multiLevelType w:val="hybridMultilevel"/>
    <w:tmpl w:val="29FA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31A00"/>
    <w:multiLevelType w:val="hybridMultilevel"/>
    <w:tmpl w:val="3FDA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E24C7"/>
    <w:multiLevelType w:val="hybridMultilevel"/>
    <w:tmpl w:val="47ECB5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243389"/>
    <w:multiLevelType w:val="hybridMultilevel"/>
    <w:tmpl w:val="BA1A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53D91"/>
    <w:multiLevelType w:val="hybridMultilevel"/>
    <w:tmpl w:val="AE7A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36D94"/>
    <w:multiLevelType w:val="hybridMultilevel"/>
    <w:tmpl w:val="46D01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F076E"/>
    <w:multiLevelType w:val="hybridMultilevel"/>
    <w:tmpl w:val="63B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3347C"/>
    <w:multiLevelType w:val="hybridMultilevel"/>
    <w:tmpl w:val="6C74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B6025"/>
    <w:multiLevelType w:val="hybridMultilevel"/>
    <w:tmpl w:val="29A6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A3FA6"/>
    <w:multiLevelType w:val="multilevel"/>
    <w:tmpl w:val="C8367398"/>
    <w:lvl w:ilvl="0">
      <w:start w:val="1"/>
      <w:numFmt w:val="decimal"/>
      <w:lvlText w:val="%1"/>
      <w:lvlJc w:val="left"/>
      <w:pPr>
        <w:ind w:left="383" w:hanging="284"/>
      </w:pPr>
      <w:rPr>
        <w:rFonts w:ascii="Arial" w:eastAsia="Arial" w:hAnsi="Arial" w:hint="default"/>
        <w:b/>
        <w:bCs/>
        <w:sz w:val="24"/>
        <w:szCs w:val="24"/>
      </w:rPr>
    </w:lvl>
    <w:lvl w:ilvl="1">
      <w:start w:val="1"/>
      <w:numFmt w:val="decimal"/>
      <w:lvlText w:val="%1.%2"/>
      <w:lvlJc w:val="left"/>
      <w:pPr>
        <w:ind w:left="952" w:hanging="569"/>
      </w:pPr>
      <w:rPr>
        <w:rFonts w:ascii="Arial" w:eastAsia="Arial" w:hAnsi="Arial" w:hint="default"/>
        <w:b/>
        <w:bCs/>
        <w:sz w:val="22"/>
        <w:szCs w:val="22"/>
      </w:rPr>
    </w:lvl>
    <w:lvl w:ilvl="2">
      <w:start w:val="1"/>
      <w:numFmt w:val="bullet"/>
      <w:lvlText w:val=""/>
      <w:lvlJc w:val="left"/>
      <w:pPr>
        <w:ind w:left="1377" w:hanging="358"/>
      </w:pPr>
      <w:rPr>
        <w:rFonts w:ascii="Wingdings" w:eastAsia="Wingdings" w:hAnsi="Wingdings" w:hint="default"/>
        <w:w w:val="99"/>
        <w:sz w:val="20"/>
        <w:szCs w:val="20"/>
      </w:rPr>
    </w:lvl>
    <w:lvl w:ilvl="3">
      <w:start w:val="1"/>
      <w:numFmt w:val="bullet"/>
      <w:lvlText w:val="•"/>
      <w:lvlJc w:val="left"/>
      <w:pPr>
        <w:ind w:left="1097" w:hanging="358"/>
      </w:pPr>
      <w:rPr>
        <w:rFonts w:hint="default"/>
      </w:rPr>
    </w:lvl>
    <w:lvl w:ilvl="4">
      <w:start w:val="1"/>
      <w:numFmt w:val="bullet"/>
      <w:lvlText w:val="•"/>
      <w:lvlJc w:val="left"/>
      <w:pPr>
        <w:ind w:left="1377" w:hanging="358"/>
      </w:pPr>
      <w:rPr>
        <w:rFonts w:hint="default"/>
      </w:rPr>
    </w:lvl>
    <w:lvl w:ilvl="5">
      <w:start w:val="1"/>
      <w:numFmt w:val="bullet"/>
      <w:lvlText w:val="•"/>
      <w:lvlJc w:val="left"/>
      <w:pPr>
        <w:ind w:left="2694" w:hanging="358"/>
      </w:pPr>
      <w:rPr>
        <w:rFonts w:hint="default"/>
      </w:rPr>
    </w:lvl>
    <w:lvl w:ilvl="6">
      <w:start w:val="1"/>
      <w:numFmt w:val="bullet"/>
      <w:lvlText w:val="•"/>
      <w:lvlJc w:val="left"/>
      <w:pPr>
        <w:ind w:left="4011" w:hanging="358"/>
      </w:pPr>
      <w:rPr>
        <w:rFonts w:hint="default"/>
      </w:rPr>
    </w:lvl>
    <w:lvl w:ilvl="7">
      <w:start w:val="1"/>
      <w:numFmt w:val="bullet"/>
      <w:lvlText w:val="•"/>
      <w:lvlJc w:val="left"/>
      <w:pPr>
        <w:ind w:left="5328" w:hanging="358"/>
      </w:pPr>
      <w:rPr>
        <w:rFonts w:hint="default"/>
      </w:rPr>
    </w:lvl>
    <w:lvl w:ilvl="8">
      <w:start w:val="1"/>
      <w:numFmt w:val="bullet"/>
      <w:lvlText w:val="•"/>
      <w:lvlJc w:val="left"/>
      <w:pPr>
        <w:ind w:left="6645" w:hanging="358"/>
      </w:pPr>
      <w:rPr>
        <w:rFonts w:hint="default"/>
      </w:rPr>
    </w:lvl>
  </w:abstractNum>
  <w:abstractNum w:abstractNumId="30" w15:restartNumberingAfterBreak="0">
    <w:nsid w:val="6A366E38"/>
    <w:multiLevelType w:val="hybridMultilevel"/>
    <w:tmpl w:val="3A74F5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C2684"/>
    <w:multiLevelType w:val="hybridMultilevel"/>
    <w:tmpl w:val="ABDA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A533F"/>
    <w:multiLevelType w:val="hybridMultilevel"/>
    <w:tmpl w:val="CF884FE2"/>
    <w:lvl w:ilvl="0" w:tplc="273CA2D4">
      <w:start w:val="1"/>
      <w:numFmt w:val="bullet"/>
      <w:lvlText w:val="•"/>
      <w:lvlJc w:val="left"/>
      <w:pPr>
        <w:tabs>
          <w:tab w:val="num" w:pos="360"/>
        </w:tabs>
        <w:ind w:left="360" w:hanging="360"/>
      </w:pPr>
      <w:rPr>
        <w:rFonts w:ascii="Arial" w:hAnsi="Arial" w:hint="default"/>
      </w:rPr>
    </w:lvl>
    <w:lvl w:ilvl="1" w:tplc="1A2ED23A" w:tentative="1">
      <w:start w:val="1"/>
      <w:numFmt w:val="bullet"/>
      <w:lvlText w:val="•"/>
      <w:lvlJc w:val="left"/>
      <w:pPr>
        <w:tabs>
          <w:tab w:val="num" w:pos="1080"/>
        </w:tabs>
        <w:ind w:left="1080" w:hanging="360"/>
      </w:pPr>
      <w:rPr>
        <w:rFonts w:ascii="Arial" w:hAnsi="Arial" w:hint="default"/>
      </w:rPr>
    </w:lvl>
    <w:lvl w:ilvl="2" w:tplc="B7A00ABA" w:tentative="1">
      <w:start w:val="1"/>
      <w:numFmt w:val="bullet"/>
      <w:lvlText w:val="•"/>
      <w:lvlJc w:val="left"/>
      <w:pPr>
        <w:tabs>
          <w:tab w:val="num" w:pos="1800"/>
        </w:tabs>
        <w:ind w:left="1800" w:hanging="360"/>
      </w:pPr>
      <w:rPr>
        <w:rFonts w:ascii="Arial" w:hAnsi="Arial" w:hint="default"/>
      </w:rPr>
    </w:lvl>
    <w:lvl w:ilvl="3" w:tplc="D160ECFC" w:tentative="1">
      <w:start w:val="1"/>
      <w:numFmt w:val="bullet"/>
      <w:lvlText w:val="•"/>
      <w:lvlJc w:val="left"/>
      <w:pPr>
        <w:tabs>
          <w:tab w:val="num" w:pos="2520"/>
        </w:tabs>
        <w:ind w:left="2520" w:hanging="360"/>
      </w:pPr>
      <w:rPr>
        <w:rFonts w:ascii="Arial" w:hAnsi="Arial" w:hint="default"/>
      </w:rPr>
    </w:lvl>
    <w:lvl w:ilvl="4" w:tplc="3D8221EE" w:tentative="1">
      <w:start w:val="1"/>
      <w:numFmt w:val="bullet"/>
      <w:lvlText w:val="•"/>
      <w:lvlJc w:val="left"/>
      <w:pPr>
        <w:tabs>
          <w:tab w:val="num" w:pos="3240"/>
        </w:tabs>
        <w:ind w:left="3240" w:hanging="360"/>
      </w:pPr>
      <w:rPr>
        <w:rFonts w:ascii="Arial" w:hAnsi="Arial" w:hint="default"/>
      </w:rPr>
    </w:lvl>
    <w:lvl w:ilvl="5" w:tplc="12CA4BF0" w:tentative="1">
      <w:start w:val="1"/>
      <w:numFmt w:val="bullet"/>
      <w:lvlText w:val="•"/>
      <w:lvlJc w:val="left"/>
      <w:pPr>
        <w:tabs>
          <w:tab w:val="num" w:pos="3960"/>
        </w:tabs>
        <w:ind w:left="3960" w:hanging="360"/>
      </w:pPr>
      <w:rPr>
        <w:rFonts w:ascii="Arial" w:hAnsi="Arial" w:hint="default"/>
      </w:rPr>
    </w:lvl>
    <w:lvl w:ilvl="6" w:tplc="A1BE9658" w:tentative="1">
      <w:start w:val="1"/>
      <w:numFmt w:val="bullet"/>
      <w:lvlText w:val="•"/>
      <w:lvlJc w:val="left"/>
      <w:pPr>
        <w:tabs>
          <w:tab w:val="num" w:pos="4680"/>
        </w:tabs>
        <w:ind w:left="4680" w:hanging="360"/>
      </w:pPr>
      <w:rPr>
        <w:rFonts w:ascii="Arial" w:hAnsi="Arial" w:hint="default"/>
      </w:rPr>
    </w:lvl>
    <w:lvl w:ilvl="7" w:tplc="1136B192" w:tentative="1">
      <w:start w:val="1"/>
      <w:numFmt w:val="bullet"/>
      <w:lvlText w:val="•"/>
      <w:lvlJc w:val="left"/>
      <w:pPr>
        <w:tabs>
          <w:tab w:val="num" w:pos="5400"/>
        </w:tabs>
        <w:ind w:left="5400" w:hanging="360"/>
      </w:pPr>
      <w:rPr>
        <w:rFonts w:ascii="Arial" w:hAnsi="Arial" w:hint="default"/>
      </w:rPr>
    </w:lvl>
    <w:lvl w:ilvl="8" w:tplc="AD3EB9EA"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09834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18E32A7"/>
    <w:multiLevelType w:val="singleLevel"/>
    <w:tmpl w:val="054A6582"/>
    <w:lvl w:ilvl="0">
      <w:start w:val="1"/>
      <w:numFmt w:val="bullet"/>
      <w:pStyle w:val="ListBullet"/>
      <w:lvlText w:val=""/>
      <w:lvlJc w:val="left"/>
      <w:pPr>
        <w:tabs>
          <w:tab w:val="num" w:pos="113"/>
        </w:tabs>
        <w:ind w:left="113" w:hanging="113"/>
      </w:pPr>
      <w:rPr>
        <w:rFonts w:ascii="Symbol" w:hAnsi="Symbol" w:hint="default"/>
      </w:rPr>
    </w:lvl>
  </w:abstractNum>
  <w:abstractNum w:abstractNumId="35" w15:restartNumberingAfterBreak="0">
    <w:nsid w:val="7505087F"/>
    <w:multiLevelType w:val="hybridMultilevel"/>
    <w:tmpl w:val="A71C790C"/>
    <w:lvl w:ilvl="0" w:tplc="578622CE">
      <w:start w:val="1"/>
      <w:numFmt w:val="decimal"/>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6" w15:restartNumberingAfterBreak="0">
    <w:nsid w:val="7BC57AAF"/>
    <w:multiLevelType w:val="hybridMultilevel"/>
    <w:tmpl w:val="B25C1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530E4"/>
    <w:multiLevelType w:val="hybridMultilevel"/>
    <w:tmpl w:val="F206772C"/>
    <w:lvl w:ilvl="0" w:tplc="70F26388">
      <w:start w:val="1"/>
      <w:numFmt w:val="low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4"/>
  </w:num>
  <w:num w:numId="5">
    <w:abstractNumId w:val="15"/>
  </w:num>
  <w:num w:numId="6">
    <w:abstractNumId w:val="0"/>
  </w:num>
  <w:num w:numId="7">
    <w:abstractNumId w:val="34"/>
  </w:num>
  <w:num w:numId="8">
    <w:abstractNumId w:val="11"/>
  </w:num>
  <w:num w:numId="9">
    <w:abstractNumId w:val="29"/>
  </w:num>
  <w:num w:numId="10">
    <w:abstractNumId w:val="2"/>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9"/>
  </w:num>
  <w:num w:numId="15">
    <w:abstractNumId w:val="3"/>
  </w:num>
  <w:num w:numId="16">
    <w:abstractNumId w:val="23"/>
  </w:num>
  <w:num w:numId="17">
    <w:abstractNumId w:val="26"/>
  </w:num>
  <w:num w:numId="18">
    <w:abstractNumId w:val="25"/>
  </w:num>
  <w:num w:numId="19">
    <w:abstractNumId w:val="30"/>
  </w:num>
  <w:num w:numId="20">
    <w:abstractNumId w:val="1"/>
  </w:num>
  <w:num w:numId="21">
    <w:abstractNumId w:val="7"/>
  </w:num>
  <w:num w:numId="22">
    <w:abstractNumId w:val="22"/>
  </w:num>
  <w:num w:numId="23">
    <w:abstractNumId w:val="9"/>
  </w:num>
  <w:num w:numId="24">
    <w:abstractNumId w:val="5"/>
  </w:num>
  <w:num w:numId="25">
    <w:abstractNumId w:val="6"/>
  </w:num>
  <w:num w:numId="26">
    <w:abstractNumId w:val="20"/>
  </w:num>
  <w:num w:numId="27">
    <w:abstractNumId w:val="28"/>
  </w:num>
  <w:num w:numId="28">
    <w:abstractNumId w:val="21"/>
  </w:num>
  <w:num w:numId="29">
    <w:abstractNumId w:val="18"/>
  </w:num>
  <w:num w:numId="30">
    <w:abstractNumId w:val="33"/>
  </w:num>
  <w:num w:numId="31">
    <w:abstractNumId w:val="8"/>
  </w:num>
  <w:num w:numId="32">
    <w:abstractNumId w:val="10"/>
  </w:num>
  <w:num w:numId="33">
    <w:abstractNumId w:val="12"/>
  </w:num>
  <w:num w:numId="34">
    <w:abstractNumId w:val="4"/>
  </w:num>
  <w:num w:numId="35">
    <w:abstractNumId w:val="32"/>
  </w:num>
  <w:num w:numId="36">
    <w:abstractNumId w:val="31"/>
  </w:num>
  <w:num w:numId="37">
    <w:abstractNumId w:val="37"/>
  </w:num>
  <w:num w:numId="38">
    <w:abstractNumId w:val="24"/>
  </w:num>
  <w:num w:numId="39">
    <w:abstractNumId w:val="36"/>
  </w:num>
  <w:num w:numId="40">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90"/>
  <w:drawingGridVerticalSpacing w:val="14"/>
  <w:displayHorizontalDrawingGridEvery w:val="2"/>
  <w:displayVerticalDrawingGridEvery w:val="2"/>
  <w:characterSpacingControl w:val="doNotCompress"/>
  <w:hdrShapeDefaults>
    <o:shapedefaults v:ext="edit" spidmax="6145">
      <o:colormru v:ext="edit" colors="#7778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6C"/>
    <w:rsid w:val="00000F99"/>
    <w:rsid w:val="000013AE"/>
    <w:rsid w:val="0000542C"/>
    <w:rsid w:val="00005F6F"/>
    <w:rsid w:val="00007030"/>
    <w:rsid w:val="00010B8F"/>
    <w:rsid w:val="00012A44"/>
    <w:rsid w:val="0001343E"/>
    <w:rsid w:val="000172A4"/>
    <w:rsid w:val="00017D8D"/>
    <w:rsid w:val="00020A3A"/>
    <w:rsid w:val="00021733"/>
    <w:rsid w:val="000234E7"/>
    <w:rsid w:val="00023A52"/>
    <w:rsid w:val="00023FD5"/>
    <w:rsid w:val="00026CDD"/>
    <w:rsid w:val="00030278"/>
    <w:rsid w:val="000304C2"/>
    <w:rsid w:val="00033107"/>
    <w:rsid w:val="00034D81"/>
    <w:rsid w:val="00035033"/>
    <w:rsid w:val="00036044"/>
    <w:rsid w:val="00036530"/>
    <w:rsid w:val="00037585"/>
    <w:rsid w:val="00041337"/>
    <w:rsid w:val="000443F0"/>
    <w:rsid w:val="00044617"/>
    <w:rsid w:val="0004479E"/>
    <w:rsid w:val="00047028"/>
    <w:rsid w:val="00053C76"/>
    <w:rsid w:val="00053F02"/>
    <w:rsid w:val="0005599E"/>
    <w:rsid w:val="000578A6"/>
    <w:rsid w:val="00057900"/>
    <w:rsid w:val="00062683"/>
    <w:rsid w:val="00062BCE"/>
    <w:rsid w:val="00062E66"/>
    <w:rsid w:val="000635AF"/>
    <w:rsid w:val="000663A9"/>
    <w:rsid w:val="00067C9C"/>
    <w:rsid w:val="0007059C"/>
    <w:rsid w:val="00070FFD"/>
    <w:rsid w:val="000717B1"/>
    <w:rsid w:val="00071F4A"/>
    <w:rsid w:val="00073343"/>
    <w:rsid w:val="000735C2"/>
    <w:rsid w:val="000743EF"/>
    <w:rsid w:val="00074EF5"/>
    <w:rsid w:val="00075ADA"/>
    <w:rsid w:val="000764F1"/>
    <w:rsid w:val="000778E8"/>
    <w:rsid w:val="00083B3C"/>
    <w:rsid w:val="0008446F"/>
    <w:rsid w:val="000848F3"/>
    <w:rsid w:val="00084AF8"/>
    <w:rsid w:val="0008580A"/>
    <w:rsid w:val="000870DC"/>
    <w:rsid w:val="00087C1A"/>
    <w:rsid w:val="00090963"/>
    <w:rsid w:val="00090ED1"/>
    <w:rsid w:val="00091A59"/>
    <w:rsid w:val="000935AE"/>
    <w:rsid w:val="00097459"/>
    <w:rsid w:val="000A051A"/>
    <w:rsid w:val="000A1205"/>
    <w:rsid w:val="000A323D"/>
    <w:rsid w:val="000A32BE"/>
    <w:rsid w:val="000A37F3"/>
    <w:rsid w:val="000A521A"/>
    <w:rsid w:val="000A5B9B"/>
    <w:rsid w:val="000A5D4F"/>
    <w:rsid w:val="000A62D2"/>
    <w:rsid w:val="000A6549"/>
    <w:rsid w:val="000A6A86"/>
    <w:rsid w:val="000A777C"/>
    <w:rsid w:val="000B0700"/>
    <w:rsid w:val="000B1D3B"/>
    <w:rsid w:val="000B6D6F"/>
    <w:rsid w:val="000B7082"/>
    <w:rsid w:val="000B7383"/>
    <w:rsid w:val="000C2296"/>
    <w:rsid w:val="000C2A21"/>
    <w:rsid w:val="000C2A99"/>
    <w:rsid w:val="000C3E94"/>
    <w:rsid w:val="000C44B5"/>
    <w:rsid w:val="000C5DA3"/>
    <w:rsid w:val="000C7481"/>
    <w:rsid w:val="000D1089"/>
    <w:rsid w:val="000D1352"/>
    <w:rsid w:val="000D14DF"/>
    <w:rsid w:val="000D20BA"/>
    <w:rsid w:val="000D26BB"/>
    <w:rsid w:val="000D41ED"/>
    <w:rsid w:val="000D69AA"/>
    <w:rsid w:val="000D6BFB"/>
    <w:rsid w:val="000D6DE9"/>
    <w:rsid w:val="000E1736"/>
    <w:rsid w:val="000E2D50"/>
    <w:rsid w:val="000E6355"/>
    <w:rsid w:val="000E73BA"/>
    <w:rsid w:val="000F0F91"/>
    <w:rsid w:val="000F1456"/>
    <w:rsid w:val="000F1D23"/>
    <w:rsid w:val="000F207C"/>
    <w:rsid w:val="000F21BC"/>
    <w:rsid w:val="000F4C69"/>
    <w:rsid w:val="000F5391"/>
    <w:rsid w:val="000F584A"/>
    <w:rsid w:val="000F5859"/>
    <w:rsid w:val="00101DF9"/>
    <w:rsid w:val="00102C8D"/>
    <w:rsid w:val="00103034"/>
    <w:rsid w:val="001042CC"/>
    <w:rsid w:val="00104473"/>
    <w:rsid w:val="00104476"/>
    <w:rsid w:val="00105494"/>
    <w:rsid w:val="00105B02"/>
    <w:rsid w:val="00106D70"/>
    <w:rsid w:val="00110CEF"/>
    <w:rsid w:val="00111528"/>
    <w:rsid w:val="00111FA6"/>
    <w:rsid w:val="0011258C"/>
    <w:rsid w:val="0011397C"/>
    <w:rsid w:val="001139F1"/>
    <w:rsid w:val="00114372"/>
    <w:rsid w:val="00115390"/>
    <w:rsid w:val="0011593F"/>
    <w:rsid w:val="001170ED"/>
    <w:rsid w:val="00117B5E"/>
    <w:rsid w:val="00120C4C"/>
    <w:rsid w:val="00121CEE"/>
    <w:rsid w:val="001226EC"/>
    <w:rsid w:val="00124CF1"/>
    <w:rsid w:val="001264CA"/>
    <w:rsid w:val="001267B6"/>
    <w:rsid w:val="00126977"/>
    <w:rsid w:val="00126FB5"/>
    <w:rsid w:val="001271AB"/>
    <w:rsid w:val="0013146F"/>
    <w:rsid w:val="001316E3"/>
    <w:rsid w:val="0013299D"/>
    <w:rsid w:val="001354D8"/>
    <w:rsid w:val="0013588C"/>
    <w:rsid w:val="00135FF7"/>
    <w:rsid w:val="0013754D"/>
    <w:rsid w:val="00137F93"/>
    <w:rsid w:val="00141148"/>
    <w:rsid w:val="001419F1"/>
    <w:rsid w:val="00141AA0"/>
    <w:rsid w:val="00141B34"/>
    <w:rsid w:val="0014454B"/>
    <w:rsid w:val="00145A12"/>
    <w:rsid w:val="00145DE3"/>
    <w:rsid w:val="00146386"/>
    <w:rsid w:val="001534C3"/>
    <w:rsid w:val="00153974"/>
    <w:rsid w:val="001539FB"/>
    <w:rsid w:val="00155125"/>
    <w:rsid w:val="001576E4"/>
    <w:rsid w:val="001613A5"/>
    <w:rsid w:val="001632D0"/>
    <w:rsid w:val="00163E6D"/>
    <w:rsid w:val="0016427C"/>
    <w:rsid w:val="0016458D"/>
    <w:rsid w:val="00166FE4"/>
    <w:rsid w:val="001707F2"/>
    <w:rsid w:val="001712F9"/>
    <w:rsid w:val="0017169A"/>
    <w:rsid w:val="00172354"/>
    <w:rsid w:val="00172595"/>
    <w:rsid w:val="00173D71"/>
    <w:rsid w:val="00175EF1"/>
    <w:rsid w:val="00180CA3"/>
    <w:rsid w:val="00181F2B"/>
    <w:rsid w:val="00182C5B"/>
    <w:rsid w:val="00183F53"/>
    <w:rsid w:val="00184E94"/>
    <w:rsid w:val="001852B9"/>
    <w:rsid w:val="00187CCC"/>
    <w:rsid w:val="0019535F"/>
    <w:rsid w:val="001977B6"/>
    <w:rsid w:val="001A13A0"/>
    <w:rsid w:val="001A276D"/>
    <w:rsid w:val="001A2C5B"/>
    <w:rsid w:val="001A3758"/>
    <w:rsid w:val="001A3795"/>
    <w:rsid w:val="001A4472"/>
    <w:rsid w:val="001A46E4"/>
    <w:rsid w:val="001A4B45"/>
    <w:rsid w:val="001A549B"/>
    <w:rsid w:val="001A6AA4"/>
    <w:rsid w:val="001B0AD8"/>
    <w:rsid w:val="001B168D"/>
    <w:rsid w:val="001B3072"/>
    <w:rsid w:val="001B371C"/>
    <w:rsid w:val="001B3E6A"/>
    <w:rsid w:val="001B5BC4"/>
    <w:rsid w:val="001B6967"/>
    <w:rsid w:val="001B7354"/>
    <w:rsid w:val="001C3E57"/>
    <w:rsid w:val="001C5FCD"/>
    <w:rsid w:val="001D009E"/>
    <w:rsid w:val="001D09DB"/>
    <w:rsid w:val="001D0F22"/>
    <w:rsid w:val="001D2914"/>
    <w:rsid w:val="001D459F"/>
    <w:rsid w:val="001D61C7"/>
    <w:rsid w:val="001E1D9A"/>
    <w:rsid w:val="001E2B52"/>
    <w:rsid w:val="001E314B"/>
    <w:rsid w:val="001E395A"/>
    <w:rsid w:val="001E4006"/>
    <w:rsid w:val="001E4D50"/>
    <w:rsid w:val="001E7C93"/>
    <w:rsid w:val="001F11F4"/>
    <w:rsid w:val="001F198D"/>
    <w:rsid w:val="001F280B"/>
    <w:rsid w:val="001F4BBC"/>
    <w:rsid w:val="001F531E"/>
    <w:rsid w:val="001F5A67"/>
    <w:rsid w:val="001F5F2A"/>
    <w:rsid w:val="001F5F5C"/>
    <w:rsid w:val="001F7100"/>
    <w:rsid w:val="0020013E"/>
    <w:rsid w:val="00201C85"/>
    <w:rsid w:val="002042EF"/>
    <w:rsid w:val="00206DD0"/>
    <w:rsid w:val="00206F89"/>
    <w:rsid w:val="002072AD"/>
    <w:rsid w:val="00211386"/>
    <w:rsid w:val="002114CE"/>
    <w:rsid w:val="00213807"/>
    <w:rsid w:val="00214774"/>
    <w:rsid w:val="00214E9F"/>
    <w:rsid w:val="0021540C"/>
    <w:rsid w:val="00215F44"/>
    <w:rsid w:val="00221335"/>
    <w:rsid w:val="002219C5"/>
    <w:rsid w:val="002232A2"/>
    <w:rsid w:val="00225990"/>
    <w:rsid w:val="002316EB"/>
    <w:rsid w:val="002339D1"/>
    <w:rsid w:val="00235524"/>
    <w:rsid w:val="00235605"/>
    <w:rsid w:val="00235BD4"/>
    <w:rsid w:val="00236C30"/>
    <w:rsid w:val="0023712B"/>
    <w:rsid w:val="002372EE"/>
    <w:rsid w:val="002374DD"/>
    <w:rsid w:val="00237793"/>
    <w:rsid w:val="00240322"/>
    <w:rsid w:val="002405B9"/>
    <w:rsid w:val="00244A8B"/>
    <w:rsid w:val="002450CA"/>
    <w:rsid w:val="002452AC"/>
    <w:rsid w:val="002453E0"/>
    <w:rsid w:val="002478CA"/>
    <w:rsid w:val="002502D8"/>
    <w:rsid w:val="00250DBB"/>
    <w:rsid w:val="00251E62"/>
    <w:rsid w:val="00251E7B"/>
    <w:rsid w:val="002531C3"/>
    <w:rsid w:val="0025405E"/>
    <w:rsid w:val="0025464D"/>
    <w:rsid w:val="002546AE"/>
    <w:rsid w:val="00255101"/>
    <w:rsid w:val="00256A28"/>
    <w:rsid w:val="0025783D"/>
    <w:rsid w:val="002610FE"/>
    <w:rsid w:val="00262935"/>
    <w:rsid w:val="00263DBD"/>
    <w:rsid w:val="00264B01"/>
    <w:rsid w:val="00266172"/>
    <w:rsid w:val="0026623D"/>
    <w:rsid w:val="0026628A"/>
    <w:rsid w:val="00267873"/>
    <w:rsid w:val="0027249D"/>
    <w:rsid w:val="00274936"/>
    <w:rsid w:val="002766D7"/>
    <w:rsid w:val="00276AFB"/>
    <w:rsid w:val="00277260"/>
    <w:rsid w:val="002772DA"/>
    <w:rsid w:val="00277B5C"/>
    <w:rsid w:val="00280CEE"/>
    <w:rsid w:val="002834CA"/>
    <w:rsid w:val="002837C6"/>
    <w:rsid w:val="00283E4B"/>
    <w:rsid w:val="0028795A"/>
    <w:rsid w:val="0029122C"/>
    <w:rsid w:val="00294CC1"/>
    <w:rsid w:val="00297D13"/>
    <w:rsid w:val="002A2647"/>
    <w:rsid w:val="002A387A"/>
    <w:rsid w:val="002A4EF2"/>
    <w:rsid w:val="002A51C3"/>
    <w:rsid w:val="002A6082"/>
    <w:rsid w:val="002A67BF"/>
    <w:rsid w:val="002B0632"/>
    <w:rsid w:val="002B0746"/>
    <w:rsid w:val="002B17F4"/>
    <w:rsid w:val="002B31F2"/>
    <w:rsid w:val="002C0D06"/>
    <w:rsid w:val="002C0D8B"/>
    <w:rsid w:val="002C1891"/>
    <w:rsid w:val="002C2060"/>
    <w:rsid w:val="002C2A06"/>
    <w:rsid w:val="002C3140"/>
    <w:rsid w:val="002C480C"/>
    <w:rsid w:val="002C4BE8"/>
    <w:rsid w:val="002C61B5"/>
    <w:rsid w:val="002D267F"/>
    <w:rsid w:val="002D2AE3"/>
    <w:rsid w:val="002D3714"/>
    <w:rsid w:val="002D7902"/>
    <w:rsid w:val="002E031A"/>
    <w:rsid w:val="002E0610"/>
    <w:rsid w:val="002E149A"/>
    <w:rsid w:val="002E3704"/>
    <w:rsid w:val="002E49C3"/>
    <w:rsid w:val="002E651E"/>
    <w:rsid w:val="002F25A7"/>
    <w:rsid w:val="002F3789"/>
    <w:rsid w:val="002F3C90"/>
    <w:rsid w:val="002F3FB5"/>
    <w:rsid w:val="002F48DB"/>
    <w:rsid w:val="002F5087"/>
    <w:rsid w:val="002F5424"/>
    <w:rsid w:val="003035A1"/>
    <w:rsid w:val="00304D02"/>
    <w:rsid w:val="00304E9D"/>
    <w:rsid w:val="00305548"/>
    <w:rsid w:val="0031128F"/>
    <w:rsid w:val="003118F8"/>
    <w:rsid w:val="00313B60"/>
    <w:rsid w:val="0031443E"/>
    <w:rsid w:val="003153C1"/>
    <w:rsid w:val="00316059"/>
    <w:rsid w:val="00324C8A"/>
    <w:rsid w:val="00324CBF"/>
    <w:rsid w:val="00324F9A"/>
    <w:rsid w:val="00325DB7"/>
    <w:rsid w:val="00326729"/>
    <w:rsid w:val="0033184F"/>
    <w:rsid w:val="003330BE"/>
    <w:rsid w:val="003370F9"/>
    <w:rsid w:val="0033779B"/>
    <w:rsid w:val="00337FA8"/>
    <w:rsid w:val="003459C1"/>
    <w:rsid w:val="003468C5"/>
    <w:rsid w:val="00346AE0"/>
    <w:rsid w:val="00346B15"/>
    <w:rsid w:val="00346C21"/>
    <w:rsid w:val="00350AB5"/>
    <w:rsid w:val="003515AB"/>
    <w:rsid w:val="00351C9C"/>
    <w:rsid w:val="00353370"/>
    <w:rsid w:val="0035547B"/>
    <w:rsid w:val="00357079"/>
    <w:rsid w:val="00357521"/>
    <w:rsid w:val="00357F1B"/>
    <w:rsid w:val="00360851"/>
    <w:rsid w:val="00360DFC"/>
    <w:rsid w:val="00364080"/>
    <w:rsid w:val="00364168"/>
    <w:rsid w:val="0036428E"/>
    <w:rsid w:val="00364CA3"/>
    <w:rsid w:val="003707A3"/>
    <w:rsid w:val="003709BD"/>
    <w:rsid w:val="00374058"/>
    <w:rsid w:val="00376D19"/>
    <w:rsid w:val="00377697"/>
    <w:rsid w:val="00383847"/>
    <w:rsid w:val="00383F7F"/>
    <w:rsid w:val="0038595E"/>
    <w:rsid w:val="00385F13"/>
    <w:rsid w:val="00386499"/>
    <w:rsid w:val="00391763"/>
    <w:rsid w:val="003928FA"/>
    <w:rsid w:val="0039369E"/>
    <w:rsid w:val="003948B6"/>
    <w:rsid w:val="00394DEC"/>
    <w:rsid w:val="003973EC"/>
    <w:rsid w:val="00397A4E"/>
    <w:rsid w:val="00397BC0"/>
    <w:rsid w:val="003A1EE5"/>
    <w:rsid w:val="003A3420"/>
    <w:rsid w:val="003A54A4"/>
    <w:rsid w:val="003A5987"/>
    <w:rsid w:val="003B1E84"/>
    <w:rsid w:val="003B2B95"/>
    <w:rsid w:val="003B64DD"/>
    <w:rsid w:val="003B659D"/>
    <w:rsid w:val="003C00AF"/>
    <w:rsid w:val="003C024D"/>
    <w:rsid w:val="003C1AE1"/>
    <w:rsid w:val="003C41F3"/>
    <w:rsid w:val="003C6007"/>
    <w:rsid w:val="003C7D6C"/>
    <w:rsid w:val="003D04FB"/>
    <w:rsid w:val="003D16E7"/>
    <w:rsid w:val="003D19C7"/>
    <w:rsid w:val="003D2704"/>
    <w:rsid w:val="003D28F6"/>
    <w:rsid w:val="003D3971"/>
    <w:rsid w:val="003D4C3E"/>
    <w:rsid w:val="003E1C8C"/>
    <w:rsid w:val="003E2886"/>
    <w:rsid w:val="003E31ED"/>
    <w:rsid w:val="003E3220"/>
    <w:rsid w:val="003E48A5"/>
    <w:rsid w:val="003E501F"/>
    <w:rsid w:val="003E5BFF"/>
    <w:rsid w:val="003E6474"/>
    <w:rsid w:val="003E6C1D"/>
    <w:rsid w:val="003E72C1"/>
    <w:rsid w:val="003F0D71"/>
    <w:rsid w:val="003F1019"/>
    <w:rsid w:val="003F2490"/>
    <w:rsid w:val="003F2624"/>
    <w:rsid w:val="003F38EF"/>
    <w:rsid w:val="003F5A37"/>
    <w:rsid w:val="003F5C00"/>
    <w:rsid w:val="003F5E9F"/>
    <w:rsid w:val="003F62A7"/>
    <w:rsid w:val="003F6F53"/>
    <w:rsid w:val="003F745D"/>
    <w:rsid w:val="004001F8"/>
    <w:rsid w:val="00402E05"/>
    <w:rsid w:val="00403E69"/>
    <w:rsid w:val="0040515C"/>
    <w:rsid w:val="00407D8B"/>
    <w:rsid w:val="00412799"/>
    <w:rsid w:val="00413205"/>
    <w:rsid w:val="004137E2"/>
    <w:rsid w:val="00413BBC"/>
    <w:rsid w:val="00414E56"/>
    <w:rsid w:val="00414FEC"/>
    <w:rsid w:val="00415120"/>
    <w:rsid w:val="00420D1E"/>
    <w:rsid w:val="00421B35"/>
    <w:rsid w:val="00421F2F"/>
    <w:rsid w:val="00422BD2"/>
    <w:rsid w:val="00423940"/>
    <w:rsid w:val="00423B3C"/>
    <w:rsid w:val="004244B8"/>
    <w:rsid w:val="00424635"/>
    <w:rsid w:val="0042777B"/>
    <w:rsid w:val="00433E56"/>
    <w:rsid w:val="00434EFD"/>
    <w:rsid w:val="00435512"/>
    <w:rsid w:val="00436EAC"/>
    <w:rsid w:val="0044109F"/>
    <w:rsid w:val="00441541"/>
    <w:rsid w:val="004439D8"/>
    <w:rsid w:val="00443CF6"/>
    <w:rsid w:val="00445D4F"/>
    <w:rsid w:val="0044620C"/>
    <w:rsid w:val="0044635B"/>
    <w:rsid w:val="00451FD9"/>
    <w:rsid w:val="00453CA9"/>
    <w:rsid w:val="004544D0"/>
    <w:rsid w:val="00454A62"/>
    <w:rsid w:val="00454C57"/>
    <w:rsid w:val="00454E21"/>
    <w:rsid w:val="00456BAC"/>
    <w:rsid w:val="00456D5B"/>
    <w:rsid w:val="00461AF7"/>
    <w:rsid w:val="00464F6B"/>
    <w:rsid w:val="00467F8B"/>
    <w:rsid w:val="00471ED0"/>
    <w:rsid w:val="00474143"/>
    <w:rsid w:val="00475DD0"/>
    <w:rsid w:val="00476BD8"/>
    <w:rsid w:val="004802E4"/>
    <w:rsid w:val="00481907"/>
    <w:rsid w:val="00483786"/>
    <w:rsid w:val="004842FE"/>
    <w:rsid w:val="004843E0"/>
    <w:rsid w:val="004857EB"/>
    <w:rsid w:val="00486415"/>
    <w:rsid w:val="00486FE9"/>
    <w:rsid w:val="0048742B"/>
    <w:rsid w:val="00490B90"/>
    <w:rsid w:val="004916F0"/>
    <w:rsid w:val="004953E9"/>
    <w:rsid w:val="0049559B"/>
    <w:rsid w:val="00496CF8"/>
    <w:rsid w:val="00497404"/>
    <w:rsid w:val="004A56FB"/>
    <w:rsid w:val="004A5A21"/>
    <w:rsid w:val="004A60E7"/>
    <w:rsid w:val="004A7D00"/>
    <w:rsid w:val="004B11F9"/>
    <w:rsid w:val="004B1FC4"/>
    <w:rsid w:val="004B2472"/>
    <w:rsid w:val="004B2657"/>
    <w:rsid w:val="004B28FB"/>
    <w:rsid w:val="004B2FA8"/>
    <w:rsid w:val="004B38EC"/>
    <w:rsid w:val="004B5F43"/>
    <w:rsid w:val="004B61CA"/>
    <w:rsid w:val="004C1855"/>
    <w:rsid w:val="004C1BE9"/>
    <w:rsid w:val="004C1F69"/>
    <w:rsid w:val="004C2710"/>
    <w:rsid w:val="004C2E85"/>
    <w:rsid w:val="004C42AE"/>
    <w:rsid w:val="004C480B"/>
    <w:rsid w:val="004C4CE2"/>
    <w:rsid w:val="004D017B"/>
    <w:rsid w:val="004D0939"/>
    <w:rsid w:val="004D2246"/>
    <w:rsid w:val="004D2856"/>
    <w:rsid w:val="004D4E50"/>
    <w:rsid w:val="004D52CF"/>
    <w:rsid w:val="004D5674"/>
    <w:rsid w:val="004D59D1"/>
    <w:rsid w:val="004D77D8"/>
    <w:rsid w:val="004E0A95"/>
    <w:rsid w:val="004E0D36"/>
    <w:rsid w:val="004E0E0D"/>
    <w:rsid w:val="004E0ED1"/>
    <w:rsid w:val="004E24E6"/>
    <w:rsid w:val="004E2F0F"/>
    <w:rsid w:val="004E3DE7"/>
    <w:rsid w:val="004E4149"/>
    <w:rsid w:val="004E497C"/>
    <w:rsid w:val="004E4D4A"/>
    <w:rsid w:val="004E6B87"/>
    <w:rsid w:val="004E7B4C"/>
    <w:rsid w:val="004E7EAB"/>
    <w:rsid w:val="004F00B2"/>
    <w:rsid w:val="004F05E9"/>
    <w:rsid w:val="004F3058"/>
    <w:rsid w:val="004F4022"/>
    <w:rsid w:val="004F608C"/>
    <w:rsid w:val="004F73EC"/>
    <w:rsid w:val="004F7521"/>
    <w:rsid w:val="00502924"/>
    <w:rsid w:val="00503482"/>
    <w:rsid w:val="0050548B"/>
    <w:rsid w:val="00505F2D"/>
    <w:rsid w:val="00507F27"/>
    <w:rsid w:val="00513240"/>
    <w:rsid w:val="00513B09"/>
    <w:rsid w:val="005143BB"/>
    <w:rsid w:val="00514D6D"/>
    <w:rsid w:val="0051594C"/>
    <w:rsid w:val="00516360"/>
    <w:rsid w:val="0051699B"/>
    <w:rsid w:val="0051743F"/>
    <w:rsid w:val="005203C9"/>
    <w:rsid w:val="00520538"/>
    <w:rsid w:val="00521655"/>
    <w:rsid w:val="00522972"/>
    <w:rsid w:val="00522EB0"/>
    <w:rsid w:val="00524B1E"/>
    <w:rsid w:val="00524D07"/>
    <w:rsid w:val="00527435"/>
    <w:rsid w:val="005324B8"/>
    <w:rsid w:val="005325DC"/>
    <w:rsid w:val="005329BD"/>
    <w:rsid w:val="00534202"/>
    <w:rsid w:val="0053437B"/>
    <w:rsid w:val="00537203"/>
    <w:rsid w:val="00541F53"/>
    <w:rsid w:val="0054202A"/>
    <w:rsid w:val="0054382E"/>
    <w:rsid w:val="00544223"/>
    <w:rsid w:val="00544EE6"/>
    <w:rsid w:val="00545A18"/>
    <w:rsid w:val="00546665"/>
    <w:rsid w:val="00547CBF"/>
    <w:rsid w:val="005518E2"/>
    <w:rsid w:val="00551C58"/>
    <w:rsid w:val="00552D48"/>
    <w:rsid w:val="005539A6"/>
    <w:rsid w:val="00554D9C"/>
    <w:rsid w:val="0055523E"/>
    <w:rsid w:val="0055755A"/>
    <w:rsid w:val="00557640"/>
    <w:rsid w:val="0056075A"/>
    <w:rsid w:val="00560E46"/>
    <w:rsid w:val="005612B6"/>
    <w:rsid w:val="00561C13"/>
    <w:rsid w:val="0056294E"/>
    <w:rsid w:val="00565006"/>
    <w:rsid w:val="0056776E"/>
    <w:rsid w:val="00571FAE"/>
    <w:rsid w:val="0057246B"/>
    <w:rsid w:val="00572F16"/>
    <w:rsid w:val="005735E2"/>
    <w:rsid w:val="005737FD"/>
    <w:rsid w:val="005741F1"/>
    <w:rsid w:val="005765DC"/>
    <w:rsid w:val="0058116A"/>
    <w:rsid w:val="005818DE"/>
    <w:rsid w:val="00581F14"/>
    <w:rsid w:val="0058592C"/>
    <w:rsid w:val="00591134"/>
    <w:rsid w:val="00592418"/>
    <w:rsid w:val="005926A3"/>
    <w:rsid w:val="005933E6"/>
    <w:rsid w:val="00593DD6"/>
    <w:rsid w:val="00593E50"/>
    <w:rsid w:val="0059469E"/>
    <w:rsid w:val="00595237"/>
    <w:rsid w:val="00595BE6"/>
    <w:rsid w:val="00597064"/>
    <w:rsid w:val="00597FB1"/>
    <w:rsid w:val="005A2A07"/>
    <w:rsid w:val="005A3096"/>
    <w:rsid w:val="005A3157"/>
    <w:rsid w:val="005A3FFF"/>
    <w:rsid w:val="005A4BE6"/>
    <w:rsid w:val="005A5270"/>
    <w:rsid w:val="005A685E"/>
    <w:rsid w:val="005A72A3"/>
    <w:rsid w:val="005A7333"/>
    <w:rsid w:val="005A7F33"/>
    <w:rsid w:val="005B0C0E"/>
    <w:rsid w:val="005B1581"/>
    <w:rsid w:val="005B37CB"/>
    <w:rsid w:val="005B3B1C"/>
    <w:rsid w:val="005B45AA"/>
    <w:rsid w:val="005B5A0D"/>
    <w:rsid w:val="005B627A"/>
    <w:rsid w:val="005C0D3F"/>
    <w:rsid w:val="005C15C7"/>
    <w:rsid w:val="005C4686"/>
    <w:rsid w:val="005C4978"/>
    <w:rsid w:val="005C5CD7"/>
    <w:rsid w:val="005C6F71"/>
    <w:rsid w:val="005C775E"/>
    <w:rsid w:val="005D02EA"/>
    <w:rsid w:val="005D255C"/>
    <w:rsid w:val="005D285E"/>
    <w:rsid w:val="005D2890"/>
    <w:rsid w:val="005D7B14"/>
    <w:rsid w:val="005E357E"/>
    <w:rsid w:val="005E3E4E"/>
    <w:rsid w:val="005E5900"/>
    <w:rsid w:val="005E609D"/>
    <w:rsid w:val="005E62D5"/>
    <w:rsid w:val="005F1DE0"/>
    <w:rsid w:val="005F2735"/>
    <w:rsid w:val="005F2A14"/>
    <w:rsid w:val="005F4687"/>
    <w:rsid w:val="005F6863"/>
    <w:rsid w:val="005F72FD"/>
    <w:rsid w:val="005F7521"/>
    <w:rsid w:val="00601145"/>
    <w:rsid w:val="00602E35"/>
    <w:rsid w:val="006039C1"/>
    <w:rsid w:val="00604F00"/>
    <w:rsid w:val="006061A5"/>
    <w:rsid w:val="006068D9"/>
    <w:rsid w:val="0060713C"/>
    <w:rsid w:val="00610333"/>
    <w:rsid w:val="006110CC"/>
    <w:rsid w:val="00612F62"/>
    <w:rsid w:val="0062070E"/>
    <w:rsid w:val="006220C5"/>
    <w:rsid w:val="00622576"/>
    <w:rsid w:val="0062293D"/>
    <w:rsid w:val="00622C19"/>
    <w:rsid w:val="00624B88"/>
    <w:rsid w:val="00624C9E"/>
    <w:rsid w:val="00625232"/>
    <w:rsid w:val="0062556A"/>
    <w:rsid w:val="00625AEA"/>
    <w:rsid w:val="0062727A"/>
    <w:rsid w:val="006321C1"/>
    <w:rsid w:val="00632D64"/>
    <w:rsid w:val="00633E22"/>
    <w:rsid w:val="00634757"/>
    <w:rsid w:val="00635AFD"/>
    <w:rsid w:val="00635B5E"/>
    <w:rsid w:val="0063741D"/>
    <w:rsid w:val="00637420"/>
    <w:rsid w:val="006409EA"/>
    <w:rsid w:val="00640E73"/>
    <w:rsid w:val="006437BD"/>
    <w:rsid w:val="00643D4B"/>
    <w:rsid w:val="00643DFF"/>
    <w:rsid w:val="006440C6"/>
    <w:rsid w:val="0064554C"/>
    <w:rsid w:val="006457E7"/>
    <w:rsid w:val="006458BA"/>
    <w:rsid w:val="00647ECF"/>
    <w:rsid w:val="00651EAB"/>
    <w:rsid w:val="00652726"/>
    <w:rsid w:val="00653EB7"/>
    <w:rsid w:val="00653F53"/>
    <w:rsid w:val="0065429D"/>
    <w:rsid w:val="00654AC9"/>
    <w:rsid w:val="00655482"/>
    <w:rsid w:val="0065552E"/>
    <w:rsid w:val="00656C3A"/>
    <w:rsid w:val="00660231"/>
    <w:rsid w:val="006614C9"/>
    <w:rsid w:val="006622A3"/>
    <w:rsid w:val="006655C1"/>
    <w:rsid w:val="00666176"/>
    <w:rsid w:val="00666277"/>
    <w:rsid w:val="006700ED"/>
    <w:rsid w:val="0067082E"/>
    <w:rsid w:val="0067155E"/>
    <w:rsid w:val="00672ACC"/>
    <w:rsid w:val="00672C65"/>
    <w:rsid w:val="00672FA4"/>
    <w:rsid w:val="006732B7"/>
    <w:rsid w:val="00674853"/>
    <w:rsid w:val="0067675B"/>
    <w:rsid w:val="00676862"/>
    <w:rsid w:val="00676C98"/>
    <w:rsid w:val="006845C0"/>
    <w:rsid w:val="00685354"/>
    <w:rsid w:val="006857EC"/>
    <w:rsid w:val="0068630C"/>
    <w:rsid w:val="006864B3"/>
    <w:rsid w:val="00687654"/>
    <w:rsid w:val="00691000"/>
    <w:rsid w:val="00691959"/>
    <w:rsid w:val="00691E8F"/>
    <w:rsid w:val="00692F7E"/>
    <w:rsid w:val="00695405"/>
    <w:rsid w:val="00697622"/>
    <w:rsid w:val="006976F5"/>
    <w:rsid w:val="006A0A43"/>
    <w:rsid w:val="006A4AA8"/>
    <w:rsid w:val="006A5EAA"/>
    <w:rsid w:val="006A616D"/>
    <w:rsid w:val="006B1E32"/>
    <w:rsid w:val="006B210B"/>
    <w:rsid w:val="006B3678"/>
    <w:rsid w:val="006B4341"/>
    <w:rsid w:val="006B479D"/>
    <w:rsid w:val="006B5C13"/>
    <w:rsid w:val="006B5DDE"/>
    <w:rsid w:val="006B74B1"/>
    <w:rsid w:val="006B7B66"/>
    <w:rsid w:val="006C176A"/>
    <w:rsid w:val="006C2830"/>
    <w:rsid w:val="006C41A5"/>
    <w:rsid w:val="006C5F82"/>
    <w:rsid w:val="006C7A27"/>
    <w:rsid w:val="006D0411"/>
    <w:rsid w:val="006D122C"/>
    <w:rsid w:val="006D128F"/>
    <w:rsid w:val="006D1737"/>
    <w:rsid w:val="006D1AA4"/>
    <w:rsid w:val="006D2C27"/>
    <w:rsid w:val="006D2D81"/>
    <w:rsid w:val="006D3A44"/>
    <w:rsid w:val="006D6259"/>
    <w:rsid w:val="006D6EE5"/>
    <w:rsid w:val="006D7661"/>
    <w:rsid w:val="006D7AA4"/>
    <w:rsid w:val="006E26A4"/>
    <w:rsid w:val="006E28E6"/>
    <w:rsid w:val="006E2E27"/>
    <w:rsid w:val="006E35BE"/>
    <w:rsid w:val="006E4F1A"/>
    <w:rsid w:val="006E6705"/>
    <w:rsid w:val="006F107C"/>
    <w:rsid w:val="006F27E2"/>
    <w:rsid w:val="006F47D7"/>
    <w:rsid w:val="006F48AE"/>
    <w:rsid w:val="006F5F88"/>
    <w:rsid w:val="006F6F6D"/>
    <w:rsid w:val="007000D9"/>
    <w:rsid w:val="00702198"/>
    <w:rsid w:val="00702718"/>
    <w:rsid w:val="00702B31"/>
    <w:rsid w:val="007075D6"/>
    <w:rsid w:val="00707A95"/>
    <w:rsid w:val="00707C17"/>
    <w:rsid w:val="00707DE9"/>
    <w:rsid w:val="00710CFB"/>
    <w:rsid w:val="00710ECC"/>
    <w:rsid w:val="00711861"/>
    <w:rsid w:val="00712A96"/>
    <w:rsid w:val="007130C2"/>
    <w:rsid w:val="00713879"/>
    <w:rsid w:val="00713D8C"/>
    <w:rsid w:val="00715BC8"/>
    <w:rsid w:val="007160E3"/>
    <w:rsid w:val="007173FE"/>
    <w:rsid w:val="00717914"/>
    <w:rsid w:val="00717C8E"/>
    <w:rsid w:val="007211EB"/>
    <w:rsid w:val="00722A09"/>
    <w:rsid w:val="007260E1"/>
    <w:rsid w:val="00726F8C"/>
    <w:rsid w:val="00726F94"/>
    <w:rsid w:val="007273C9"/>
    <w:rsid w:val="007273ED"/>
    <w:rsid w:val="00727F1F"/>
    <w:rsid w:val="007319BA"/>
    <w:rsid w:val="0073234D"/>
    <w:rsid w:val="0073249A"/>
    <w:rsid w:val="00732893"/>
    <w:rsid w:val="0073332E"/>
    <w:rsid w:val="0073487A"/>
    <w:rsid w:val="0073517A"/>
    <w:rsid w:val="007354D5"/>
    <w:rsid w:val="00736263"/>
    <w:rsid w:val="00736ED5"/>
    <w:rsid w:val="00737023"/>
    <w:rsid w:val="00737062"/>
    <w:rsid w:val="00740C39"/>
    <w:rsid w:val="00741DBE"/>
    <w:rsid w:val="00742485"/>
    <w:rsid w:val="007433A1"/>
    <w:rsid w:val="00746008"/>
    <w:rsid w:val="00747469"/>
    <w:rsid w:val="00750A8D"/>
    <w:rsid w:val="00751C54"/>
    <w:rsid w:val="00751DB8"/>
    <w:rsid w:val="0075341D"/>
    <w:rsid w:val="00755354"/>
    <w:rsid w:val="00755934"/>
    <w:rsid w:val="007567DC"/>
    <w:rsid w:val="00757870"/>
    <w:rsid w:val="00760082"/>
    <w:rsid w:val="00763F45"/>
    <w:rsid w:val="007662C5"/>
    <w:rsid w:val="0076650E"/>
    <w:rsid w:val="007667C7"/>
    <w:rsid w:val="007701E8"/>
    <w:rsid w:val="00774F14"/>
    <w:rsid w:val="00776C52"/>
    <w:rsid w:val="00780A58"/>
    <w:rsid w:val="00784D8F"/>
    <w:rsid w:val="007859C7"/>
    <w:rsid w:val="00787E37"/>
    <w:rsid w:val="00787E72"/>
    <w:rsid w:val="0079010F"/>
    <w:rsid w:val="00790650"/>
    <w:rsid w:val="007907BD"/>
    <w:rsid w:val="007939EC"/>
    <w:rsid w:val="0079526C"/>
    <w:rsid w:val="007953FF"/>
    <w:rsid w:val="007956A3"/>
    <w:rsid w:val="00797057"/>
    <w:rsid w:val="007A353C"/>
    <w:rsid w:val="007A4E95"/>
    <w:rsid w:val="007A5EC8"/>
    <w:rsid w:val="007A66BA"/>
    <w:rsid w:val="007A6C0E"/>
    <w:rsid w:val="007A789D"/>
    <w:rsid w:val="007B0FA6"/>
    <w:rsid w:val="007B2E6F"/>
    <w:rsid w:val="007B317B"/>
    <w:rsid w:val="007B3E7A"/>
    <w:rsid w:val="007B5385"/>
    <w:rsid w:val="007C079B"/>
    <w:rsid w:val="007C0A80"/>
    <w:rsid w:val="007C1CA3"/>
    <w:rsid w:val="007C307E"/>
    <w:rsid w:val="007C3611"/>
    <w:rsid w:val="007C3C68"/>
    <w:rsid w:val="007C54AB"/>
    <w:rsid w:val="007D1C43"/>
    <w:rsid w:val="007D29FD"/>
    <w:rsid w:val="007D2F90"/>
    <w:rsid w:val="007D3504"/>
    <w:rsid w:val="007D35B7"/>
    <w:rsid w:val="007D49A5"/>
    <w:rsid w:val="007D7402"/>
    <w:rsid w:val="007D7CA1"/>
    <w:rsid w:val="007E0844"/>
    <w:rsid w:val="007E0F37"/>
    <w:rsid w:val="007E3C1C"/>
    <w:rsid w:val="007E41DC"/>
    <w:rsid w:val="007E496B"/>
    <w:rsid w:val="007E65C5"/>
    <w:rsid w:val="007F0131"/>
    <w:rsid w:val="007F0277"/>
    <w:rsid w:val="007F06F4"/>
    <w:rsid w:val="007F3303"/>
    <w:rsid w:val="007F363B"/>
    <w:rsid w:val="007F6C62"/>
    <w:rsid w:val="007F6EA9"/>
    <w:rsid w:val="00803F1E"/>
    <w:rsid w:val="00805212"/>
    <w:rsid w:val="00811D6B"/>
    <w:rsid w:val="00812264"/>
    <w:rsid w:val="008123CE"/>
    <w:rsid w:val="00812A30"/>
    <w:rsid w:val="00813AC8"/>
    <w:rsid w:val="00814652"/>
    <w:rsid w:val="00814921"/>
    <w:rsid w:val="008151C6"/>
    <w:rsid w:val="00815A76"/>
    <w:rsid w:val="00815EA1"/>
    <w:rsid w:val="008169FA"/>
    <w:rsid w:val="00821531"/>
    <w:rsid w:val="0082177D"/>
    <w:rsid w:val="00821FAC"/>
    <w:rsid w:val="00822772"/>
    <w:rsid w:val="0082347F"/>
    <w:rsid w:val="00823C74"/>
    <w:rsid w:val="00823F49"/>
    <w:rsid w:val="00824C6F"/>
    <w:rsid w:val="00826C51"/>
    <w:rsid w:val="00827470"/>
    <w:rsid w:val="00827CAB"/>
    <w:rsid w:val="0083006C"/>
    <w:rsid w:val="00830FCF"/>
    <w:rsid w:val="0083194F"/>
    <w:rsid w:val="00832550"/>
    <w:rsid w:val="008328E3"/>
    <w:rsid w:val="00833777"/>
    <w:rsid w:val="00833947"/>
    <w:rsid w:val="008415A6"/>
    <w:rsid w:val="00841EBA"/>
    <w:rsid w:val="00843465"/>
    <w:rsid w:val="008462A3"/>
    <w:rsid w:val="008471DE"/>
    <w:rsid w:val="00847FF9"/>
    <w:rsid w:val="00851738"/>
    <w:rsid w:val="0085210D"/>
    <w:rsid w:val="00852F84"/>
    <w:rsid w:val="008544F8"/>
    <w:rsid w:val="008563A6"/>
    <w:rsid w:val="0085684E"/>
    <w:rsid w:val="00857111"/>
    <w:rsid w:val="00861CBE"/>
    <w:rsid w:val="00861E66"/>
    <w:rsid w:val="00862073"/>
    <w:rsid w:val="008635EF"/>
    <w:rsid w:val="00866491"/>
    <w:rsid w:val="008679D2"/>
    <w:rsid w:val="008705BF"/>
    <w:rsid w:val="00870706"/>
    <w:rsid w:val="008712BF"/>
    <w:rsid w:val="008725B4"/>
    <w:rsid w:val="00873D87"/>
    <w:rsid w:val="00874490"/>
    <w:rsid w:val="00874E03"/>
    <w:rsid w:val="00876411"/>
    <w:rsid w:val="008766D4"/>
    <w:rsid w:val="008770ED"/>
    <w:rsid w:val="008777C9"/>
    <w:rsid w:val="008801D0"/>
    <w:rsid w:val="00880DE3"/>
    <w:rsid w:val="00881FA6"/>
    <w:rsid w:val="00882011"/>
    <w:rsid w:val="00882355"/>
    <w:rsid w:val="0088314C"/>
    <w:rsid w:val="00883F42"/>
    <w:rsid w:val="008846DA"/>
    <w:rsid w:val="00884828"/>
    <w:rsid w:val="0088517F"/>
    <w:rsid w:val="00885BD7"/>
    <w:rsid w:val="00890151"/>
    <w:rsid w:val="00891A5B"/>
    <w:rsid w:val="00892ABD"/>
    <w:rsid w:val="00893259"/>
    <w:rsid w:val="0089332C"/>
    <w:rsid w:val="00895CB9"/>
    <w:rsid w:val="00895EF2"/>
    <w:rsid w:val="00897495"/>
    <w:rsid w:val="008A2E1D"/>
    <w:rsid w:val="008A4222"/>
    <w:rsid w:val="008A650C"/>
    <w:rsid w:val="008A76FE"/>
    <w:rsid w:val="008A7CAB"/>
    <w:rsid w:val="008B0C20"/>
    <w:rsid w:val="008B1D3C"/>
    <w:rsid w:val="008B4698"/>
    <w:rsid w:val="008B5C18"/>
    <w:rsid w:val="008B75DD"/>
    <w:rsid w:val="008C0240"/>
    <w:rsid w:val="008C42C0"/>
    <w:rsid w:val="008C62E1"/>
    <w:rsid w:val="008C6B4F"/>
    <w:rsid w:val="008C7F1C"/>
    <w:rsid w:val="008D2891"/>
    <w:rsid w:val="008D30B5"/>
    <w:rsid w:val="008E0379"/>
    <w:rsid w:val="008E29A1"/>
    <w:rsid w:val="008E2F6B"/>
    <w:rsid w:val="008E3396"/>
    <w:rsid w:val="008E44D5"/>
    <w:rsid w:val="008E4B1E"/>
    <w:rsid w:val="008E4C16"/>
    <w:rsid w:val="008E4FC4"/>
    <w:rsid w:val="008E716F"/>
    <w:rsid w:val="008E7BE7"/>
    <w:rsid w:val="008F05BA"/>
    <w:rsid w:val="008F0A70"/>
    <w:rsid w:val="008F2384"/>
    <w:rsid w:val="008F3CE3"/>
    <w:rsid w:val="008F553F"/>
    <w:rsid w:val="008F5572"/>
    <w:rsid w:val="008F5AEB"/>
    <w:rsid w:val="008F5E14"/>
    <w:rsid w:val="008F6819"/>
    <w:rsid w:val="008F782C"/>
    <w:rsid w:val="008F798A"/>
    <w:rsid w:val="0090008A"/>
    <w:rsid w:val="0090150F"/>
    <w:rsid w:val="00901F2E"/>
    <w:rsid w:val="00903141"/>
    <w:rsid w:val="00904B39"/>
    <w:rsid w:val="00904C80"/>
    <w:rsid w:val="00904F9E"/>
    <w:rsid w:val="0090574D"/>
    <w:rsid w:val="0090590F"/>
    <w:rsid w:val="009062A4"/>
    <w:rsid w:val="00907562"/>
    <w:rsid w:val="00911446"/>
    <w:rsid w:val="009116AF"/>
    <w:rsid w:val="00911C90"/>
    <w:rsid w:val="0091245E"/>
    <w:rsid w:val="00912ABD"/>
    <w:rsid w:val="0091310F"/>
    <w:rsid w:val="00913311"/>
    <w:rsid w:val="00915504"/>
    <w:rsid w:val="00915987"/>
    <w:rsid w:val="009177DF"/>
    <w:rsid w:val="00920EBE"/>
    <w:rsid w:val="009221BD"/>
    <w:rsid w:val="009226F7"/>
    <w:rsid w:val="00922B3D"/>
    <w:rsid w:val="00923110"/>
    <w:rsid w:val="00923FFF"/>
    <w:rsid w:val="0092404B"/>
    <w:rsid w:val="0092505E"/>
    <w:rsid w:val="009259B8"/>
    <w:rsid w:val="009324A2"/>
    <w:rsid w:val="00932989"/>
    <w:rsid w:val="00932F82"/>
    <w:rsid w:val="00934FA4"/>
    <w:rsid w:val="0093580E"/>
    <w:rsid w:val="00940821"/>
    <w:rsid w:val="00940FB8"/>
    <w:rsid w:val="00941A6C"/>
    <w:rsid w:val="009421DF"/>
    <w:rsid w:val="009423CA"/>
    <w:rsid w:val="00943672"/>
    <w:rsid w:val="00943AF8"/>
    <w:rsid w:val="00944869"/>
    <w:rsid w:val="00944F5A"/>
    <w:rsid w:val="009453FB"/>
    <w:rsid w:val="00945E4C"/>
    <w:rsid w:val="00947788"/>
    <w:rsid w:val="00947A5E"/>
    <w:rsid w:val="00956D1B"/>
    <w:rsid w:val="009613FA"/>
    <w:rsid w:val="00961F10"/>
    <w:rsid w:val="009627BF"/>
    <w:rsid w:val="00962DDF"/>
    <w:rsid w:val="00963377"/>
    <w:rsid w:val="0096377B"/>
    <w:rsid w:val="00967381"/>
    <w:rsid w:val="00973985"/>
    <w:rsid w:val="009747C9"/>
    <w:rsid w:val="0097489B"/>
    <w:rsid w:val="009833B5"/>
    <w:rsid w:val="0098392D"/>
    <w:rsid w:val="00984420"/>
    <w:rsid w:val="00984E22"/>
    <w:rsid w:val="00985C75"/>
    <w:rsid w:val="00987783"/>
    <w:rsid w:val="009902F4"/>
    <w:rsid w:val="00991A7C"/>
    <w:rsid w:val="00991E08"/>
    <w:rsid w:val="0099273F"/>
    <w:rsid w:val="00994CCE"/>
    <w:rsid w:val="00995B9E"/>
    <w:rsid w:val="009A07BD"/>
    <w:rsid w:val="009A1038"/>
    <w:rsid w:val="009A34E1"/>
    <w:rsid w:val="009A6261"/>
    <w:rsid w:val="009A7253"/>
    <w:rsid w:val="009A7736"/>
    <w:rsid w:val="009A78F5"/>
    <w:rsid w:val="009B0811"/>
    <w:rsid w:val="009B1657"/>
    <w:rsid w:val="009B2065"/>
    <w:rsid w:val="009B35F1"/>
    <w:rsid w:val="009B406E"/>
    <w:rsid w:val="009B4943"/>
    <w:rsid w:val="009B53F4"/>
    <w:rsid w:val="009B67F5"/>
    <w:rsid w:val="009B7CEB"/>
    <w:rsid w:val="009C0A04"/>
    <w:rsid w:val="009C111E"/>
    <w:rsid w:val="009C20ED"/>
    <w:rsid w:val="009C5290"/>
    <w:rsid w:val="009C61A1"/>
    <w:rsid w:val="009C6EDC"/>
    <w:rsid w:val="009C75C6"/>
    <w:rsid w:val="009D1C11"/>
    <w:rsid w:val="009D547E"/>
    <w:rsid w:val="009D6CED"/>
    <w:rsid w:val="009D7B55"/>
    <w:rsid w:val="009E0892"/>
    <w:rsid w:val="009E0A1B"/>
    <w:rsid w:val="009E136E"/>
    <w:rsid w:val="009E2E2D"/>
    <w:rsid w:val="009E4139"/>
    <w:rsid w:val="009E574A"/>
    <w:rsid w:val="009E581E"/>
    <w:rsid w:val="009F0529"/>
    <w:rsid w:val="009F190F"/>
    <w:rsid w:val="009F2233"/>
    <w:rsid w:val="009F33A2"/>
    <w:rsid w:val="009F6EE7"/>
    <w:rsid w:val="009F7814"/>
    <w:rsid w:val="00A0025C"/>
    <w:rsid w:val="00A029BD"/>
    <w:rsid w:val="00A0457D"/>
    <w:rsid w:val="00A05625"/>
    <w:rsid w:val="00A05BCF"/>
    <w:rsid w:val="00A06AAD"/>
    <w:rsid w:val="00A077FF"/>
    <w:rsid w:val="00A11906"/>
    <w:rsid w:val="00A1247A"/>
    <w:rsid w:val="00A13615"/>
    <w:rsid w:val="00A136FE"/>
    <w:rsid w:val="00A1389E"/>
    <w:rsid w:val="00A1446B"/>
    <w:rsid w:val="00A15BDA"/>
    <w:rsid w:val="00A15DBC"/>
    <w:rsid w:val="00A20BBB"/>
    <w:rsid w:val="00A21971"/>
    <w:rsid w:val="00A21A38"/>
    <w:rsid w:val="00A22DFB"/>
    <w:rsid w:val="00A230FE"/>
    <w:rsid w:val="00A271DB"/>
    <w:rsid w:val="00A310D5"/>
    <w:rsid w:val="00A318B1"/>
    <w:rsid w:val="00A32C8E"/>
    <w:rsid w:val="00A336DA"/>
    <w:rsid w:val="00A345A2"/>
    <w:rsid w:val="00A3501F"/>
    <w:rsid w:val="00A379BC"/>
    <w:rsid w:val="00A41101"/>
    <w:rsid w:val="00A41A9E"/>
    <w:rsid w:val="00A42AA5"/>
    <w:rsid w:val="00A43549"/>
    <w:rsid w:val="00A44A7F"/>
    <w:rsid w:val="00A453C3"/>
    <w:rsid w:val="00A460D3"/>
    <w:rsid w:val="00A50231"/>
    <w:rsid w:val="00A5086B"/>
    <w:rsid w:val="00A50C9D"/>
    <w:rsid w:val="00A51C36"/>
    <w:rsid w:val="00A52A2D"/>
    <w:rsid w:val="00A53CBC"/>
    <w:rsid w:val="00A54662"/>
    <w:rsid w:val="00A551B5"/>
    <w:rsid w:val="00A56C20"/>
    <w:rsid w:val="00A56C21"/>
    <w:rsid w:val="00A612D3"/>
    <w:rsid w:val="00A62538"/>
    <w:rsid w:val="00A62951"/>
    <w:rsid w:val="00A64EDF"/>
    <w:rsid w:val="00A65477"/>
    <w:rsid w:val="00A666EB"/>
    <w:rsid w:val="00A67449"/>
    <w:rsid w:val="00A674AE"/>
    <w:rsid w:val="00A70EAB"/>
    <w:rsid w:val="00A71268"/>
    <w:rsid w:val="00A73FB2"/>
    <w:rsid w:val="00A74ADB"/>
    <w:rsid w:val="00A74B8B"/>
    <w:rsid w:val="00A76F1A"/>
    <w:rsid w:val="00A77C1E"/>
    <w:rsid w:val="00A800FA"/>
    <w:rsid w:val="00A82D09"/>
    <w:rsid w:val="00A908D6"/>
    <w:rsid w:val="00A90F43"/>
    <w:rsid w:val="00A91171"/>
    <w:rsid w:val="00A91845"/>
    <w:rsid w:val="00A931C3"/>
    <w:rsid w:val="00A93EDA"/>
    <w:rsid w:val="00A94496"/>
    <w:rsid w:val="00A946D6"/>
    <w:rsid w:val="00A9477B"/>
    <w:rsid w:val="00A96562"/>
    <w:rsid w:val="00A96730"/>
    <w:rsid w:val="00A96853"/>
    <w:rsid w:val="00A972BE"/>
    <w:rsid w:val="00A97CD9"/>
    <w:rsid w:val="00AA1706"/>
    <w:rsid w:val="00AA2DDE"/>
    <w:rsid w:val="00AA5B3A"/>
    <w:rsid w:val="00AA6233"/>
    <w:rsid w:val="00AA7958"/>
    <w:rsid w:val="00AB1CB8"/>
    <w:rsid w:val="00AB39B8"/>
    <w:rsid w:val="00AB47F5"/>
    <w:rsid w:val="00AB690F"/>
    <w:rsid w:val="00AB6FB3"/>
    <w:rsid w:val="00AB71B8"/>
    <w:rsid w:val="00AB75D2"/>
    <w:rsid w:val="00AB7719"/>
    <w:rsid w:val="00AB7B9D"/>
    <w:rsid w:val="00AC18EC"/>
    <w:rsid w:val="00AC32A3"/>
    <w:rsid w:val="00AC3592"/>
    <w:rsid w:val="00AC35A0"/>
    <w:rsid w:val="00AC4FFB"/>
    <w:rsid w:val="00AC64E5"/>
    <w:rsid w:val="00AC713B"/>
    <w:rsid w:val="00AC79A5"/>
    <w:rsid w:val="00AC7C7E"/>
    <w:rsid w:val="00AD0697"/>
    <w:rsid w:val="00AD0969"/>
    <w:rsid w:val="00AD0C5E"/>
    <w:rsid w:val="00AD2ADA"/>
    <w:rsid w:val="00AD3045"/>
    <w:rsid w:val="00AD4F6B"/>
    <w:rsid w:val="00AE4CEC"/>
    <w:rsid w:val="00AE506A"/>
    <w:rsid w:val="00AE74BA"/>
    <w:rsid w:val="00AE794D"/>
    <w:rsid w:val="00AF1F07"/>
    <w:rsid w:val="00AF330E"/>
    <w:rsid w:val="00AF36F4"/>
    <w:rsid w:val="00AF3E6B"/>
    <w:rsid w:val="00B01869"/>
    <w:rsid w:val="00B01AED"/>
    <w:rsid w:val="00B0284F"/>
    <w:rsid w:val="00B058FA"/>
    <w:rsid w:val="00B05CD6"/>
    <w:rsid w:val="00B10CFA"/>
    <w:rsid w:val="00B117BE"/>
    <w:rsid w:val="00B131BF"/>
    <w:rsid w:val="00B13382"/>
    <w:rsid w:val="00B13D14"/>
    <w:rsid w:val="00B15553"/>
    <w:rsid w:val="00B15BBD"/>
    <w:rsid w:val="00B1772E"/>
    <w:rsid w:val="00B17815"/>
    <w:rsid w:val="00B203D1"/>
    <w:rsid w:val="00B214D2"/>
    <w:rsid w:val="00B23B20"/>
    <w:rsid w:val="00B25F8A"/>
    <w:rsid w:val="00B268A8"/>
    <w:rsid w:val="00B277F9"/>
    <w:rsid w:val="00B27A34"/>
    <w:rsid w:val="00B315FC"/>
    <w:rsid w:val="00B319E5"/>
    <w:rsid w:val="00B31F11"/>
    <w:rsid w:val="00B327A1"/>
    <w:rsid w:val="00B32DC1"/>
    <w:rsid w:val="00B33BAA"/>
    <w:rsid w:val="00B35FA3"/>
    <w:rsid w:val="00B37AF8"/>
    <w:rsid w:val="00B429DC"/>
    <w:rsid w:val="00B42A41"/>
    <w:rsid w:val="00B431DA"/>
    <w:rsid w:val="00B449D4"/>
    <w:rsid w:val="00B459D2"/>
    <w:rsid w:val="00B461DB"/>
    <w:rsid w:val="00B464B7"/>
    <w:rsid w:val="00B50940"/>
    <w:rsid w:val="00B50A1E"/>
    <w:rsid w:val="00B50DB2"/>
    <w:rsid w:val="00B524D0"/>
    <w:rsid w:val="00B53475"/>
    <w:rsid w:val="00B54293"/>
    <w:rsid w:val="00B5477E"/>
    <w:rsid w:val="00B54BA1"/>
    <w:rsid w:val="00B5575A"/>
    <w:rsid w:val="00B55843"/>
    <w:rsid w:val="00B55D87"/>
    <w:rsid w:val="00B57CC7"/>
    <w:rsid w:val="00B6061F"/>
    <w:rsid w:val="00B60A7C"/>
    <w:rsid w:val="00B60A8C"/>
    <w:rsid w:val="00B631BC"/>
    <w:rsid w:val="00B63272"/>
    <w:rsid w:val="00B63651"/>
    <w:rsid w:val="00B6516D"/>
    <w:rsid w:val="00B658B6"/>
    <w:rsid w:val="00B658F1"/>
    <w:rsid w:val="00B659A0"/>
    <w:rsid w:val="00B65BF9"/>
    <w:rsid w:val="00B67376"/>
    <w:rsid w:val="00B710AA"/>
    <w:rsid w:val="00B71307"/>
    <w:rsid w:val="00B722A6"/>
    <w:rsid w:val="00B759B2"/>
    <w:rsid w:val="00B77C91"/>
    <w:rsid w:val="00B820D6"/>
    <w:rsid w:val="00B871BB"/>
    <w:rsid w:val="00B877E6"/>
    <w:rsid w:val="00B8792D"/>
    <w:rsid w:val="00B91989"/>
    <w:rsid w:val="00B91F02"/>
    <w:rsid w:val="00B920D8"/>
    <w:rsid w:val="00B92A10"/>
    <w:rsid w:val="00B936D9"/>
    <w:rsid w:val="00B93A28"/>
    <w:rsid w:val="00B95384"/>
    <w:rsid w:val="00BA1510"/>
    <w:rsid w:val="00BA1CAA"/>
    <w:rsid w:val="00BA1FBB"/>
    <w:rsid w:val="00BA36C9"/>
    <w:rsid w:val="00BA52BD"/>
    <w:rsid w:val="00BA697A"/>
    <w:rsid w:val="00BB07C5"/>
    <w:rsid w:val="00BB227D"/>
    <w:rsid w:val="00BB2786"/>
    <w:rsid w:val="00BB286F"/>
    <w:rsid w:val="00BB2C58"/>
    <w:rsid w:val="00BC5373"/>
    <w:rsid w:val="00BD088D"/>
    <w:rsid w:val="00BD0934"/>
    <w:rsid w:val="00BD2E5A"/>
    <w:rsid w:val="00BD347D"/>
    <w:rsid w:val="00BD468B"/>
    <w:rsid w:val="00BD5011"/>
    <w:rsid w:val="00BD6984"/>
    <w:rsid w:val="00BE1141"/>
    <w:rsid w:val="00BE1149"/>
    <w:rsid w:val="00BE2069"/>
    <w:rsid w:val="00BE2E67"/>
    <w:rsid w:val="00BE2F82"/>
    <w:rsid w:val="00BE2F89"/>
    <w:rsid w:val="00BE37FC"/>
    <w:rsid w:val="00BE5DBC"/>
    <w:rsid w:val="00BE68BF"/>
    <w:rsid w:val="00BE7814"/>
    <w:rsid w:val="00BF1562"/>
    <w:rsid w:val="00BF1F44"/>
    <w:rsid w:val="00BF25CB"/>
    <w:rsid w:val="00BF4B2A"/>
    <w:rsid w:val="00BF6793"/>
    <w:rsid w:val="00C02D5B"/>
    <w:rsid w:val="00C03EAE"/>
    <w:rsid w:val="00C070C8"/>
    <w:rsid w:val="00C07432"/>
    <w:rsid w:val="00C0751E"/>
    <w:rsid w:val="00C10AF6"/>
    <w:rsid w:val="00C11D96"/>
    <w:rsid w:val="00C12354"/>
    <w:rsid w:val="00C14D6C"/>
    <w:rsid w:val="00C15B2F"/>
    <w:rsid w:val="00C175C4"/>
    <w:rsid w:val="00C17C48"/>
    <w:rsid w:val="00C202A9"/>
    <w:rsid w:val="00C2132C"/>
    <w:rsid w:val="00C2215E"/>
    <w:rsid w:val="00C2279D"/>
    <w:rsid w:val="00C2349B"/>
    <w:rsid w:val="00C242B0"/>
    <w:rsid w:val="00C242F5"/>
    <w:rsid w:val="00C2545E"/>
    <w:rsid w:val="00C26E48"/>
    <w:rsid w:val="00C277DA"/>
    <w:rsid w:val="00C30D83"/>
    <w:rsid w:val="00C312C5"/>
    <w:rsid w:val="00C3491E"/>
    <w:rsid w:val="00C34F34"/>
    <w:rsid w:val="00C370A2"/>
    <w:rsid w:val="00C3786E"/>
    <w:rsid w:val="00C41BF5"/>
    <w:rsid w:val="00C42383"/>
    <w:rsid w:val="00C42893"/>
    <w:rsid w:val="00C42916"/>
    <w:rsid w:val="00C45175"/>
    <w:rsid w:val="00C46059"/>
    <w:rsid w:val="00C515E5"/>
    <w:rsid w:val="00C52D65"/>
    <w:rsid w:val="00C53A05"/>
    <w:rsid w:val="00C53F42"/>
    <w:rsid w:val="00C54BCF"/>
    <w:rsid w:val="00C57FD9"/>
    <w:rsid w:val="00C6013A"/>
    <w:rsid w:val="00C604E7"/>
    <w:rsid w:val="00C60890"/>
    <w:rsid w:val="00C60DF8"/>
    <w:rsid w:val="00C615A2"/>
    <w:rsid w:val="00C6170C"/>
    <w:rsid w:val="00C631FC"/>
    <w:rsid w:val="00C63E00"/>
    <w:rsid w:val="00C6582E"/>
    <w:rsid w:val="00C66F92"/>
    <w:rsid w:val="00C67182"/>
    <w:rsid w:val="00C67C8E"/>
    <w:rsid w:val="00C71F9D"/>
    <w:rsid w:val="00C75641"/>
    <w:rsid w:val="00C767BB"/>
    <w:rsid w:val="00C76CCE"/>
    <w:rsid w:val="00C814A4"/>
    <w:rsid w:val="00C82EEC"/>
    <w:rsid w:val="00C8329B"/>
    <w:rsid w:val="00C84561"/>
    <w:rsid w:val="00C8574D"/>
    <w:rsid w:val="00C85BB2"/>
    <w:rsid w:val="00C8670A"/>
    <w:rsid w:val="00C916E9"/>
    <w:rsid w:val="00C91D00"/>
    <w:rsid w:val="00C92A81"/>
    <w:rsid w:val="00C94FF3"/>
    <w:rsid w:val="00C95576"/>
    <w:rsid w:val="00CA1CF2"/>
    <w:rsid w:val="00CA1DAD"/>
    <w:rsid w:val="00CA3000"/>
    <w:rsid w:val="00CA3FEF"/>
    <w:rsid w:val="00CA5D39"/>
    <w:rsid w:val="00CA63B4"/>
    <w:rsid w:val="00CB003D"/>
    <w:rsid w:val="00CB088B"/>
    <w:rsid w:val="00CB158A"/>
    <w:rsid w:val="00CB166A"/>
    <w:rsid w:val="00CB24EB"/>
    <w:rsid w:val="00CB7547"/>
    <w:rsid w:val="00CC1670"/>
    <w:rsid w:val="00CC1FE9"/>
    <w:rsid w:val="00CC2B2F"/>
    <w:rsid w:val="00CC7000"/>
    <w:rsid w:val="00CC708B"/>
    <w:rsid w:val="00CC7BB3"/>
    <w:rsid w:val="00CD1D86"/>
    <w:rsid w:val="00CD2FD2"/>
    <w:rsid w:val="00CD4493"/>
    <w:rsid w:val="00CE0991"/>
    <w:rsid w:val="00CE1842"/>
    <w:rsid w:val="00CE2BB3"/>
    <w:rsid w:val="00CE35CD"/>
    <w:rsid w:val="00CE5218"/>
    <w:rsid w:val="00CE5E59"/>
    <w:rsid w:val="00CE5FDA"/>
    <w:rsid w:val="00CE5FF7"/>
    <w:rsid w:val="00CE60BD"/>
    <w:rsid w:val="00CE654F"/>
    <w:rsid w:val="00CE7CA8"/>
    <w:rsid w:val="00CF00C1"/>
    <w:rsid w:val="00CF09D6"/>
    <w:rsid w:val="00CF300F"/>
    <w:rsid w:val="00CF3B95"/>
    <w:rsid w:val="00CF40B9"/>
    <w:rsid w:val="00CF42F5"/>
    <w:rsid w:val="00CF472F"/>
    <w:rsid w:val="00CF4FA2"/>
    <w:rsid w:val="00CF544A"/>
    <w:rsid w:val="00CF5B2E"/>
    <w:rsid w:val="00CF6C36"/>
    <w:rsid w:val="00D00621"/>
    <w:rsid w:val="00D0133F"/>
    <w:rsid w:val="00D01692"/>
    <w:rsid w:val="00D03845"/>
    <w:rsid w:val="00D03DB6"/>
    <w:rsid w:val="00D07D04"/>
    <w:rsid w:val="00D107B5"/>
    <w:rsid w:val="00D11B93"/>
    <w:rsid w:val="00D11E44"/>
    <w:rsid w:val="00D132BB"/>
    <w:rsid w:val="00D13A8E"/>
    <w:rsid w:val="00D146F8"/>
    <w:rsid w:val="00D14BF9"/>
    <w:rsid w:val="00D15F9E"/>
    <w:rsid w:val="00D16DE3"/>
    <w:rsid w:val="00D2015C"/>
    <w:rsid w:val="00D223FB"/>
    <w:rsid w:val="00D24D8C"/>
    <w:rsid w:val="00D253DF"/>
    <w:rsid w:val="00D25B14"/>
    <w:rsid w:val="00D27FAF"/>
    <w:rsid w:val="00D3015F"/>
    <w:rsid w:val="00D30C85"/>
    <w:rsid w:val="00D327E2"/>
    <w:rsid w:val="00D335FB"/>
    <w:rsid w:val="00D33AF5"/>
    <w:rsid w:val="00D350C2"/>
    <w:rsid w:val="00D35DEA"/>
    <w:rsid w:val="00D379EB"/>
    <w:rsid w:val="00D37C75"/>
    <w:rsid w:val="00D4175E"/>
    <w:rsid w:val="00D42968"/>
    <w:rsid w:val="00D44DA0"/>
    <w:rsid w:val="00D45DF1"/>
    <w:rsid w:val="00D466BE"/>
    <w:rsid w:val="00D469BB"/>
    <w:rsid w:val="00D46ADF"/>
    <w:rsid w:val="00D46B14"/>
    <w:rsid w:val="00D46F8C"/>
    <w:rsid w:val="00D47DAE"/>
    <w:rsid w:val="00D52148"/>
    <w:rsid w:val="00D53801"/>
    <w:rsid w:val="00D5427A"/>
    <w:rsid w:val="00D5463B"/>
    <w:rsid w:val="00D55248"/>
    <w:rsid w:val="00D5575A"/>
    <w:rsid w:val="00D57211"/>
    <w:rsid w:val="00D5743D"/>
    <w:rsid w:val="00D57E81"/>
    <w:rsid w:val="00D61449"/>
    <w:rsid w:val="00D640A4"/>
    <w:rsid w:val="00D6468F"/>
    <w:rsid w:val="00D655A4"/>
    <w:rsid w:val="00D67611"/>
    <w:rsid w:val="00D7127E"/>
    <w:rsid w:val="00D71B86"/>
    <w:rsid w:val="00D762B2"/>
    <w:rsid w:val="00D82364"/>
    <w:rsid w:val="00D8287F"/>
    <w:rsid w:val="00D83389"/>
    <w:rsid w:val="00D83B62"/>
    <w:rsid w:val="00D8440D"/>
    <w:rsid w:val="00D86778"/>
    <w:rsid w:val="00D86AC3"/>
    <w:rsid w:val="00D87391"/>
    <w:rsid w:val="00D90FE0"/>
    <w:rsid w:val="00D92B96"/>
    <w:rsid w:val="00D9318E"/>
    <w:rsid w:val="00D9335C"/>
    <w:rsid w:val="00D9359E"/>
    <w:rsid w:val="00D94CB6"/>
    <w:rsid w:val="00D94F64"/>
    <w:rsid w:val="00D954E9"/>
    <w:rsid w:val="00D9716A"/>
    <w:rsid w:val="00DA1F9A"/>
    <w:rsid w:val="00DA4679"/>
    <w:rsid w:val="00DA54A4"/>
    <w:rsid w:val="00DA5D9D"/>
    <w:rsid w:val="00DA63BB"/>
    <w:rsid w:val="00DA6764"/>
    <w:rsid w:val="00DA6BA3"/>
    <w:rsid w:val="00DA78BF"/>
    <w:rsid w:val="00DA79FC"/>
    <w:rsid w:val="00DB163D"/>
    <w:rsid w:val="00DB28A5"/>
    <w:rsid w:val="00DB5A2F"/>
    <w:rsid w:val="00DB5D3C"/>
    <w:rsid w:val="00DB64CB"/>
    <w:rsid w:val="00DB744D"/>
    <w:rsid w:val="00DC25ED"/>
    <w:rsid w:val="00DC4042"/>
    <w:rsid w:val="00DC52B2"/>
    <w:rsid w:val="00DC58D4"/>
    <w:rsid w:val="00DC5B23"/>
    <w:rsid w:val="00DC630B"/>
    <w:rsid w:val="00DC6990"/>
    <w:rsid w:val="00DC6D32"/>
    <w:rsid w:val="00DC7504"/>
    <w:rsid w:val="00DD0A9C"/>
    <w:rsid w:val="00DD235C"/>
    <w:rsid w:val="00DD27F9"/>
    <w:rsid w:val="00DD392E"/>
    <w:rsid w:val="00DD5F94"/>
    <w:rsid w:val="00DE05DE"/>
    <w:rsid w:val="00DE1B01"/>
    <w:rsid w:val="00DE2088"/>
    <w:rsid w:val="00DE21D9"/>
    <w:rsid w:val="00DE473A"/>
    <w:rsid w:val="00DE546E"/>
    <w:rsid w:val="00DE577E"/>
    <w:rsid w:val="00DE5FC6"/>
    <w:rsid w:val="00DE75B8"/>
    <w:rsid w:val="00DF0709"/>
    <w:rsid w:val="00DF1350"/>
    <w:rsid w:val="00DF2147"/>
    <w:rsid w:val="00DF2224"/>
    <w:rsid w:val="00DF2269"/>
    <w:rsid w:val="00DF3195"/>
    <w:rsid w:val="00DF4CC1"/>
    <w:rsid w:val="00DF7FC5"/>
    <w:rsid w:val="00E02F4F"/>
    <w:rsid w:val="00E0342A"/>
    <w:rsid w:val="00E050F9"/>
    <w:rsid w:val="00E072C0"/>
    <w:rsid w:val="00E0732A"/>
    <w:rsid w:val="00E078E0"/>
    <w:rsid w:val="00E1170B"/>
    <w:rsid w:val="00E12627"/>
    <w:rsid w:val="00E12966"/>
    <w:rsid w:val="00E14F58"/>
    <w:rsid w:val="00E15F04"/>
    <w:rsid w:val="00E17DC6"/>
    <w:rsid w:val="00E17F9C"/>
    <w:rsid w:val="00E22354"/>
    <w:rsid w:val="00E22CE0"/>
    <w:rsid w:val="00E23ECF"/>
    <w:rsid w:val="00E25353"/>
    <w:rsid w:val="00E25366"/>
    <w:rsid w:val="00E25BAC"/>
    <w:rsid w:val="00E26491"/>
    <w:rsid w:val="00E26610"/>
    <w:rsid w:val="00E26B67"/>
    <w:rsid w:val="00E271C7"/>
    <w:rsid w:val="00E27576"/>
    <w:rsid w:val="00E35428"/>
    <w:rsid w:val="00E36378"/>
    <w:rsid w:val="00E377B1"/>
    <w:rsid w:val="00E400F6"/>
    <w:rsid w:val="00E40399"/>
    <w:rsid w:val="00E416E9"/>
    <w:rsid w:val="00E42CD0"/>
    <w:rsid w:val="00E454B7"/>
    <w:rsid w:val="00E46A85"/>
    <w:rsid w:val="00E46E2C"/>
    <w:rsid w:val="00E46FB5"/>
    <w:rsid w:val="00E47243"/>
    <w:rsid w:val="00E50221"/>
    <w:rsid w:val="00E51B62"/>
    <w:rsid w:val="00E520D5"/>
    <w:rsid w:val="00E522FC"/>
    <w:rsid w:val="00E52385"/>
    <w:rsid w:val="00E54BB5"/>
    <w:rsid w:val="00E55552"/>
    <w:rsid w:val="00E55A14"/>
    <w:rsid w:val="00E56823"/>
    <w:rsid w:val="00E56A75"/>
    <w:rsid w:val="00E5744F"/>
    <w:rsid w:val="00E61AC7"/>
    <w:rsid w:val="00E622BD"/>
    <w:rsid w:val="00E62A76"/>
    <w:rsid w:val="00E66390"/>
    <w:rsid w:val="00E6793A"/>
    <w:rsid w:val="00E704EC"/>
    <w:rsid w:val="00E75390"/>
    <w:rsid w:val="00E757C5"/>
    <w:rsid w:val="00E7616C"/>
    <w:rsid w:val="00E7636B"/>
    <w:rsid w:val="00E76D80"/>
    <w:rsid w:val="00E77E3A"/>
    <w:rsid w:val="00E81102"/>
    <w:rsid w:val="00E83297"/>
    <w:rsid w:val="00E85A32"/>
    <w:rsid w:val="00E9100A"/>
    <w:rsid w:val="00E918BE"/>
    <w:rsid w:val="00E932A0"/>
    <w:rsid w:val="00E950EA"/>
    <w:rsid w:val="00E9759F"/>
    <w:rsid w:val="00EA07C3"/>
    <w:rsid w:val="00EA1166"/>
    <w:rsid w:val="00EA1569"/>
    <w:rsid w:val="00EA4BB9"/>
    <w:rsid w:val="00EA6147"/>
    <w:rsid w:val="00EA72FE"/>
    <w:rsid w:val="00EA7DB7"/>
    <w:rsid w:val="00EB03D3"/>
    <w:rsid w:val="00EB23AA"/>
    <w:rsid w:val="00EB3F68"/>
    <w:rsid w:val="00EB4BCA"/>
    <w:rsid w:val="00EB6257"/>
    <w:rsid w:val="00EB718B"/>
    <w:rsid w:val="00EB7E1A"/>
    <w:rsid w:val="00EC5680"/>
    <w:rsid w:val="00EC606D"/>
    <w:rsid w:val="00EC6F5F"/>
    <w:rsid w:val="00EC756C"/>
    <w:rsid w:val="00ED5902"/>
    <w:rsid w:val="00ED6161"/>
    <w:rsid w:val="00ED6FB6"/>
    <w:rsid w:val="00EE02C6"/>
    <w:rsid w:val="00EE1A5C"/>
    <w:rsid w:val="00EE27D6"/>
    <w:rsid w:val="00EE2F45"/>
    <w:rsid w:val="00EE397B"/>
    <w:rsid w:val="00EE58CE"/>
    <w:rsid w:val="00EE5D6C"/>
    <w:rsid w:val="00EE6492"/>
    <w:rsid w:val="00EE659F"/>
    <w:rsid w:val="00EE683D"/>
    <w:rsid w:val="00EE6C22"/>
    <w:rsid w:val="00EE7660"/>
    <w:rsid w:val="00EF79EF"/>
    <w:rsid w:val="00F00015"/>
    <w:rsid w:val="00F0175A"/>
    <w:rsid w:val="00F02E46"/>
    <w:rsid w:val="00F03ACE"/>
    <w:rsid w:val="00F04E7E"/>
    <w:rsid w:val="00F06F0D"/>
    <w:rsid w:val="00F07819"/>
    <w:rsid w:val="00F07A3F"/>
    <w:rsid w:val="00F107BA"/>
    <w:rsid w:val="00F12781"/>
    <w:rsid w:val="00F128A1"/>
    <w:rsid w:val="00F13023"/>
    <w:rsid w:val="00F13A6A"/>
    <w:rsid w:val="00F13A81"/>
    <w:rsid w:val="00F1456B"/>
    <w:rsid w:val="00F1613B"/>
    <w:rsid w:val="00F16F7C"/>
    <w:rsid w:val="00F2040C"/>
    <w:rsid w:val="00F204E3"/>
    <w:rsid w:val="00F209A3"/>
    <w:rsid w:val="00F21412"/>
    <w:rsid w:val="00F22017"/>
    <w:rsid w:val="00F23950"/>
    <w:rsid w:val="00F25C32"/>
    <w:rsid w:val="00F27B16"/>
    <w:rsid w:val="00F305C3"/>
    <w:rsid w:val="00F31145"/>
    <w:rsid w:val="00F31442"/>
    <w:rsid w:val="00F31EA8"/>
    <w:rsid w:val="00F322E8"/>
    <w:rsid w:val="00F3326C"/>
    <w:rsid w:val="00F33841"/>
    <w:rsid w:val="00F352E0"/>
    <w:rsid w:val="00F35BCB"/>
    <w:rsid w:val="00F36565"/>
    <w:rsid w:val="00F36F34"/>
    <w:rsid w:val="00F4117B"/>
    <w:rsid w:val="00F41766"/>
    <w:rsid w:val="00F41D70"/>
    <w:rsid w:val="00F4446F"/>
    <w:rsid w:val="00F447F3"/>
    <w:rsid w:val="00F470BB"/>
    <w:rsid w:val="00F502A3"/>
    <w:rsid w:val="00F5122A"/>
    <w:rsid w:val="00F5303E"/>
    <w:rsid w:val="00F540A9"/>
    <w:rsid w:val="00F648FF"/>
    <w:rsid w:val="00F64E01"/>
    <w:rsid w:val="00F65726"/>
    <w:rsid w:val="00F65DA6"/>
    <w:rsid w:val="00F67CEF"/>
    <w:rsid w:val="00F67D83"/>
    <w:rsid w:val="00F74DFB"/>
    <w:rsid w:val="00F75489"/>
    <w:rsid w:val="00F8084F"/>
    <w:rsid w:val="00F80DD4"/>
    <w:rsid w:val="00F82F71"/>
    <w:rsid w:val="00F83458"/>
    <w:rsid w:val="00F8372B"/>
    <w:rsid w:val="00F87EBC"/>
    <w:rsid w:val="00F90E18"/>
    <w:rsid w:val="00F91EEB"/>
    <w:rsid w:val="00F9209A"/>
    <w:rsid w:val="00F936A7"/>
    <w:rsid w:val="00F949E6"/>
    <w:rsid w:val="00F95234"/>
    <w:rsid w:val="00FA07C8"/>
    <w:rsid w:val="00FA093D"/>
    <w:rsid w:val="00FA2F8D"/>
    <w:rsid w:val="00FA3B79"/>
    <w:rsid w:val="00FA3EAD"/>
    <w:rsid w:val="00FA4957"/>
    <w:rsid w:val="00FA60E7"/>
    <w:rsid w:val="00FA6D84"/>
    <w:rsid w:val="00FB0FC7"/>
    <w:rsid w:val="00FB2507"/>
    <w:rsid w:val="00FB42C5"/>
    <w:rsid w:val="00FC1765"/>
    <w:rsid w:val="00FC31F2"/>
    <w:rsid w:val="00FC400A"/>
    <w:rsid w:val="00FC6403"/>
    <w:rsid w:val="00FC6897"/>
    <w:rsid w:val="00FD0282"/>
    <w:rsid w:val="00FD142A"/>
    <w:rsid w:val="00FD1A5B"/>
    <w:rsid w:val="00FD39AD"/>
    <w:rsid w:val="00FD39B1"/>
    <w:rsid w:val="00FD3BDF"/>
    <w:rsid w:val="00FD4895"/>
    <w:rsid w:val="00FD6525"/>
    <w:rsid w:val="00FD799D"/>
    <w:rsid w:val="00FD7D71"/>
    <w:rsid w:val="00FE110B"/>
    <w:rsid w:val="00FE1654"/>
    <w:rsid w:val="00FE46E3"/>
    <w:rsid w:val="00FE55CB"/>
    <w:rsid w:val="00FE6341"/>
    <w:rsid w:val="00FF06ED"/>
    <w:rsid w:val="00FF0C58"/>
    <w:rsid w:val="00FF209B"/>
    <w:rsid w:val="00FF235D"/>
    <w:rsid w:val="00FF2448"/>
    <w:rsid w:val="00FF43C7"/>
    <w:rsid w:val="00FF5564"/>
    <w:rsid w:val="00FF5F6C"/>
    <w:rsid w:val="00FF6C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colormru v:ext="edit" colors="#777877"/>
    </o:shapedefaults>
    <o:shapelayout v:ext="edit">
      <o:idmap v:ext="edit" data="1"/>
    </o:shapelayout>
  </w:shapeDefaults>
  <w:decimalSymbol w:val="."/>
  <w:listSeparator w:val=","/>
  <w15:docId w15:val="{430DA55C-CEA2-44D9-8D81-2812FF29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16"/>
    <w:pPr>
      <w:spacing w:line="260" w:lineRule="atLeast"/>
    </w:pPr>
    <w:rPr>
      <w:rFonts w:ascii="Arial Narrow" w:hAnsi="Arial Narrow"/>
      <w:sz w:val="18"/>
      <w:lang w:eastAsia="en-US"/>
    </w:rPr>
  </w:style>
  <w:style w:type="paragraph" w:styleId="Heading1">
    <w:name w:val="heading 1"/>
    <w:basedOn w:val="Normal"/>
    <w:next w:val="Normal"/>
    <w:link w:val="Heading1Char"/>
    <w:qFormat/>
    <w:rsid w:val="00544223"/>
    <w:pPr>
      <w:keepNext/>
      <w:numPr>
        <w:numId w:val="10"/>
      </w:numPr>
      <w:spacing w:before="240" w:after="120" w:line="320" w:lineRule="atLeast"/>
      <w:outlineLvl w:val="0"/>
    </w:pPr>
    <w:rPr>
      <w:rFonts w:cs="Arial"/>
      <w:b/>
      <w:bCs/>
      <w:caps/>
      <w:color w:val="000000" w:themeColor="text1"/>
      <w:kern w:val="32"/>
      <w:sz w:val="36"/>
      <w:szCs w:val="32"/>
    </w:rPr>
  </w:style>
  <w:style w:type="paragraph" w:styleId="Heading2">
    <w:name w:val="heading 2"/>
    <w:aliases w:val="Heading 2 with number"/>
    <w:basedOn w:val="Heading1"/>
    <w:next w:val="Normal"/>
    <w:link w:val="Heading2Char"/>
    <w:qFormat/>
    <w:rsid w:val="00F107BA"/>
    <w:pPr>
      <w:numPr>
        <w:ilvl w:val="1"/>
      </w:numPr>
      <w:outlineLvl w:val="1"/>
    </w:pPr>
    <w:rPr>
      <w:color w:val="284564"/>
      <w:sz w:val="24"/>
    </w:rPr>
  </w:style>
  <w:style w:type="paragraph" w:styleId="Heading3">
    <w:name w:val="heading 3"/>
    <w:aliases w:val="Heading 3-chart,Headi3"/>
    <w:basedOn w:val="Heading2"/>
    <w:next w:val="Normal"/>
    <w:link w:val="Heading3Char"/>
    <w:autoRedefine/>
    <w:qFormat/>
    <w:rsid w:val="00C84561"/>
    <w:pPr>
      <w:numPr>
        <w:ilvl w:val="0"/>
        <w:numId w:val="0"/>
      </w:numPr>
      <w:spacing w:line="240" w:lineRule="auto"/>
      <w:outlineLvl w:val="2"/>
    </w:pPr>
    <w:rPr>
      <w:rFonts w:asciiTheme="minorHAnsi" w:eastAsia="Arial" w:hAnsiTheme="minorHAnsi"/>
      <w:b w:val="0"/>
      <w:caps w:val="0"/>
      <w:color w:val="000000" w:themeColor="text1"/>
      <w:sz w:val="22"/>
    </w:rPr>
  </w:style>
  <w:style w:type="paragraph" w:styleId="Heading4">
    <w:name w:val="heading 4"/>
    <w:basedOn w:val="Normal"/>
    <w:next w:val="Default"/>
    <w:link w:val="Heading4Char"/>
    <w:qFormat/>
    <w:rsid w:val="00544223"/>
    <w:pPr>
      <w:outlineLvl w:val="3"/>
    </w:pPr>
    <w:rPr>
      <w:b/>
      <w:caps/>
    </w:rPr>
  </w:style>
  <w:style w:type="paragraph" w:styleId="Heading5">
    <w:name w:val="heading 5"/>
    <w:basedOn w:val="Normal"/>
    <w:next w:val="Normal"/>
    <w:link w:val="Heading5Char"/>
    <w:qFormat/>
    <w:locked/>
    <w:rsid w:val="00A61080"/>
    <w:pPr>
      <w:spacing w:before="240" w:after="60"/>
      <w:outlineLvl w:val="4"/>
    </w:pPr>
    <w:rPr>
      <w:b/>
      <w:bCs/>
      <w:i/>
      <w:iCs/>
      <w:sz w:val="26"/>
      <w:szCs w:val="26"/>
    </w:rPr>
  </w:style>
  <w:style w:type="paragraph" w:styleId="Heading6">
    <w:name w:val="heading 6"/>
    <w:basedOn w:val="Normal"/>
    <w:next w:val="Normal"/>
    <w:link w:val="Heading6Char"/>
    <w:qFormat/>
    <w:locked/>
    <w:rsid w:val="00A610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locked/>
    <w:rsid w:val="00A61080"/>
    <w:pPr>
      <w:spacing w:before="240" w:after="60"/>
      <w:outlineLvl w:val="6"/>
    </w:pPr>
    <w:rPr>
      <w:rFonts w:ascii="Times New Roman" w:hAnsi="Times New Roman"/>
      <w:sz w:val="24"/>
    </w:rPr>
  </w:style>
  <w:style w:type="paragraph" w:styleId="Heading8">
    <w:name w:val="heading 8"/>
    <w:basedOn w:val="Normal"/>
    <w:next w:val="Normal"/>
    <w:link w:val="Heading8Char"/>
    <w:qFormat/>
    <w:locked/>
    <w:rsid w:val="00A61080"/>
    <w:p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A61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223"/>
    <w:rPr>
      <w:rFonts w:ascii="Arial Narrow" w:hAnsi="Arial Narrow" w:cs="Arial"/>
      <w:b/>
      <w:bCs/>
      <w:caps/>
      <w:color w:val="000000" w:themeColor="text1"/>
      <w:kern w:val="32"/>
      <w:sz w:val="36"/>
      <w:szCs w:val="32"/>
      <w:lang w:eastAsia="en-US"/>
    </w:rPr>
  </w:style>
  <w:style w:type="character" w:customStyle="1" w:styleId="Heading2Char">
    <w:name w:val="Heading 2 Char"/>
    <w:aliases w:val="Heading 2 with number Char"/>
    <w:basedOn w:val="DefaultParagraphFont"/>
    <w:link w:val="Heading2"/>
    <w:locked/>
    <w:rsid w:val="00F107BA"/>
    <w:rPr>
      <w:rFonts w:ascii="Arial Narrow" w:hAnsi="Arial Narrow" w:cs="Arial"/>
      <w:b/>
      <w:bCs/>
      <w:caps/>
      <w:color w:val="284564"/>
      <w:kern w:val="32"/>
      <w:szCs w:val="32"/>
      <w:lang w:eastAsia="en-US"/>
    </w:rPr>
  </w:style>
  <w:style w:type="character" w:customStyle="1" w:styleId="Heading3Char">
    <w:name w:val="Heading 3 Char"/>
    <w:aliases w:val="Heading 3-chart Char,Headi3 Char"/>
    <w:basedOn w:val="DefaultParagraphFont"/>
    <w:link w:val="Heading3"/>
    <w:locked/>
    <w:rsid w:val="00C84561"/>
    <w:rPr>
      <w:rFonts w:asciiTheme="minorHAnsi" w:eastAsia="Arial" w:hAnsiTheme="minorHAnsi" w:cs="Arial"/>
      <w:bCs/>
      <w:color w:val="000000" w:themeColor="text1"/>
      <w:kern w:val="32"/>
      <w:sz w:val="22"/>
      <w:szCs w:val="32"/>
      <w:lang w:eastAsia="en-US"/>
    </w:rPr>
  </w:style>
  <w:style w:type="paragraph" w:customStyle="1" w:styleId="Default">
    <w:name w:val="Default"/>
    <w:rsid w:val="00A61080"/>
    <w:pPr>
      <w:widowControl w:val="0"/>
      <w:autoSpaceDE w:val="0"/>
      <w:autoSpaceDN w:val="0"/>
      <w:adjustRightInd w:val="0"/>
    </w:pPr>
    <w:rPr>
      <w:rFonts w:ascii="Garamond" w:hAnsi="Garamond" w:cs="Garamond"/>
      <w:lang w:eastAsia="en-US"/>
    </w:rPr>
  </w:style>
  <w:style w:type="character" w:customStyle="1" w:styleId="Heading4Char">
    <w:name w:val="Heading 4 Char"/>
    <w:basedOn w:val="DefaultParagraphFont"/>
    <w:link w:val="Heading4"/>
    <w:locked/>
    <w:rsid w:val="00544223"/>
    <w:rPr>
      <w:rFonts w:ascii="Arial Narrow" w:hAnsi="Arial Narrow"/>
      <w:b/>
      <w:caps/>
      <w:sz w:val="18"/>
      <w:lang w:eastAsia="en-US"/>
    </w:rPr>
  </w:style>
  <w:style w:type="character" w:customStyle="1" w:styleId="Heading5Char">
    <w:name w:val="Heading 5 Char"/>
    <w:basedOn w:val="DefaultParagraphFont"/>
    <w:link w:val="Heading5"/>
    <w:locked/>
    <w:rsid w:val="00A61080"/>
    <w:rPr>
      <w:rFonts w:ascii="Arial Narrow" w:hAnsi="Arial Narrow"/>
      <w:b/>
      <w:bCs/>
      <w:i/>
      <w:iCs/>
      <w:sz w:val="26"/>
      <w:szCs w:val="26"/>
      <w:lang w:eastAsia="en-US"/>
    </w:rPr>
  </w:style>
  <w:style w:type="character" w:customStyle="1" w:styleId="Heading6Char">
    <w:name w:val="Heading 6 Char"/>
    <w:basedOn w:val="DefaultParagraphFont"/>
    <w:link w:val="Heading6"/>
    <w:locked/>
    <w:rsid w:val="00A61080"/>
    <w:rPr>
      <w:b/>
      <w:bCs/>
      <w:sz w:val="22"/>
      <w:szCs w:val="22"/>
      <w:lang w:eastAsia="en-US"/>
    </w:rPr>
  </w:style>
  <w:style w:type="character" w:customStyle="1" w:styleId="Heading7Char">
    <w:name w:val="Heading 7 Char"/>
    <w:basedOn w:val="DefaultParagraphFont"/>
    <w:link w:val="Heading7"/>
    <w:locked/>
    <w:rsid w:val="00A61080"/>
    <w:rPr>
      <w:lang w:eastAsia="en-US"/>
    </w:rPr>
  </w:style>
  <w:style w:type="character" w:customStyle="1" w:styleId="Heading8Char">
    <w:name w:val="Heading 8 Char"/>
    <w:basedOn w:val="DefaultParagraphFont"/>
    <w:link w:val="Heading8"/>
    <w:locked/>
    <w:rsid w:val="00A61080"/>
    <w:rPr>
      <w:i/>
      <w:iCs/>
      <w:lang w:eastAsia="en-US"/>
    </w:rPr>
  </w:style>
  <w:style w:type="character" w:customStyle="1" w:styleId="Heading9Char">
    <w:name w:val="Heading 9 Char"/>
    <w:basedOn w:val="DefaultParagraphFont"/>
    <w:link w:val="Heading9"/>
    <w:locked/>
    <w:rsid w:val="00A61080"/>
    <w:rPr>
      <w:rFonts w:ascii="Arial" w:hAnsi="Arial" w:cs="Arial"/>
      <w:sz w:val="22"/>
      <w:szCs w:val="22"/>
      <w:lang w:eastAsia="en-US"/>
    </w:rPr>
  </w:style>
  <w:style w:type="character" w:styleId="Hyperlink">
    <w:name w:val="Hyperlink"/>
    <w:basedOn w:val="DefaultParagraphFont"/>
    <w:uiPriority w:val="99"/>
    <w:rsid w:val="00A61080"/>
    <w:rPr>
      <w:rFonts w:ascii="Verdana" w:hAnsi="Verdana" w:cs="Times New Roman"/>
      <w:b/>
      <w:color w:val="008CA6"/>
      <w:spacing w:val="8"/>
      <w:sz w:val="20"/>
      <w:u w:val="single"/>
    </w:rPr>
  </w:style>
  <w:style w:type="paragraph" w:styleId="Footer">
    <w:name w:val="footer"/>
    <w:basedOn w:val="Normal"/>
    <w:link w:val="FooterChar"/>
    <w:uiPriority w:val="99"/>
    <w:rsid w:val="00A61080"/>
    <w:pPr>
      <w:tabs>
        <w:tab w:val="center" w:pos="4320"/>
        <w:tab w:val="right" w:pos="8640"/>
      </w:tabs>
      <w:spacing w:line="240" w:lineRule="atLeast"/>
    </w:pPr>
    <w:rPr>
      <w:i/>
      <w:color w:val="003D69"/>
    </w:rPr>
  </w:style>
  <w:style w:type="character" w:customStyle="1" w:styleId="FooterChar">
    <w:name w:val="Footer Char"/>
    <w:basedOn w:val="DefaultParagraphFont"/>
    <w:link w:val="Footer"/>
    <w:uiPriority w:val="99"/>
    <w:locked/>
    <w:rsid w:val="00A61080"/>
    <w:rPr>
      <w:rFonts w:ascii="Verdana" w:hAnsi="Verdana" w:cs="Times New Roman"/>
      <w:sz w:val="24"/>
      <w:szCs w:val="24"/>
    </w:rPr>
  </w:style>
  <w:style w:type="character" w:styleId="PageNumber">
    <w:name w:val="page number"/>
    <w:basedOn w:val="DefaultParagraphFont"/>
    <w:rsid w:val="00A61080"/>
    <w:rPr>
      <w:rFonts w:ascii="Verdana" w:hAnsi="Verdana" w:cs="Times New Roman"/>
      <w:color w:val="131313"/>
      <w:sz w:val="16"/>
    </w:rPr>
  </w:style>
  <w:style w:type="paragraph" w:styleId="BalloonText">
    <w:name w:val="Balloon Text"/>
    <w:basedOn w:val="Normal"/>
    <w:link w:val="BalloonTextChar"/>
    <w:semiHidden/>
    <w:rsid w:val="00A6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80"/>
    <w:rPr>
      <w:rFonts w:cs="Times New Roman"/>
      <w:sz w:val="2"/>
    </w:rPr>
  </w:style>
  <w:style w:type="paragraph" w:customStyle="1" w:styleId="Style1">
    <w:name w:val="Style1"/>
    <w:basedOn w:val="Normal"/>
    <w:uiPriority w:val="99"/>
    <w:rsid w:val="00A61080"/>
    <w:pPr>
      <w:tabs>
        <w:tab w:val="num" w:pos="1440"/>
      </w:tabs>
      <w:ind w:left="1440" w:hanging="360"/>
    </w:pPr>
    <w:rPr>
      <w:sz w:val="20"/>
      <w:szCs w:val="22"/>
    </w:rPr>
  </w:style>
  <w:style w:type="table" w:styleId="TableGrid">
    <w:name w:val="Table Grid"/>
    <w:basedOn w:val="TableNormal"/>
    <w:rsid w:val="00A6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rsid w:val="00653EB7"/>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653EB7"/>
    <w:pPr>
      <w:tabs>
        <w:tab w:val="left" w:pos="810"/>
        <w:tab w:val="right" w:leader="dot" w:pos="7920"/>
      </w:tabs>
      <w:spacing w:after="40"/>
      <w:ind w:left="360" w:right="619"/>
    </w:pPr>
    <w:rPr>
      <w:rFonts w:eastAsiaTheme="minorEastAsia"/>
      <w:bCs/>
      <w:caps/>
      <w:noProof/>
      <w:szCs w:val="22"/>
    </w:rPr>
  </w:style>
  <w:style w:type="paragraph" w:styleId="TOC3">
    <w:name w:val="toc 3"/>
    <w:basedOn w:val="Normal"/>
    <w:next w:val="Normal"/>
    <w:autoRedefine/>
    <w:uiPriority w:val="39"/>
    <w:rsid w:val="00653EB7"/>
    <w:pPr>
      <w:tabs>
        <w:tab w:val="left" w:pos="1440"/>
        <w:tab w:val="right" w:leader="dot" w:pos="7920"/>
      </w:tabs>
      <w:ind w:left="810"/>
    </w:pPr>
    <w:rPr>
      <w:noProof/>
      <w:szCs w:val="20"/>
    </w:rPr>
  </w:style>
  <w:style w:type="paragraph" w:styleId="TOC4">
    <w:name w:val="toc 4"/>
    <w:basedOn w:val="Normal"/>
    <w:next w:val="Normal"/>
    <w:autoRedefine/>
    <w:uiPriority w:val="39"/>
    <w:rsid w:val="00A61080"/>
    <w:pPr>
      <w:ind w:left="540"/>
    </w:pPr>
    <w:rPr>
      <w:rFonts w:ascii="Calibri" w:hAnsi="Calibri"/>
      <w:sz w:val="20"/>
      <w:szCs w:val="20"/>
    </w:rPr>
  </w:style>
  <w:style w:type="paragraph" w:styleId="TOC5">
    <w:name w:val="toc 5"/>
    <w:basedOn w:val="Normal"/>
    <w:next w:val="Normal"/>
    <w:autoRedefine/>
    <w:uiPriority w:val="39"/>
    <w:rsid w:val="00A61080"/>
    <w:pPr>
      <w:ind w:left="720"/>
    </w:pPr>
    <w:rPr>
      <w:rFonts w:ascii="Calibri" w:hAnsi="Calibri"/>
      <w:sz w:val="20"/>
      <w:szCs w:val="20"/>
    </w:rPr>
  </w:style>
  <w:style w:type="paragraph" w:styleId="TOC6">
    <w:name w:val="toc 6"/>
    <w:basedOn w:val="Normal"/>
    <w:next w:val="Normal"/>
    <w:autoRedefine/>
    <w:uiPriority w:val="39"/>
    <w:rsid w:val="00A61080"/>
    <w:pPr>
      <w:ind w:left="900"/>
    </w:pPr>
    <w:rPr>
      <w:rFonts w:ascii="Calibri" w:hAnsi="Calibri"/>
      <w:sz w:val="20"/>
      <w:szCs w:val="20"/>
    </w:rPr>
  </w:style>
  <w:style w:type="paragraph" w:styleId="TOC7">
    <w:name w:val="toc 7"/>
    <w:basedOn w:val="Normal"/>
    <w:next w:val="Normal"/>
    <w:autoRedefine/>
    <w:uiPriority w:val="39"/>
    <w:rsid w:val="00A61080"/>
    <w:pPr>
      <w:ind w:left="1080"/>
    </w:pPr>
    <w:rPr>
      <w:rFonts w:ascii="Calibri" w:hAnsi="Calibri"/>
      <w:sz w:val="20"/>
      <w:szCs w:val="20"/>
    </w:rPr>
  </w:style>
  <w:style w:type="paragraph" w:styleId="TOC8">
    <w:name w:val="toc 8"/>
    <w:basedOn w:val="Normal"/>
    <w:next w:val="Normal"/>
    <w:autoRedefine/>
    <w:uiPriority w:val="39"/>
    <w:rsid w:val="00A61080"/>
    <w:pPr>
      <w:ind w:left="1260"/>
    </w:pPr>
    <w:rPr>
      <w:rFonts w:ascii="Calibri" w:hAnsi="Calibri"/>
      <w:sz w:val="20"/>
      <w:szCs w:val="20"/>
    </w:rPr>
  </w:style>
  <w:style w:type="paragraph" w:styleId="TOC9">
    <w:name w:val="toc 9"/>
    <w:basedOn w:val="Normal"/>
    <w:next w:val="Normal"/>
    <w:autoRedefine/>
    <w:uiPriority w:val="39"/>
    <w:rsid w:val="00A61080"/>
    <w:pPr>
      <w:ind w:left="1440"/>
    </w:pPr>
    <w:rPr>
      <w:rFonts w:ascii="Calibri" w:hAnsi="Calibri"/>
      <w:sz w:val="20"/>
      <w:szCs w:val="20"/>
    </w:rPr>
  </w:style>
  <w:style w:type="character" w:styleId="FollowedHyperlink">
    <w:name w:val="FollowedHyperlink"/>
    <w:basedOn w:val="DefaultParagraphFont"/>
    <w:rsid w:val="00A61080"/>
    <w:rPr>
      <w:rFonts w:ascii="Verdana" w:hAnsi="Verdana" w:cs="Times New Roman"/>
      <w:color w:val="686B6D"/>
      <w:sz w:val="18"/>
      <w:u w:val="single"/>
    </w:rPr>
  </w:style>
  <w:style w:type="paragraph" w:customStyle="1" w:styleId="note">
    <w:name w:val="note"/>
    <w:basedOn w:val="Normal"/>
    <w:uiPriority w:val="99"/>
    <w:rsid w:val="004F22B5"/>
    <w:pPr>
      <w:spacing w:after="40" w:line="180" w:lineRule="atLeast"/>
    </w:pPr>
    <w:rPr>
      <w:sz w:val="15"/>
    </w:rPr>
  </w:style>
  <w:style w:type="paragraph" w:styleId="DocumentMap">
    <w:name w:val="Document Map"/>
    <w:basedOn w:val="Normal"/>
    <w:link w:val="DocumentMapChar"/>
    <w:semiHidden/>
    <w:rsid w:val="00A61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1080"/>
    <w:rPr>
      <w:rFonts w:cs="Times New Roman"/>
      <w:sz w:val="2"/>
    </w:rPr>
  </w:style>
  <w:style w:type="character" w:customStyle="1" w:styleId="Websiteemail">
    <w:name w:val="Website/email"/>
    <w:basedOn w:val="DefaultParagraphFont"/>
    <w:rsid w:val="002C2216"/>
    <w:rPr>
      <w:rFonts w:ascii="Arial Narrow" w:hAnsi="Arial Narrow"/>
      <w:b/>
      <w:color w:val="008CA5"/>
      <w:spacing w:val="8"/>
      <w:sz w:val="18"/>
      <w:u w:val="none"/>
    </w:rPr>
  </w:style>
  <w:style w:type="paragraph" w:customStyle="1" w:styleId="0body">
    <w:name w:val="0 body"/>
    <w:basedOn w:val="ListParagraph"/>
    <w:uiPriority w:val="99"/>
    <w:rsid w:val="00E85C37"/>
    <w:pPr>
      <w:numPr>
        <w:numId w:val="3"/>
      </w:numPr>
      <w:tabs>
        <w:tab w:val="left" w:pos="630"/>
      </w:tabs>
      <w:spacing w:line="220" w:lineRule="atLeast"/>
    </w:pPr>
    <w:rPr>
      <w:szCs w:val="20"/>
    </w:rPr>
  </w:style>
  <w:style w:type="paragraph" w:styleId="ListParagraph">
    <w:name w:val="List Paragraph"/>
    <w:basedOn w:val="Normal"/>
    <w:uiPriority w:val="34"/>
    <w:qFormat/>
    <w:rsid w:val="00CC30F7"/>
    <w:pPr>
      <w:numPr>
        <w:numId w:val="8"/>
      </w:numPr>
      <w:contextualSpacing/>
    </w:pPr>
    <w:rPr>
      <w:lang w:val="sv-SE"/>
    </w:rPr>
  </w:style>
  <w:style w:type="character" w:styleId="CommentReference">
    <w:name w:val="annotation reference"/>
    <w:basedOn w:val="DefaultParagraphFont"/>
    <w:rsid w:val="00A61080"/>
    <w:rPr>
      <w:rFonts w:ascii="Verdana" w:hAnsi="Verdana" w:cs="Times New Roman"/>
      <w:sz w:val="16"/>
      <w:szCs w:val="16"/>
    </w:rPr>
  </w:style>
  <w:style w:type="paragraph" w:styleId="CommentText">
    <w:name w:val="annotation text"/>
    <w:basedOn w:val="Normal"/>
    <w:link w:val="CommentTextChar"/>
    <w:rsid w:val="00A61080"/>
    <w:rPr>
      <w:sz w:val="20"/>
      <w:szCs w:val="20"/>
    </w:rPr>
  </w:style>
  <w:style w:type="character" w:customStyle="1" w:styleId="CommentTextChar">
    <w:name w:val="Comment Text Char"/>
    <w:basedOn w:val="DefaultParagraphFont"/>
    <w:link w:val="CommentText"/>
    <w:locked/>
    <w:rsid w:val="00A61080"/>
    <w:rPr>
      <w:rFonts w:ascii="Verdana" w:hAnsi="Verdana" w:cs="Times New Roman"/>
      <w:lang w:eastAsia="en-US"/>
    </w:rPr>
  </w:style>
  <w:style w:type="paragraph" w:customStyle="1" w:styleId="web">
    <w:name w:val="web"/>
    <w:basedOn w:val="Normal"/>
    <w:uiPriority w:val="99"/>
    <w:rsid w:val="00A61080"/>
    <w:rPr>
      <w:b/>
      <w:color w:val="008CA6"/>
      <w:u w:val="single"/>
    </w:rPr>
  </w:style>
  <w:style w:type="paragraph" w:customStyle="1" w:styleId="body">
    <w:name w:val="body"/>
    <w:basedOn w:val="Normal"/>
    <w:uiPriority w:val="99"/>
    <w:rsid w:val="00EE1E2C"/>
    <w:pPr>
      <w:numPr>
        <w:numId w:val="1"/>
      </w:numPr>
      <w:spacing w:before="40" w:after="40" w:line="220" w:lineRule="atLeast"/>
    </w:pPr>
    <w:rPr>
      <w:szCs w:val="18"/>
    </w:rPr>
  </w:style>
  <w:style w:type="paragraph" w:customStyle="1" w:styleId="chart">
    <w:name w:val="chart"/>
    <w:basedOn w:val="Normal"/>
    <w:uiPriority w:val="99"/>
    <w:rsid w:val="00A61080"/>
    <w:pPr>
      <w:spacing w:line="220" w:lineRule="atLeast"/>
    </w:pPr>
    <w:rPr>
      <w:color w:val="FFFFFF"/>
      <w:szCs w:val="18"/>
    </w:rPr>
  </w:style>
  <w:style w:type="character" w:customStyle="1" w:styleId="A0">
    <w:name w:val="A0"/>
    <w:uiPriority w:val="99"/>
    <w:rsid w:val="00A61080"/>
    <w:rPr>
      <w:color w:val="211D1E"/>
      <w:sz w:val="14"/>
    </w:rPr>
  </w:style>
  <w:style w:type="paragraph" w:customStyle="1" w:styleId="ColorfulList-Accent11">
    <w:name w:val="Colorful List - Accent 11"/>
    <w:basedOn w:val="Normal"/>
    <w:uiPriority w:val="99"/>
    <w:rsid w:val="00A61080"/>
    <w:pPr>
      <w:spacing w:line="240" w:lineRule="auto"/>
      <w:ind w:left="720"/>
      <w:contextualSpacing/>
    </w:pPr>
    <w:rPr>
      <w:color w:val="131313"/>
      <w:sz w:val="20"/>
    </w:rPr>
  </w:style>
  <w:style w:type="paragraph" w:customStyle="1" w:styleId="info">
    <w:name w:val="info"/>
    <w:basedOn w:val="Normal"/>
    <w:uiPriority w:val="99"/>
    <w:rsid w:val="00A61080"/>
    <w:pPr>
      <w:spacing w:after="120" w:line="220" w:lineRule="atLeast"/>
      <w:ind w:left="720"/>
    </w:pPr>
    <w:rPr>
      <w:color w:val="686B6D"/>
      <w:sz w:val="16"/>
      <w:szCs w:val="16"/>
    </w:rPr>
  </w:style>
  <w:style w:type="paragraph" w:customStyle="1" w:styleId="Pa4">
    <w:name w:val="Pa4"/>
    <w:basedOn w:val="Default"/>
    <w:next w:val="Default"/>
    <w:uiPriority w:val="99"/>
    <w:rsid w:val="00A61080"/>
    <w:pPr>
      <w:widowControl/>
      <w:spacing w:line="241" w:lineRule="atLeast"/>
    </w:pPr>
    <w:rPr>
      <w:rFonts w:ascii="New Baskerville" w:hAnsi="New Baskerville" w:cs="Times New Roman"/>
      <w:lang w:eastAsia="zh-CN"/>
    </w:rPr>
  </w:style>
  <w:style w:type="paragraph" w:customStyle="1" w:styleId="Pa2">
    <w:name w:val="Pa2"/>
    <w:basedOn w:val="Default"/>
    <w:next w:val="Default"/>
    <w:uiPriority w:val="99"/>
    <w:rsid w:val="00A61080"/>
    <w:pPr>
      <w:widowControl/>
      <w:spacing w:line="201" w:lineRule="atLeast"/>
    </w:pPr>
    <w:rPr>
      <w:rFonts w:ascii="New Baskerville" w:hAnsi="New Baskerville" w:cs="Times New Roman"/>
      <w:lang w:eastAsia="zh-CN"/>
    </w:rPr>
  </w:style>
  <w:style w:type="paragraph" w:customStyle="1" w:styleId="tablecondtext">
    <w:name w:val="table cond text"/>
    <w:uiPriority w:val="99"/>
    <w:rsid w:val="00A61080"/>
    <w:pPr>
      <w:spacing w:before="40" w:line="216" w:lineRule="exact"/>
    </w:pPr>
    <w:rPr>
      <w:rFonts w:ascii="Arial Narrow" w:eastAsia="MS Mincho" w:hAnsi="Arial Narrow"/>
      <w:color w:val="333333"/>
      <w:spacing w:val="-4"/>
      <w:lang w:eastAsia="en-US"/>
    </w:rPr>
  </w:style>
  <w:style w:type="paragraph" w:customStyle="1" w:styleId="tablebulletcondtext">
    <w:name w:val="table bullet cond text"/>
    <w:uiPriority w:val="99"/>
    <w:rsid w:val="00A61080"/>
    <w:pPr>
      <w:ind w:left="360" w:hanging="360"/>
    </w:pPr>
    <w:rPr>
      <w:rFonts w:ascii="Arial Narrow" w:eastAsia="MS Mincho" w:hAnsi="Arial Narrow"/>
      <w:color w:val="333333"/>
      <w:spacing w:val="-4"/>
      <w:lang w:eastAsia="en-US"/>
    </w:rPr>
  </w:style>
  <w:style w:type="paragraph" w:customStyle="1" w:styleId="HeadersSub">
    <w:name w:val="Header_s.Sub"/>
    <w:qFormat/>
    <w:rsid w:val="00716370"/>
    <w:pPr>
      <w:spacing w:after="120" w:line="260" w:lineRule="atLeast"/>
    </w:pPr>
    <w:rPr>
      <w:rFonts w:ascii="Arial Narrow" w:hAnsi="Arial Narrow" w:cs="Garamond"/>
      <w:b/>
      <w:color w:val="131313"/>
      <w:sz w:val="22"/>
      <w:lang w:eastAsia="en-US"/>
    </w:rPr>
  </w:style>
  <w:style w:type="paragraph" w:customStyle="1" w:styleId="BodyText1">
    <w:name w:val="Body Text1"/>
    <w:basedOn w:val="Normal"/>
    <w:uiPriority w:val="99"/>
    <w:rsid w:val="00541A7E"/>
    <w:rPr>
      <w:szCs w:val="20"/>
    </w:rPr>
  </w:style>
  <w:style w:type="character" w:customStyle="1" w:styleId="DocID">
    <w:name w:val="DocID"/>
    <w:basedOn w:val="DefaultParagraphFont"/>
    <w:uiPriority w:val="99"/>
    <w:rsid w:val="00A61080"/>
    <w:rPr>
      <w:rFonts w:ascii="Arial" w:hAnsi="Arial" w:cs="Arial"/>
      <w:color w:val="000000"/>
      <w:sz w:val="14"/>
      <w:u w:val="none"/>
    </w:rPr>
  </w:style>
  <w:style w:type="paragraph" w:customStyle="1" w:styleId="HeaderSub">
    <w:name w:val="Header_Sub"/>
    <w:qFormat/>
    <w:rsid w:val="00716370"/>
    <w:pPr>
      <w:keepNext/>
      <w:keepLines/>
      <w:spacing w:before="120" w:after="120" w:line="280" w:lineRule="atLeast"/>
    </w:pPr>
    <w:rPr>
      <w:rFonts w:ascii="Arial Narrow" w:hAnsi="Arial Narrow"/>
      <w:b/>
      <w:sz w:val="28"/>
      <w:lang w:eastAsia="en-US"/>
    </w:rPr>
  </w:style>
  <w:style w:type="paragraph" w:customStyle="1" w:styleId="Bold">
    <w:name w:val="Bold"/>
    <w:basedOn w:val="Normal"/>
    <w:qFormat/>
    <w:rsid w:val="00716370"/>
    <w:rPr>
      <w:b/>
      <w:color w:val="000000"/>
    </w:rPr>
  </w:style>
  <w:style w:type="paragraph" w:customStyle="1" w:styleId="BodytextBox">
    <w:name w:val="Body text_Box"/>
    <w:basedOn w:val="Normal"/>
    <w:next w:val="0body"/>
    <w:qFormat/>
    <w:rsid w:val="00716370"/>
    <w:pPr>
      <w:spacing w:line="220" w:lineRule="atLeast"/>
    </w:pPr>
    <w:rPr>
      <w:b/>
    </w:rPr>
  </w:style>
  <w:style w:type="paragraph" w:customStyle="1" w:styleId="body0">
    <w:name w:val="# body"/>
    <w:basedOn w:val="Normal"/>
    <w:qFormat/>
    <w:rsid w:val="00541A7E"/>
    <w:pPr>
      <w:numPr>
        <w:numId w:val="2"/>
      </w:numPr>
    </w:pPr>
    <w:rPr>
      <w:szCs w:val="22"/>
    </w:rPr>
  </w:style>
  <w:style w:type="paragraph" w:styleId="Header">
    <w:name w:val="header"/>
    <w:basedOn w:val="Normal"/>
    <w:link w:val="HeaderChar"/>
    <w:rsid w:val="0051065D"/>
    <w:pPr>
      <w:tabs>
        <w:tab w:val="center" w:pos="4320"/>
        <w:tab w:val="right" w:pos="8640"/>
      </w:tabs>
      <w:spacing w:line="240" w:lineRule="auto"/>
    </w:pPr>
  </w:style>
  <w:style w:type="character" w:customStyle="1" w:styleId="HeaderChar">
    <w:name w:val="Header Char"/>
    <w:basedOn w:val="DefaultParagraphFont"/>
    <w:link w:val="Header"/>
    <w:rsid w:val="0051065D"/>
    <w:rPr>
      <w:rFonts w:ascii="Arial Narrow" w:hAnsi="Arial Narrow"/>
      <w:sz w:val="18"/>
      <w:szCs w:val="24"/>
    </w:rPr>
  </w:style>
  <w:style w:type="character" w:customStyle="1" w:styleId="phonenumber">
    <w:name w:val="phone number"/>
    <w:rsid w:val="00C959C3"/>
    <w:rPr>
      <w:rFonts w:ascii="Arial Narrow" w:hAnsi="Arial Narrow"/>
      <w:b/>
      <w:color w:val="000000"/>
      <w:sz w:val="18"/>
    </w:rPr>
  </w:style>
  <w:style w:type="paragraph" w:customStyle="1" w:styleId="Noparagraphstyle">
    <w:name w:val="[No paragraph style]"/>
    <w:rsid w:val="00B53F9E"/>
    <w:pPr>
      <w:autoSpaceDE w:val="0"/>
      <w:autoSpaceDN w:val="0"/>
      <w:adjustRightInd w:val="0"/>
      <w:spacing w:line="288" w:lineRule="auto"/>
      <w:textAlignment w:val="center"/>
    </w:pPr>
    <w:rPr>
      <w:color w:val="000000"/>
      <w:szCs w:val="20"/>
      <w:lang w:val="sv-SE" w:eastAsia="ja-JP"/>
    </w:rPr>
  </w:style>
  <w:style w:type="paragraph" w:styleId="BodyText">
    <w:name w:val="Body Text"/>
    <w:aliases w:val="Löptext"/>
    <w:basedOn w:val="Normal"/>
    <w:link w:val="BodyTextChar"/>
    <w:rsid w:val="00B53F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ascii="Times New Roman" w:hAnsi="Times New Roman"/>
      <w:sz w:val="22"/>
      <w:szCs w:val="20"/>
      <w:lang w:eastAsia="ja-JP"/>
    </w:rPr>
  </w:style>
  <w:style w:type="character" w:customStyle="1" w:styleId="BodyTextChar">
    <w:name w:val="Body Text Char"/>
    <w:aliases w:val="Löptext Char"/>
    <w:basedOn w:val="DefaultParagraphFont"/>
    <w:link w:val="BodyText"/>
    <w:rsid w:val="00B53F9E"/>
    <w:rPr>
      <w:sz w:val="22"/>
      <w:szCs w:val="20"/>
      <w:lang w:eastAsia="ja-JP"/>
    </w:rPr>
  </w:style>
  <w:style w:type="paragraph" w:customStyle="1" w:styleId="ImageText">
    <w:name w:val="Image Text"/>
    <w:basedOn w:val="BodyText"/>
    <w:rsid w:val="00B53F9E"/>
    <w:pPr>
      <w:keepNext/>
      <w:spacing w:after="60" w:line="200" w:lineRule="exact"/>
    </w:pPr>
    <w:rPr>
      <w:rFonts w:ascii="Verdana" w:hAnsi="Verdana"/>
      <w:sz w:val="16"/>
    </w:rPr>
  </w:style>
  <w:style w:type="paragraph" w:styleId="Index1">
    <w:name w:val="index 1"/>
    <w:basedOn w:val="Normal"/>
    <w:next w:val="Normal"/>
    <w:autoRedefine/>
    <w:rsid w:val="00B53F9E"/>
    <w:pPr>
      <w:ind w:left="200" w:hanging="200"/>
    </w:pPr>
    <w:rPr>
      <w:rFonts w:ascii="Times New Roman" w:hAnsi="Times New Roman"/>
      <w:sz w:val="22"/>
      <w:szCs w:val="20"/>
      <w:lang w:eastAsia="ja-JP"/>
    </w:rPr>
  </w:style>
  <w:style w:type="paragraph" w:styleId="Index2">
    <w:name w:val="index 2"/>
    <w:basedOn w:val="Normal"/>
    <w:next w:val="Normal"/>
    <w:autoRedefine/>
    <w:rsid w:val="00B53F9E"/>
    <w:pPr>
      <w:ind w:left="400" w:hanging="200"/>
    </w:pPr>
    <w:rPr>
      <w:rFonts w:ascii="Times New Roman" w:hAnsi="Times New Roman"/>
      <w:sz w:val="22"/>
      <w:szCs w:val="20"/>
      <w:lang w:eastAsia="ja-JP"/>
    </w:rPr>
  </w:style>
  <w:style w:type="paragraph" w:styleId="Index3">
    <w:name w:val="index 3"/>
    <w:basedOn w:val="Normal"/>
    <w:next w:val="Normal"/>
    <w:autoRedefine/>
    <w:rsid w:val="00B53F9E"/>
    <w:pPr>
      <w:ind w:left="600" w:hanging="200"/>
    </w:pPr>
    <w:rPr>
      <w:rFonts w:ascii="Times New Roman" w:hAnsi="Times New Roman"/>
      <w:sz w:val="22"/>
      <w:szCs w:val="20"/>
      <w:lang w:eastAsia="ja-JP"/>
    </w:rPr>
  </w:style>
  <w:style w:type="paragraph" w:styleId="Index4">
    <w:name w:val="index 4"/>
    <w:basedOn w:val="Normal"/>
    <w:next w:val="Normal"/>
    <w:autoRedefine/>
    <w:rsid w:val="00B53F9E"/>
    <w:pPr>
      <w:ind w:left="800" w:hanging="200"/>
    </w:pPr>
    <w:rPr>
      <w:rFonts w:ascii="Times New Roman" w:hAnsi="Times New Roman"/>
      <w:sz w:val="22"/>
      <w:szCs w:val="20"/>
      <w:lang w:eastAsia="ja-JP"/>
    </w:rPr>
  </w:style>
  <w:style w:type="paragraph" w:styleId="Index5">
    <w:name w:val="index 5"/>
    <w:basedOn w:val="Normal"/>
    <w:next w:val="Normal"/>
    <w:autoRedefine/>
    <w:rsid w:val="00B53F9E"/>
    <w:pPr>
      <w:ind w:left="1000" w:hanging="200"/>
    </w:pPr>
    <w:rPr>
      <w:rFonts w:ascii="Times New Roman" w:hAnsi="Times New Roman"/>
      <w:sz w:val="22"/>
      <w:szCs w:val="20"/>
      <w:lang w:eastAsia="ja-JP"/>
    </w:rPr>
  </w:style>
  <w:style w:type="paragraph" w:styleId="IndexHeading">
    <w:name w:val="index heading"/>
    <w:basedOn w:val="Heading2"/>
    <w:next w:val="Index1"/>
    <w:rsid w:val="00B53F9E"/>
    <w:pPr>
      <w:keepLines/>
    </w:pPr>
    <w:rPr>
      <w:rFonts w:ascii="Verdana" w:hAnsi="Verdana" w:cs="Times New Roman"/>
      <w:bCs w:val="0"/>
      <w:caps w:val="0"/>
      <w:color w:val="auto"/>
      <w:kern w:val="20"/>
      <w:sz w:val="22"/>
      <w:szCs w:val="20"/>
      <w:lang w:eastAsia="ja-JP"/>
    </w:rPr>
  </w:style>
  <w:style w:type="paragraph" w:styleId="ListNumber">
    <w:name w:val="List Number"/>
    <w:basedOn w:val="Normal"/>
    <w:rsid w:val="00B53F9E"/>
    <w:pPr>
      <w:numPr>
        <w:numId w:val="6"/>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rFonts w:ascii="Times New Roman" w:hAnsi="Times New Roman"/>
      <w:sz w:val="22"/>
      <w:szCs w:val="20"/>
      <w:lang w:val="sv-SE" w:eastAsia="ja-JP"/>
    </w:rPr>
  </w:style>
  <w:style w:type="paragraph" w:styleId="ListBullet">
    <w:name w:val="List Bullet"/>
    <w:basedOn w:val="ListNumber"/>
    <w:autoRedefine/>
    <w:rsid w:val="00B53F9E"/>
    <w:pPr>
      <w:numPr>
        <w:numId w:val="7"/>
      </w:numPr>
      <w:tabs>
        <w:tab w:val="clear" w:pos="113"/>
        <w:tab w:val="num" w:pos="195"/>
      </w:tabs>
      <w:ind w:left="195" w:hanging="195"/>
    </w:pPr>
  </w:style>
  <w:style w:type="paragraph" w:customStyle="1" w:styleId="TableHeading1">
    <w:name w:val="Table Heading1"/>
    <w:next w:val="Normal"/>
    <w:rsid w:val="00B53F9E"/>
    <w:pPr>
      <w:spacing w:before="240" w:after="120" w:line="200" w:lineRule="exact"/>
    </w:pPr>
    <w:rPr>
      <w:rFonts w:ascii="Verdana" w:hAnsi="Verdana"/>
      <w:caps/>
      <w:sz w:val="16"/>
      <w:szCs w:val="20"/>
      <w:lang w:eastAsia="ja-JP"/>
    </w:rPr>
  </w:style>
  <w:style w:type="paragraph" w:customStyle="1" w:styleId="TableBodytext">
    <w:name w:val="Table Bodytext"/>
    <w:basedOn w:val="TableHeading1"/>
    <w:rsid w:val="00B53F9E"/>
    <w:pPr>
      <w:spacing w:before="0" w:after="40"/>
    </w:pPr>
    <w:rPr>
      <w:caps w:val="0"/>
    </w:rPr>
  </w:style>
  <w:style w:type="paragraph" w:customStyle="1" w:styleId="TableNumberlist">
    <w:name w:val="Table Numberlist"/>
    <w:basedOn w:val="Normal"/>
    <w:rsid w:val="00B53F9E"/>
    <w:pPr>
      <w:numPr>
        <w:numId w:val="5"/>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B53F9E"/>
    <w:pPr>
      <w:numPr>
        <w:numId w:val="4"/>
      </w:numPr>
      <w:tabs>
        <w:tab w:val="clear" w:pos="308"/>
        <w:tab w:val="clear" w:pos="360"/>
      </w:tabs>
      <w:ind w:left="308" w:hanging="294"/>
    </w:pPr>
  </w:style>
  <w:style w:type="paragraph" w:customStyle="1" w:styleId="TableFooter">
    <w:name w:val="Table Footer"/>
    <w:basedOn w:val="BodyText"/>
    <w:rsid w:val="00B53F9E"/>
    <w:pPr>
      <w:spacing w:before="120" w:line="180" w:lineRule="exact"/>
    </w:pPr>
    <w:rPr>
      <w:rFonts w:ascii="Verdana" w:eastAsia="MS Mincho" w:hAnsi="Verdana"/>
      <w:sz w:val="16"/>
    </w:rPr>
  </w:style>
  <w:style w:type="paragraph" w:customStyle="1" w:styleId="TableHeading2">
    <w:name w:val="Table Heading2"/>
    <w:basedOn w:val="TableHeading1"/>
    <w:rsid w:val="00B53F9E"/>
    <w:pPr>
      <w:spacing w:before="120" w:after="60" w:line="180" w:lineRule="exact"/>
    </w:pPr>
    <w:rPr>
      <w:sz w:val="14"/>
    </w:rPr>
  </w:style>
  <w:style w:type="paragraph" w:styleId="FootnoteText">
    <w:name w:val="footnote text"/>
    <w:basedOn w:val="Normal"/>
    <w:link w:val="FootnoteTextChar"/>
    <w:rsid w:val="00B53F9E"/>
    <w:rPr>
      <w:rFonts w:ascii="Times New Roman" w:hAnsi="Times New Roman"/>
      <w:sz w:val="20"/>
      <w:szCs w:val="20"/>
      <w:lang w:eastAsia="ja-JP"/>
    </w:rPr>
  </w:style>
  <w:style w:type="character" w:customStyle="1" w:styleId="FootnoteTextChar">
    <w:name w:val="Footnote Text Char"/>
    <w:basedOn w:val="DefaultParagraphFont"/>
    <w:link w:val="FootnoteText"/>
    <w:rsid w:val="00B53F9E"/>
    <w:rPr>
      <w:sz w:val="20"/>
      <w:szCs w:val="20"/>
      <w:lang w:eastAsia="ja-JP"/>
    </w:rPr>
  </w:style>
  <w:style w:type="character" w:styleId="FootnoteReference">
    <w:name w:val="footnote reference"/>
    <w:basedOn w:val="DefaultParagraphFont"/>
    <w:rsid w:val="00B53F9E"/>
    <w:rPr>
      <w:vertAlign w:val="superscript"/>
    </w:rPr>
  </w:style>
  <w:style w:type="paragraph" w:styleId="CommentSubject">
    <w:name w:val="annotation subject"/>
    <w:basedOn w:val="CommentText"/>
    <w:next w:val="CommentText"/>
    <w:link w:val="CommentSubjectChar"/>
    <w:rsid w:val="00B53F9E"/>
    <w:rPr>
      <w:rFonts w:ascii="Times New Roman" w:hAnsi="Times New Roman"/>
      <w:b/>
      <w:bCs/>
      <w:lang w:eastAsia="ja-JP"/>
    </w:rPr>
  </w:style>
  <w:style w:type="character" w:customStyle="1" w:styleId="CommentSubjectChar">
    <w:name w:val="Comment Subject Char"/>
    <w:basedOn w:val="CommentTextChar"/>
    <w:link w:val="CommentSubject"/>
    <w:rsid w:val="00B53F9E"/>
    <w:rPr>
      <w:rFonts w:ascii="Verdana" w:hAnsi="Verdana" w:cs="Times New Roman"/>
      <w:b/>
      <w:bCs/>
      <w:sz w:val="20"/>
      <w:szCs w:val="20"/>
      <w:lang w:eastAsia="ja-JP"/>
    </w:rPr>
  </w:style>
  <w:style w:type="paragraph" w:styleId="NormalWeb">
    <w:name w:val="Normal (Web)"/>
    <w:basedOn w:val="Normal"/>
    <w:uiPriority w:val="99"/>
    <w:rsid w:val="00B53F9E"/>
    <w:pPr>
      <w:spacing w:before="100" w:beforeAutospacing="1" w:after="100" w:afterAutospacing="1" w:line="240" w:lineRule="auto"/>
    </w:pPr>
    <w:rPr>
      <w:rFonts w:ascii="Times New Roman" w:hAnsi="Times New Roman"/>
      <w:sz w:val="24"/>
    </w:rPr>
  </w:style>
  <w:style w:type="character" w:styleId="Emphasis">
    <w:name w:val="Emphasis"/>
    <w:basedOn w:val="DefaultParagraphFont"/>
    <w:qFormat/>
    <w:rsid w:val="00B53F9E"/>
    <w:rPr>
      <w:i/>
      <w:iCs/>
    </w:rPr>
  </w:style>
  <w:style w:type="character" w:styleId="Strong">
    <w:name w:val="Strong"/>
    <w:basedOn w:val="DefaultParagraphFont"/>
    <w:qFormat/>
    <w:rsid w:val="00B53F9E"/>
    <w:rPr>
      <w:b/>
      <w:bCs/>
    </w:rPr>
  </w:style>
  <w:style w:type="table" w:styleId="ColorfulGrid-Accent1">
    <w:name w:val="Colorful Grid Accent 1"/>
    <w:basedOn w:val="TableNormal"/>
    <w:uiPriority w:val="73"/>
    <w:rsid w:val="00E40A03"/>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8E1AA7"/>
    <w:pPr>
      <w:spacing w:line="1080" w:lineRule="atLeast"/>
    </w:pPr>
    <w:rPr>
      <w:b/>
      <w:caps/>
      <w:color w:val="777877"/>
      <w:sz w:val="104"/>
    </w:rPr>
  </w:style>
  <w:style w:type="paragraph" w:customStyle="1" w:styleId="Copyright">
    <w:name w:val="Copyright"/>
    <w:autoRedefine/>
    <w:qFormat/>
    <w:rsid w:val="00CB003D"/>
    <w:pPr>
      <w:jc w:val="center"/>
    </w:pPr>
    <w:rPr>
      <w:rFonts w:ascii="Arial Narrow" w:hAnsi="Arial Narrow"/>
      <w:color w:val="000000" w:themeColor="text1"/>
      <w:sz w:val="16"/>
      <w:szCs w:val="18"/>
      <w:lang w:eastAsia="en-US"/>
    </w:rPr>
  </w:style>
  <w:style w:type="paragraph" w:customStyle="1" w:styleId="Default1">
    <w:name w:val="Default1"/>
    <w:basedOn w:val="Default"/>
    <w:next w:val="Default"/>
    <w:rsid w:val="001C5FCD"/>
    <w:pPr>
      <w:widowControl/>
    </w:pPr>
    <w:rPr>
      <w:rFonts w:ascii="Arial Black" w:hAnsi="Arial Black" w:cs="Times New Roman"/>
    </w:rPr>
  </w:style>
  <w:style w:type="paragraph" w:customStyle="1" w:styleId="CM9">
    <w:name w:val="CM9"/>
    <w:basedOn w:val="Normal"/>
    <w:next w:val="Normal"/>
    <w:rsid w:val="00F25C32"/>
    <w:pPr>
      <w:autoSpaceDE w:val="0"/>
      <w:autoSpaceDN w:val="0"/>
      <w:adjustRightInd w:val="0"/>
      <w:spacing w:after="238" w:line="240" w:lineRule="auto"/>
    </w:pPr>
    <w:rPr>
      <w:rFonts w:ascii="Arial Black" w:hAnsi="Arial Black"/>
      <w:sz w:val="24"/>
    </w:rPr>
  </w:style>
  <w:style w:type="paragraph" w:customStyle="1" w:styleId="TableText">
    <w:name w:val="Table Text"/>
    <w:basedOn w:val="Normal"/>
    <w:rsid w:val="005E5900"/>
    <w:pPr>
      <w:spacing w:before="60" w:after="60" w:line="60" w:lineRule="atLeast"/>
    </w:pPr>
    <w:rPr>
      <w:rFonts w:ascii="Times New Roman" w:hAnsi="Times New Roman"/>
      <w:sz w:val="20"/>
      <w:szCs w:val="20"/>
      <w:lang w:val="en-GB"/>
    </w:rPr>
  </w:style>
  <w:style w:type="paragraph" w:styleId="Title">
    <w:name w:val="Title"/>
    <w:basedOn w:val="Heading1"/>
    <w:link w:val="TitleChar"/>
    <w:qFormat/>
    <w:rsid w:val="005E5900"/>
    <w:pPr>
      <w:keepLines/>
      <w:pageBreakBefore/>
      <w:spacing w:before="2480" w:line="340" w:lineRule="atLeast"/>
      <w:outlineLvl w:val="9"/>
    </w:pPr>
    <w:rPr>
      <w:rFonts w:ascii="Verdana" w:hAnsi="Verdana" w:cs="Times New Roman"/>
      <w:bCs w:val="0"/>
      <w:caps w:val="0"/>
      <w:color w:val="auto"/>
      <w:kern w:val="0"/>
      <w:szCs w:val="20"/>
    </w:rPr>
  </w:style>
  <w:style w:type="character" w:customStyle="1" w:styleId="TitleChar">
    <w:name w:val="Title Char"/>
    <w:basedOn w:val="DefaultParagraphFont"/>
    <w:link w:val="Title"/>
    <w:rsid w:val="005E5900"/>
    <w:rPr>
      <w:rFonts w:ascii="Verdana" w:hAnsi="Verdana"/>
      <w:b/>
      <w:sz w:val="36"/>
      <w:szCs w:val="20"/>
      <w:lang w:eastAsia="en-US"/>
    </w:rPr>
  </w:style>
  <w:style w:type="paragraph" w:customStyle="1" w:styleId="TableofContents">
    <w:name w:val="Table of Contents"/>
    <w:basedOn w:val="Heading1"/>
    <w:rsid w:val="005E5900"/>
    <w:pPr>
      <w:keepLines/>
      <w:pageBreakBefore/>
      <w:spacing w:before="360" w:line="340" w:lineRule="atLeast"/>
      <w:outlineLvl w:val="9"/>
    </w:pPr>
    <w:rPr>
      <w:rFonts w:ascii="Verdana" w:hAnsi="Verdana" w:cs="Times New Roman"/>
      <w:bCs w:val="0"/>
      <w:caps w:val="0"/>
      <w:color w:val="auto"/>
      <w:kern w:val="0"/>
      <w:sz w:val="48"/>
      <w:szCs w:val="20"/>
    </w:rPr>
  </w:style>
  <w:style w:type="paragraph" w:customStyle="1" w:styleId="Result">
    <w:name w:val="Result"/>
    <w:basedOn w:val="Normal"/>
    <w:rsid w:val="005E5900"/>
    <w:pPr>
      <w:spacing w:after="120" w:line="240" w:lineRule="auto"/>
      <w:ind w:left="360"/>
    </w:pPr>
    <w:rPr>
      <w:rFonts w:ascii="Times New Roman" w:hAnsi="Times New Roman"/>
      <w:sz w:val="20"/>
      <w:szCs w:val="20"/>
      <w:lang w:val="en-GB"/>
    </w:rPr>
  </w:style>
  <w:style w:type="paragraph" w:customStyle="1" w:styleId="SectionHeading">
    <w:name w:val="Section Heading"/>
    <w:basedOn w:val="Normal"/>
    <w:next w:val="Normal"/>
    <w:rsid w:val="005E5900"/>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5E5900"/>
  </w:style>
  <w:style w:type="paragraph" w:customStyle="1" w:styleId="Indented1">
    <w:name w:val="Indented1"/>
    <w:basedOn w:val="Normal"/>
    <w:rsid w:val="005E5900"/>
    <w:pPr>
      <w:spacing w:after="120" w:line="240" w:lineRule="auto"/>
      <w:ind w:left="360"/>
    </w:pPr>
    <w:rPr>
      <w:rFonts w:ascii="Arial" w:hAnsi="Arial"/>
      <w:sz w:val="20"/>
      <w:szCs w:val="20"/>
      <w:lang w:val="en-GB"/>
    </w:rPr>
  </w:style>
  <w:style w:type="paragraph" w:customStyle="1" w:styleId="Null">
    <w:name w:val="Null"/>
    <w:basedOn w:val="Normal"/>
    <w:rsid w:val="005E5900"/>
    <w:pPr>
      <w:spacing w:line="240" w:lineRule="auto"/>
    </w:pPr>
    <w:rPr>
      <w:rFonts w:ascii="Times New Roman" w:hAnsi="Times New Roman"/>
      <w:sz w:val="20"/>
      <w:szCs w:val="20"/>
      <w:lang w:val="en-GB"/>
    </w:rPr>
  </w:style>
  <w:style w:type="paragraph" w:styleId="NormalIndent">
    <w:name w:val="Normal Indent"/>
    <w:basedOn w:val="Normal"/>
    <w:rsid w:val="005E5900"/>
    <w:pPr>
      <w:spacing w:before="60" w:after="120" w:line="240" w:lineRule="auto"/>
      <w:ind w:left="720"/>
    </w:pPr>
    <w:rPr>
      <w:rFonts w:ascii="Times New Roman" w:hAnsi="Times New Roman"/>
      <w:sz w:val="20"/>
      <w:szCs w:val="20"/>
      <w:lang w:val="en-GB"/>
    </w:rPr>
  </w:style>
  <w:style w:type="paragraph" w:styleId="ListBullet2">
    <w:name w:val="List Bullet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customStyle="1" w:styleId="NUMEX">
    <w:name w:val="NUMEX"/>
    <w:basedOn w:val="Normal"/>
    <w:rsid w:val="005E5900"/>
    <w:pPr>
      <w:tabs>
        <w:tab w:val="left" w:pos="360"/>
        <w:tab w:val="num" w:pos="720"/>
      </w:tabs>
      <w:spacing w:before="60" w:after="120" w:line="240" w:lineRule="auto"/>
      <w:ind w:left="360" w:hanging="360"/>
    </w:pPr>
    <w:rPr>
      <w:rFonts w:ascii="Times New Roman" w:hAnsi="Times New Roman"/>
      <w:noProof/>
      <w:sz w:val="20"/>
      <w:szCs w:val="20"/>
      <w:lang w:val="en-GB"/>
    </w:rPr>
  </w:style>
  <w:style w:type="paragraph" w:customStyle="1" w:styleId="Indented2">
    <w:name w:val="Indented2"/>
    <w:basedOn w:val="Indented1"/>
    <w:rsid w:val="005E5900"/>
    <w:pPr>
      <w:ind w:left="720"/>
    </w:pPr>
  </w:style>
  <w:style w:type="paragraph" w:styleId="MessageHeader">
    <w:name w:val="Message Header"/>
    <w:basedOn w:val="Normal"/>
    <w:link w:val="MessageHeaderChar"/>
    <w:rsid w:val="005E590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hAnsi="Verdana" w:cs="Arial"/>
      <w:sz w:val="24"/>
      <w:lang w:val="en-GB"/>
    </w:rPr>
  </w:style>
  <w:style w:type="character" w:customStyle="1" w:styleId="MessageHeaderChar">
    <w:name w:val="Message Header Char"/>
    <w:basedOn w:val="DefaultParagraphFont"/>
    <w:link w:val="MessageHeader"/>
    <w:rsid w:val="005E5900"/>
    <w:rPr>
      <w:rFonts w:ascii="Verdana" w:hAnsi="Verdana" w:cs="Arial"/>
      <w:shd w:val="pct20" w:color="auto" w:fill="auto"/>
      <w:lang w:val="en-GB" w:eastAsia="en-US"/>
    </w:rPr>
  </w:style>
  <w:style w:type="paragraph" w:customStyle="1" w:styleId="Punktadlista">
    <w:name w:val="Punkt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styleId="ListBullet3">
    <w:name w:val="List Bullet 3"/>
    <w:basedOn w:val="Normal"/>
    <w:autoRedefine/>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Bullet4">
    <w:name w:val="List Bullet 4"/>
    <w:basedOn w:val="Normal"/>
    <w:autoRedefine/>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Bullet5">
    <w:name w:val="List Bullet 5"/>
    <w:basedOn w:val="Normal"/>
    <w:autoRedefine/>
    <w:rsid w:val="005E5900"/>
    <w:pPr>
      <w:tabs>
        <w:tab w:val="num" w:pos="1492"/>
      </w:tabs>
      <w:spacing w:before="60" w:after="120" w:line="240" w:lineRule="auto"/>
      <w:ind w:left="1492" w:hanging="360"/>
    </w:pPr>
    <w:rPr>
      <w:rFonts w:ascii="Times New Roman" w:hAnsi="Times New Roman"/>
      <w:sz w:val="20"/>
      <w:szCs w:val="20"/>
      <w:lang w:val="en-GB"/>
    </w:rPr>
  </w:style>
  <w:style w:type="paragraph" w:styleId="ListNumber2">
    <w:name w:val="List Number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styleId="ListNumber3">
    <w:name w:val="List Number 3"/>
    <w:basedOn w:val="Normal"/>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Number4">
    <w:name w:val="List Number 4"/>
    <w:basedOn w:val="Normal"/>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Number5">
    <w:name w:val="List Number 5"/>
    <w:basedOn w:val="Normal"/>
    <w:rsid w:val="005E5900"/>
    <w:pPr>
      <w:tabs>
        <w:tab w:val="num" w:pos="1492"/>
      </w:tabs>
      <w:spacing w:before="60" w:after="120" w:line="240" w:lineRule="auto"/>
      <w:ind w:left="1492" w:hanging="360"/>
    </w:pPr>
    <w:rPr>
      <w:rFonts w:ascii="Times New Roman" w:hAnsi="Times New Roman"/>
      <w:sz w:val="20"/>
      <w:szCs w:val="20"/>
      <w:lang w:val="en-GB"/>
    </w:rPr>
  </w:style>
  <w:style w:type="paragraph" w:customStyle="1" w:styleId="Numreradlista">
    <w:name w:val="Numrer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customStyle="1" w:styleId="Computertext">
    <w:name w:val="Computer text"/>
    <w:basedOn w:val="Normal"/>
    <w:rsid w:val="005E5900"/>
    <w:pPr>
      <w:keepLines/>
      <w:ind w:left="567"/>
    </w:pPr>
    <w:rPr>
      <w:rFonts w:ascii="Courier" w:hAnsi="Courier"/>
      <w:szCs w:val="20"/>
    </w:rPr>
  </w:style>
  <w:style w:type="paragraph" w:customStyle="1" w:styleId="Preformatted">
    <w:name w:val="Preformatted"/>
    <w:basedOn w:val="Normal"/>
    <w:rsid w:val="005E5900"/>
    <w:pPr>
      <w:numPr>
        <w:ilvl w:val="12"/>
      </w:numPr>
      <w:tabs>
        <w:tab w:val="left" w:pos="720"/>
      </w:tabs>
      <w:spacing w:line="240" w:lineRule="auto"/>
    </w:pPr>
    <w:rPr>
      <w:rFonts w:ascii="Courier" w:hAnsi="Courier"/>
      <w:sz w:val="20"/>
      <w:szCs w:val="20"/>
      <w:lang w:val="en-GB"/>
    </w:rPr>
  </w:style>
  <w:style w:type="paragraph" w:customStyle="1" w:styleId="tabletext0">
    <w:name w:val="table text"/>
    <w:basedOn w:val="Normal"/>
    <w:rsid w:val="005E5900"/>
    <w:pPr>
      <w:keepLines/>
      <w:spacing w:before="20" w:after="20" w:line="240" w:lineRule="atLeast"/>
    </w:pPr>
    <w:rPr>
      <w:rFonts w:ascii="Times New Roman" w:hAnsi="Times New Roman"/>
      <w:sz w:val="20"/>
      <w:szCs w:val="20"/>
      <w:lang w:val="sv-SE"/>
    </w:rPr>
  </w:style>
  <w:style w:type="paragraph" w:customStyle="1" w:styleId="Reference">
    <w:name w:val="Reference"/>
    <w:basedOn w:val="ListBullet2"/>
    <w:autoRedefine/>
    <w:rsid w:val="005E5900"/>
    <w:pPr>
      <w:tabs>
        <w:tab w:val="clear" w:pos="643"/>
      </w:tabs>
      <w:ind w:left="0" w:firstLine="0"/>
    </w:pPr>
    <w:rPr>
      <w:i/>
    </w:rPr>
  </w:style>
  <w:style w:type="paragraph" w:customStyle="1" w:styleId="OM-Bulletlist10p">
    <w:name w:val="OM - Bullet list 10p"/>
    <w:basedOn w:val="Normal"/>
    <w:autoRedefine/>
    <w:rsid w:val="005E5900"/>
    <w:pPr>
      <w:tabs>
        <w:tab w:val="num" w:pos="360"/>
      </w:tabs>
      <w:spacing w:before="60" w:after="60" w:line="240" w:lineRule="auto"/>
      <w:ind w:left="360" w:hanging="360"/>
    </w:pPr>
    <w:rPr>
      <w:rFonts w:ascii="Times New Roman" w:hAnsi="Times New Roman"/>
      <w:sz w:val="20"/>
      <w:szCs w:val="20"/>
    </w:rPr>
  </w:style>
  <w:style w:type="paragraph" w:customStyle="1" w:styleId="dt">
    <w:name w:val="dt"/>
    <w:basedOn w:val="Normal"/>
    <w:rsid w:val="005E5900"/>
    <w:pPr>
      <w:spacing w:after="60" w:line="240" w:lineRule="auto"/>
      <w:ind w:left="567"/>
    </w:pPr>
    <w:rPr>
      <w:rFonts w:ascii="Times New Roman" w:hAnsi="Times New Roman"/>
      <w:sz w:val="20"/>
      <w:szCs w:val="20"/>
    </w:rPr>
  </w:style>
  <w:style w:type="paragraph" w:customStyle="1" w:styleId="t">
    <w:name w:val="t"/>
    <w:basedOn w:val="Normal"/>
    <w:rsid w:val="005E5900"/>
    <w:pPr>
      <w:spacing w:before="60" w:line="240" w:lineRule="auto"/>
    </w:pPr>
    <w:rPr>
      <w:rFonts w:ascii="Times New Roman" w:hAnsi="Times New Roman"/>
      <w:i/>
      <w:sz w:val="20"/>
      <w:szCs w:val="20"/>
    </w:rPr>
  </w:style>
  <w:style w:type="paragraph" w:customStyle="1" w:styleId="OM-bodydense">
    <w:name w:val="OM - bodydense"/>
    <w:basedOn w:val="Normal"/>
    <w:rsid w:val="005E5900"/>
    <w:pPr>
      <w:spacing w:after="40" w:line="240" w:lineRule="auto"/>
    </w:pPr>
    <w:rPr>
      <w:rFonts w:ascii="Times New Roman" w:hAnsi="Times New Roman"/>
      <w:sz w:val="22"/>
      <w:szCs w:val="20"/>
    </w:rPr>
  </w:style>
  <w:style w:type="paragraph" w:customStyle="1" w:styleId="OM-pTabletext">
    <w:name w:val="OM - p_Table text"/>
    <w:basedOn w:val="Normal"/>
    <w:autoRedefine/>
    <w:rsid w:val="005E5900"/>
    <w:pPr>
      <w:tabs>
        <w:tab w:val="left" w:pos="1138"/>
      </w:tabs>
      <w:spacing w:before="60" w:after="20" w:line="60" w:lineRule="atLeast"/>
    </w:pPr>
    <w:rPr>
      <w:rFonts w:ascii="Times New Roman" w:hAnsi="Times New Roman"/>
      <w:sz w:val="20"/>
      <w:szCs w:val="20"/>
    </w:rPr>
  </w:style>
  <w:style w:type="paragraph" w:customStyle="1" w:styleId="OM-pHeading2">
    <w:name w:val="OM - p_Heading 2"/>
    <w:basedOn w:val="Normal"/>
    <w:next w:val="Normal"/>
    <w:rsid w:val="005E5900"/>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5E5900"/>
    <w:pPr>
      <w:tabs>
        <w:tab w:val="left" w:pos="1009"/>
      </w:tabs>
      <w:spacing w:before="240" w:after="60" w:line="240" w:lineRule="atLeast"/>
      <w:outlineLvl w:val="2"/>
    </w:pPr>
    <w:rPr>
      <w:sz w:val="24"/>
    </w:rPr>
  </w:style>
  <w:style w:type="paragraph" w:customStyle="1" w:styleId="Content">
    <w:name w:val="Content"/>
    <w:basedOn w:val="Normal"/>
    <w:autoRedefine/>
    <w:rsid w:val="005E5900"/>
    <w:pPr>
      <w:keepNext/>
      <w:tabs>
        <w:tab w:val="left" w:pos="0"/>
      </w:tabs>
      <w:spacing w:before="60" w:after="240" w:line="240" w:lineRule="auto"/>
      <w:ind w:left="-1701"/>
    </w:pPr>
    <w:rPr>
      <w:rFonts w:ascii="Verdana" w:hAnsi="Verdana"/>
      <w:b/>
      <w:sz w:val="48"/>
      <w:szCs w:val="20"/>
      <w:lang w:val="en-GB"/>
    </w:rPr>
  </w:style>
  <w:style w:type="paragraph" w:styleId="BlockText">
    <w:name w:val="Block Text"/>
    <w:basedOn w:val="Normal"/>
    <w:rsid w:val="005E5900"/>
    <w:pPr>
      <w:spacing w:before="60" w:after="120" w:line="240" w:lineRule="auto"/>
      <w:ind w:left="1440" w:right="1440"/>
    </w:pPr>
    <w:rPr>
      <w:rFonts w:ascii="Times New Roman" w:hAnsi="Times New Roman"/>
      <w:sz w:val="20"/>
      <w:szCs w:val="20"/>
      <w:lang w:val="en-GB"/>
    </w:rPr>
  </w:style>
  <w:style w:type="paragraph" w:styleId="BodyText2">
    <w:name w:val="Body Text 2"/>
    <w:basedOn w:val="Normal"/>
    <w:link w:val="BodyText2Char"/>
    <w:rsid w:val="005E5900"/>
    <w:pPr>
      <w:spacing w:before="60"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rsid w:val="005E5900"/>
    <w:rPr>
      <w:sz w:val="20"/>
      <w:szCs w:val="20"/>
      <w:lang w:val="en-GB" w:eastAsia="en-US"/>
    </w:rPr>
  </w:style>
  <w:style w:type="paragraph" w:styleId="BodyText3">
    <w:name w:val="Body Text 3"/>
    <w:basedOn w:val="Normal"/>
    <w:link w:val="BodyText3Char"/>
    <w:rsid w:val="005E5900"/>
    <w:pPr>
      <w:spacing w:before="60"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E5900"/>
    <w:rPr>
      <w:sz w:val="16"/>
      <w:szCs w:val="16"/>
      <w:lang w:val="en-GB" w:eastAsia="en-US"/>
    </w:rPr>
  </w:style>
  <w:style w:type="paragraph" w:styleId="BodyTextFirstIndent">
    <w:name w:val="Body Text First Indent"/>
    <w:basedOn w:val="BodyText"/>
    <w:link w:val="BodyTextFirstIndentChar"/>
    <w:rsid w:val="005E59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after="120" w:line="240" w:lineRule="auto"/>
    </w:pPr>
    <w:rPr>
      <w:sz w:val="20"/>
      <w:lang w:val="en-GB" w:eastAsia="en-US"/>
    </w:rPr>
  </w:style>
  <w:style w:type="character" w:customStyle="1" w:styleId="BodyTextFirstIndentChar">
    <w:name w:val="Body Text First Indent Char"/>
    <w:basedOn w:val="BodyTextChar"/>
    <w:link w:val="BodyTextFirstIndent"/>
    <w:rsid w:val="005E5900"/>
    <w:rPr>
      <w:sz w:val="20"/>
      <w:szCs w:val="20"/>
      <w:lang w:val="en-GB" w:eastAsia="en-US"/>
    </w:rPr>
  </w:style>
  <w:style w:type="paragraph" w:styleId="BodyTextIndent">
    <w:name w:val="Body Text Indent"/>
    <w:basedOn w:val="Normal"/>
    <w:link w:val="BodyTextIndentChar"/>
    <w:rsid w:val="005E5900"/>
    <w:pPr>
      <w:spacing w:before="60" w:after="120" w:line="240" w:lineRule="auto"/>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5E5900"/>
    <w:rPr>
      <w:sz w:val="20"/>
      <w:szCs w:val="20"/>
      <w:lang w:val="en-GB" w:eastAsia="en-US"/>
    </w:rPr>
  </w:style>
  <w:style w:type="paragraph" w:styleId="BodyTextFirstIndent2">
    <w:name w:val="Body Text First Indent 2"/>
    <w:basedOn w:val="BodyTextIndent"/>
    <w:link w:val="BodyTextFirstIndent2Char"/>
    <w:rsid w:val="005E5900"/>
    <w:pPr>
      <w:ind w:firstLine="210"/>
    </w:pPr>
  </w:style>
  <w:style w:type="character" w:customStyle="1" w:styleId="BodyTextFirstIndent2Char">
    <w:name w:val="Body Text First Indent 2 Char"/>
    <w:basedOn w:val="BodyTextIndentChar"/>
    <w:link w:val="BodyTextFirstIndent2"/>
    <w:rsid w:val="005E5900"/>
    <w:rPr>
      <w:sz w:val="20"/>
      <w:szCs w:val="20"/>
      <w:lang w:val="en-GB" w:eastAsia="en-US"/>
    </w:rPr>
  </w:style>
  <w:style w:type="paragraph" w:styleId="BodyTextIndent2">
    <w:name w:val="Body Text Indent 2"/>
    <w:basedOn w:val="Normal"/>
    <w:link w:val="BodyTextIndent2Char"/>
    <w:rsid w:val="005E5900"/>
    <w:pPr>
      <w:spacing w:before="60"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5E5900"/>
    <w:rPr>
      <w:sz w:val="20"/>
      <w:szCs w:val="20"/>
      <w:lang w:val="en-GB" w:eastAsia="en-US"/>
    </w:rPr>
  </w:style>
  <w:style w:type="paragraph" w:styleId="BodyTextIndent3">
    <w:name w:val="Body Text Indent 3"/>
    <w:basedOn w:val="Normal"/>
    <w:link w:val="BodyTextIndent3Char"/>
    <w:rsid w:val="005E5900"/>
    <w:pPr>
      <w:spacing w:before="60"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5E5900"/>
    <w:rPr>
      <w:sz w:val="16"/>
      <w:szCs w:val="16"/>
      <w:lang w:val="en-GB" w:eastAsia="en-US"/>
    </w:rPr>
  </w:style>
  <w:style w:type="paragraph" w:styleId="Caption">
    <w:name w:val="caption"/>
    <w:basedOn w:val="Normal"/>
    <w:next w:val="Normal"/>
    <w:qFormat/>
    <w:rsid w:val="005E5900"/>
    <w:pPr>
      <w:spacing w:before="120" w:after="120" w:line="240" w:lineRule="auto"/>
    </w:pPr>
    <w:rPr>
      <w:rFonts w:ascii="Times New Roman" w:hAnsi="Times New Roman"/>
      <w:b/>
      <w:bCs/>
      <w:sz w:val="20"/>
      <w:szCs w:val="20"/>
      <w:lang w:val="en-GB"/>
    </w:rPr>
  </w:style>
  <w:style w:type="paragraph" w:styleId="Closing">
    <w:name w:val="Closing"/>
    <w:basedOn w:val="Normal"/>
    <w:link w:val="ClosingChar"/>
    <w:rsid w:val="005E5900"/>
    <w:pPr>
      <w:spacing w:before="60" w:after="120" w:line="240" w:lineRule="auto"/>
      <w:ind w:left="4252"/>
    </w:pPr>
    <w:rPr>
      <w:rFonts w:ascii="Times New Roman" w:hAnsi="Times New Roman"/>
      <w:sz w:val="20"/>
      <w:szCs w:val="20"/>
      <w:lang w:val="en-GB"/>
    </w:rPr>
  </w:style>
  <w:style w:type="character" w:customStyle="1" w:styleId="ClosingChar">
    <w:name w:val="Closing Char"/>
    <w:basedOn w:val="DefaultParagraphFont"/>
    <w:link w:val="Closing"/>
    <w:rsid w:val="005E5900"/>
    <w:rPr>
      <w:sz w:val="20"/>
      <w:szCs w:val="20"/>
      <w:lang w:val="en-GB" w:eastAsia="en-US"/>
    </w:rPr>
  </w:style>
  <w:style w:type="paragraph" w:styleId="Date">
    <w:name w:val="Date"/>
    <w:basedOn w:val="Normal"/>
    <w:next w:val="Normal"/>
    <w:link w:val="DateChar"/>
    <w:rsid w:val="005E5900"/>
    <w:pPr>
      <w:spacing w:before="60" w:after="120" w:line="240" w:lineRule="auto"/>
    </w:pPr>
    <w:rPr>
      <w:rFonts w:ascii="Times New Roman" w:hAnsi="Times New Roman"/>
      <w:sz w:val="20"/>
      <w:szCs w:val="20"/>
      <w:lang w:val="en-GB"/>
    </w:rPr>
  </w:style>
  <w:style w:type="character" w:customStyle="1" w:styleId="DateChar">
    <w:name w:val="Date Char"/>
    <w:basedOn w:val="DefaultParagraphFont"/>
    <w:link w:val="Date"/>
    <w:rsid w:val="005E5900"/>
    <w:rPr>
      <w:sz w:val="20"/>
      <w:szCs w:val="20"/>
      <w:lang w:val="en-GB" w:eastAsia="en-US"/>
    </w:rPr>
  </w:style>
  <w:style w:type="paragraph" w:styleId="E-mailSignature">
    <w:name w:val="E-mail Signature"/>
    <w:basedOn w:val="Normal"/>
    <w:link w:val="E-mailSignatureChar"/>
    <w:rsid w:val="005E5900"/>
    <w:pPr>
      <w:spacing w:before="60" w:after="120" w:line="240" w:lineRule="auto"/>
    </w:pPr>
    <w:rPr>
      <w:rFonts w:ascii="Times New Roman" w:hAnsi="Times New Roman"/>
      <w:sz w:val="20"/>
      <w:szCs w:val="20"/>
      <w:lang w:val="en-GB"/>
    </w:rPr>
  </w:style>
  <w:style w:type="character" w:customStyle="1" w:styleId="E-mailSignatureChar">
    <w:name w:val="E-mail Signature Char"/>
    <w:basedOn w:val="DefaultParagraphFont"/>
    <w:link w:val="E-mailSignature"/>
    <w:rsid w:val="005E5900"/>
    <w:rPr>
      <w:sz w:val="20"/>
      <w:szCs w:val="20"/>
      <w:lang w:val="en-GB" w:eastAsia="en-US"/>
    </w:rPr>
  </w:style>
  <w:style w:type="paragraph" w:styleId="EndnoteText">
    <w:name w:val="endnote text"/>
    <w:basedOn w:val="Normal"/>
    <w:link w:val="EndnoteTextChar"/>
    <w:rsid w:val="005E5900"/>
    <w:pPr>
      <w:spacing w:before="60" w:after="12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5E5900"/>
    <w:rPr>
      <w:sz w:val="20"/>
      <w:szCs w:val="20"/>
      <w:lang w:val="en-GB" w:eastAsia="en-US"/>
    </w:rPr>
  </w:style>
  <w:style w:type="paragraph" w:styleId="EnvelopeAddress">
    <w:name w:val="envelope address"/>
    <w:basedOn w:val="Normal"/>
    <w:rsid w:val="005E5900"/>
    <w:pPr>
      <w:framePr w:w="7920" w:h="1980" w:hRule="exact" w:hSpace="180" w:wrap="auto" w:hAnchor="page" w:xAlign="center" w:yAlign="bottom"/>
      <w:spacing w:before="60" w:after="120" w:line="240" w:lineRule="auto"/>
      <w:ind w:left="2880"/>
    </w:pPr>
    <w:rPr>
      <w:rFonts w:ascii="Arial" w:hAnsi="Arial" w:cs="Arial"/>
      <w:sz w:val="24"/>
      <w:lang w:val="en-GB"/>
    </w:rPr>
  </w:style>
  <w:style w:type="paragraph" w:styleId="EnvelopeReturn">
    <w:name w:val="envelope return"/>
    <w:basedOn w:val="Normal"/>
    <w:rsid w:val="005E5900"/>
    <w:pPr>
      <w:spacing w:before="60" w:after="120" w:line="240" w:lineRule="auto"/>
    </w:pPr>
    <w:rPr>
      <w:rFonts w:ascii="Arial" w:hAnsi="Arial" w:cs="Arial"/>
      <w:sz w:val="20"/>
      <w:szCs w:val="20"/>
      <w:lang w:val="en-GB"/>
    </w:rPr>
  </w:style>
  <w:style w:type="paragraph" w:styleId="HTMLAddress">
    <w:name w:val="HTML Address"/>
    <w:basedOn w:val="Normal"/>
    <w:link w:val="HTMLAddressChar"/>
    <w:rsid w:val="005E5900"/>
    <w:pPr>
      <w:spacing w:before="60" w:after="120" w:line="240" w:lineRule="auto"/>
    </w:pPr>
    <w:rPr>
      <w:rFonts w:ascii="Times New Roman" w:hAnsi="Times New Roman"/>
      <w:i/>
      <w:iCs/>
      <w:sz w:val="20"/>
      <w:szCs w:val="20"/>
      <w:lang w:val="en-GB"/>
    </w:rPr>
  </w:style>
  <w:style w:type="character" w:customStyle="1" w:styleId="HTMLAddressChar">
    <w:name w:val="HTML Address Char"/>
    <w:basedOn w:val="DefaultParagraphFont"/>
    <w:link w:val="HTMLAddress"/>
    <w:rsid w:val="005E5900"/>
    <w:rPr>
      <w:i/>
      <w:iCs/>
      <w:sz w:val="20"/>
      <w:szCs w:val="20"/>
      <w:lang w:val="en-GB" w:eastAsia="en-US"/>
    </w:rPr>
  </w:style>
  <w:style w:type="paragraph" w:styleId="HTMLPreformatted">
    <w:name w:val="HTML Preformatted"/>
    <w:basedOn w:val="Normal"/>
    <w:link w:val="HTMLPreformattedChar"/>
    <w:rsid w:val="005E5900"/>
    <w:pPr>
      <w:spacing w:before="60" w:after="12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5E5900"/>
    <w:rPr>
      <w:rFonts w:ascii="Courier New" w:hAnsi="Courier New" w:cs="Courier New"/>
      <w:sz w:val="20"/>
      <w:szCs w:val="20"/>
      <w:lang w:val="en-GB" w:eastAsia="en-US"/>
    </w:rPr>
  </w:style>
  <w:style w:type="paragraph" w:styleId="Index6">
    <w:name w:val="index 6"/>
    <w:basedOn w:val="Normal"/>
    <w:next w:val="Normal"/>
    <w:autoRedefine/>
    <w:rsid w:val="005E5900"/>
    <w:pPr>
      <w:spacing w:before="60" w:after="120" w:line="240" w:lineRule="auto"/>
      <w:ind w:left="1200" w:hanging="200"/>
    </w:pPr>
    <w:rPr>
      <w:rFonts w:ascii="Times New Roman" w:hAnsi="Times New Roman"/>
      <w:sz w:val="20"/>
      <w:szCs w:val="20"/>
      <w:lang w:val="en-GB"/>
    </w:rPr>
  </w:style>
  <w:style w:type="paragraph" w:styleId="Index7">
    <w:name w:val="index 7"/>
    <w:basedOn w:val="Normal"/>
    <w:next w:val="Normal"/>
    <w:autoRedefine/>
    <w:rsid w:val="005E5900"/>
    <w:pPr>
      <w:spacing w:before="60" w:after="120" w:line="240" w:lineRule="auto"/>
      <w:ind w:left="1400" w:hanging="200"/>
    </w:pPr>
    <w:rPr>
      <w:rFonts w:ascii="Times New Roman" w:hAnsi="Times New Roman"/>
      <w:sz w:val="20"/>
      <w:szCs w:val="20"/>
      <w:lang w:val="en-GB"/>
    </w:rPr>
  </w:style>
  <w:style w:type="paragraph" w:styleId="Index8">
    <w:name w:val="index 8"/>
    <w:basedOn w:val="Normal"/>
    <w:next w:val="Normal"/>
    <w:autoRedefine/>
    <w:rsid w:val="005E5900"/>
    <w:pPr>
      <w:spacing w:before="60" w:after="120" w:line="240" w:lineRule="auto"/>
      <w:ind w:left="1600" w:hanging="200"/>
    </w:pPr>
    <w:rPr>
      <w:rFonts w:ascii="Times New Roman" w:hAnsi="Times New Roman"/>
      <w:sz w:val="20"/>
      <w:szCs w:val="20"/>
      <w:lang w:val="en-GB"/>
    </w:rPr>
  </w:style>
  <w:style w:type="paragraph" w:styleId="Index9">
    <w:name w:val="index 9"/>
    <w:basedOn w:val="Normal"/>
    <w:next w:val="Normal"/>
    <w:autoRedefine/>
    <w:rsid w:val="005E5900"/>
    <w:pPr>
      <w:spacing w:before="60" w:after="120" w:line="240" w:lineRule="auto"/>
      <w:ind w:left="1800" w:hanging="200"/>
    </w:pPr>
    <w:rPr>
      <w:rFonts w:ascii="Times New Roman" w:hAnsi="Times New Roman"/>
      <w:sz w:val="20"/>
      <w:szCs w:val="20"/>
      <w:lang w:val="en-GB"/>
    </w:rPr>
  </w:style>
  <w:style w:type="paragraph" w:styleId="List">
    <w:name w:val="List"/>
    <w:basedOn w:val="Normal"/>
    <w:rsid w:val="005E5900"/>
    <w:pPr>
      <w:spacing w:before="60" w:after="120" w:line="240" w:lineRule="auto"/>
      <w:ind w:left="283" w:hanging="283"/>
    </w:pPr>
    <w:rPr>
      <w:rFonts w:ascii="Times New Roman" w:hAnsi="Times New Roman"/>
      <w:sz w:val="20"/>
      <w:szCs w:val="20"/>
      <w:lang w:val="en-GB"/>
    </w:rPr>
  </w:style>
  <w:style w:type="paragraph" w:styleId="List2">
    <w:name w:val="List 2"/>
    <w:basedOn w:val="Normal"/>
    <w:rsid w:val="005E5900"/>
    <w:pPr>
      <w:spacing w:before="60" w:after="120" w:line="240" w:lineRule="auto"/>
      <w:ind w:left="566" w:hanging="283"/>
    </w:pPr>
    <w:rPr>
      <w:rFonts w:ascii="Times New Roman" w:hAnsi="Times New Roman"/>
      <w:sz w:val="20"/>
      <w:szCs w:val="20"/>
      <w:lang w:val="en-GB"/>
    </w:rPr>
  </w:style>
  <w:style w:type="paragraph" w:styleId="List3">
    <w:name w:val="List 3"/>
    <w:basedOn w:val="Normal"/>
    <w:rsid w:val="005E5900"/>
    <w:pPr>
      <w:spacing w:before="60" w:after="120" w:line="240" w:lineRule="auto"/>
      <w:ind w:left="849" w:hanging="283"/>
    </w:pPr>
    <w:rPr>
      <w:rFonts w:ascii="Times New Roman" w:hAnsi="Times New Roman"/>
      <w:sz w:val="20"/>
      <w:szCs w:val="20"/>
      <w:lang w:val="en-GB"/>
    </w:rPr>
  </w:style>
  <w:style w:type="paragraph" w:styleId="List4">
    <w:name w:val="List 4"/>
    <w:basedOn w:val="Normal"/>
    <w:rsid w:val="005E5900"/>
    <w:pPr>
      <w:spacing w:before="60" w:after="120" w:line="240" w:lineRule="auto"/>
      <w:ind w:left="1132" w:hanging="283"/>
    </w:pPr>
    <w:rPr>
      <w:rFonts w:ascii="Times New Roman" w:hAnsi="Times New Roman"/>
      <w:sz w:val="20"/>
      <w:szCs w:val="20"/>
      <w:lang w:val="en-GB"/>
    </w:rPr>
  </w:style>
  <w:style w:type="paragraph" w:styleId="List5">
    <w:name w:val="List 5"/>
    <w:basedOn w:val="Normal"/>
    <w:rsid w:val="005E5900"/>
    <w:pPr>
      <w:spacing w:before="60" w:after="120" w:line="240" w:lineRule="auto"/>
      <w:ind w:left="1415" w:hanging="283"/>
    </w:pPr>
    <w:rPr>
      <w:rFonts w:ascii="Times New Roman" w:hAnsi="Times New Roman"/>
      <w:sz w:val="20"/>
      <w:szCs w:val="20"/>
      <w:lang w:val="en-GB"/>
    </w:rPr>
  </w:style>
  <w:style w:type="paragraph" w:styleId="ListContinue">
    <w:name w:val="List Continue"/>
    <w:basedOn w:val="Normal"/>
    <w:rsid w:val="005E5900"/>
    <w:pPr>
      <w:spacing w:before="60" w:after="120" w:line="240" w:lineRule="auto"/>
      <w:ind w:left="283"/>
    </w:pPr>
    <w:rPr>
      <w:rFonts w:ascii="Times New Roman" w:hAnsi="Times New Roman"/>
      <w:sz w:val="20"/>
      <w:szCs w:val="20"/>
      <w:lang w:val="en-GB"/>
    </w:rPr>
  </w:style>
  <w:style w:type="paragraph" w:styleId="ListContinue2">
    <w:name w:val="List Continue 2"/>
    <w:basedOn w:val="Normal"/>
    <w:rsid w:val="005E5900"/>
    <w:pPr>
      <w:spacing w:before="60" w:after="120" w:line="240" w:lineRule="auto"/>
      <w:ind w:left="566"/>
    </w:pPr>
    <w:rPr>
      <w:rFonts w:ascii="Times New Roman" w:hAnsi="Times New Roman"/>
      <w:sz w:val="20"/>
      <w:szCs w:val="20"/>
      <w:lang w:val="en-GB"/>
    </w:rPr>
  </w:style>
  <w:style w:type="paragraph" w:styleId="ListContinue3">
    <w:name w:val="List Continue 3"/>
    <w:basedOn w:val="Normal"/>
    <w:rsid w:val="005E5900"/>
    <w:pPr>
      <w:spacing w:before="60" w:after="120" w:line="240" w:lineRule="auto"/>
      <w:ind w:left="849"/>
    </w:pPr>
    <w:rPr>
      <w:rFonts w:ascii="Times New Roman" w:hAnsi="Times New Roman"/>
      <w:sz w:val="20"/>
      <w:szCs w:val="20"/>
      <w:lang w:val="en-GB"/>
    </w:rPr>
  </w:style>
  <w:style w:type="paragraph" w:styleId="ListContinue4">
    <w:name w:val="List Continue 4"/>
    <w:basedOn w:val="Normal"/>
    <w:rsid w:val="005E5900"/>
    <w:pPr>
      <w:spacing w:before="60" w:after="120" w:line="240" w:lineRule="auto"/>
      <w:ind w:left="1132"/>
    </w:pPr>
    <w:rPr>
      <w:rFonts w:ascii="Times New Roman" w:hAnsi="Times New Roman"/>
      <w:sz w:val="20"/>
      <w:szCs w:val="20"/>
      <w:lang w:val="en-GB"/>
    </w:rPr>
  </w:style>
  <w:style w:type="paragraph" w:styleId="ListContinue5">
    <w:name w:val="List Continue 5"/>
    <w:basedOn w:val="Normal"/>
    <w:rsid w:val="005E5900"/>
    <w:pPr>
      <w:spacing w:before="60" w:after="120" w:line="240" w:lineRule="auto"/>
      <w:ind w:left="1415"/>
    </w:pPr>
    <w:rPr>
      <w:rFonts w:ascii="Times New Roman" w:hAnsi="Times New Roman"/>
      <w:sz w:val="20"/>
      <w:szCs w:val="20"/>
      <w:lang w:val="en-GB"/>
    </w:rPr>
  </w:style>
  <w:style w:type="paragraph" w:styleId="MacroText">
    <w:name w:val="macro"/>
    <w:link w:val="MacroTextChar"/>
    <w:rsid w:val="005E590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sz w:val="20"/>
      <w:szCs w:val="20"/>
      <w:lang w:val="en-GB" w:eastAsia="en-US"/>
    </w:rPr>
  </w:style>
  <w:style w:type="character" w:customStyle="1" w:styleId="MacroTextChar">
    <w:name w:val="Macro Text Char"/>
    <w:basedOn w:val="DefaultParagraphFont"/>
    <w:link w:val="MacroText"/>
    <w:rsid w:val="005E5900"/>
    <w:rPr>
      <w:rFonts w:ascii="Courier New" w:hAnsi="Courier New" w:cs="Courier New"/>
      <w:sz w:val="20"/>
      <w:szCs w:val="20"/>
      <w:lang w:val="en-GB" w:eastAsia="en-US"/>
    </w:rPr>
  </w:style>
  <w:style w:type="paragraph" w:styleId="NoteHeading">
    <w:name w:val="Note Heading"/>
    <w:basedOn w:val="Normal"/>
    <w:next w:val="Normal"/>
    <w:link w:val="NoteHeadingChar"/>
    <w:rsid w:val="005E5900"/>
    <w:pPr>
      <w:spacing w:before="60" w:after="120" w:line="240" w:lineRule="auto"/>
    </w:pPr>
    <w:rPr>
      <w:rFonts w:ascii="Times New Roman" w:hAnsi="Times New Roman"/>
      <w:sz w:val="20"/>
      <w:szCs w:val="20"/>
      <w:lang w:val="en-GB"/>
    </w:rPr>
  </w:style>
  <w:style w:type="character" w:customStyle="1" w:styleId="NoteHeadingChar">
    <w:name w:val="Note Heading Char"/>
    <w:basedOn w:val="DefaultParagraphFont"/>
    <w:link w:val="NoteHeading"/>
    <w:rsid w:val="005E5900"/>
    <w:rPr>
      <w:sz w:val="20"/>
      <w:szCs w:val="20"/>
      <w:lang w:val="en-GB" w:eastAsia="en-US"/>
    </w:rPr>
  </w:style>
  <w:style w:type="paragraph" w:styleId="PlainText">
    <w:name w:val="Plain Text"/>
    <w:basedOn w:val="Normal"/>
    <w:link w:val="PlainTextChar"/>
    <w:uiPriority w:val="99"/>
    <w:rsid w:val="005E5900"/>
    <w:pPr>
      <w:spacing w:before="60" w:after="12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E5900"/>
    <w:rPr>
      <w:rFonts w:ascii="Courier New" w:hAnsi="Courier New" w:cs="Courier New"/>
      <w:sz w:val="20"/>
      <w:szCs w:val="20"/>
      <w:lang w:val="en-GB" w:eastAsia="en-US"/>
    </w:rPr>
  </w:style>
  <w:style w:type="paragraph" w:styleId="Salutation">
    <w:name w:val="Salutation"/>
    <w:basedOn w:val="Normal"/>
    <w:next w:val="Normal"/>
    <w:link w:val="SalutationChar"/>
    <w:rsid w:val="005E5900"/>
    <w:pPr>
      <w:spacing w:before="60" w:after="120" w:line="240" w:lineRule="auto"/>
    </w:pPr>
    <w:rPr>
      <w:rFonts w:ascii="Times New Roman" w:hAnsi="Times New Roman"/>
      <w:sz w:val="20"/>
      <w:szCs w:val="20"/>
      <w:lang w:val="en-GB"/>
    </w:rPr>
  </w:style>
  <w:style w:type="character" w:customStyle="1" w:styleId="SalutationChar">
    <w:name w:val="Salutation Char"/>
    <w:basedOn w:val="DefaultParagraphFont"/>
    <w:link w:val="Salutation"/>
    <w:rsid w:val="005E5900"/>
    <w:rPr>
      <w:sz w:val="20"/>
      <w:szCs w:val="20"/>
      <w:lang w:val="en-GB" w:eastAsia="en-US"/>
    </w:rPr>
  </w:style>
  <w:style w:type="paragraph" w:styleId="Signature">
    <w:name w:val="Signature"/>
    <w:basedOn w:val="Normal"/>
    <w:link w:val="SignatureChar"/>
    <w:rsid w:val="005E5900"/>
    <w:pPr>
      <w:spacing w:before="60" w:after="120" w:line="240" w:lineRule="auto"/>
      <w:ind w:left="4252"/>
    </w:pPr>
    <w:rPr>
      <w:rFonts w:ascii="Times New Roman" w:hAnsi="Times New Roman"/>
      <w:sz w:val="20"/>
      <w:szCs w:val="20"/>
      <w:lang w:val="en-GB"/>
    </w:rPr>
  </w:style>
  <w:style w:type="character" w:customStyle="1" w:styleId="SignatureChar">
    <w:name w:val="Signature Char"/>
    <w:basedOn w:val="DefaultParagraphFont"/>
    <w:link w:val="Signature"/>
    <w:rsid w:val="005E5900"/>
    <w:rPr>
      <w:sz w:val="20"/>
      <w:szCs w:val="20"/>
      <w:lang w:val="en-GB" w:eastAsia="en-US"/>
    </w:rPr>
  </w:style>
  <w:style w:type="paragraph" w:styleId="Subtitle">
    <w:name w:val="Subtitle"/>
    <w:basedOn w:val="Normal"/>
    <w:link w:val="SubtitleChar"/>
    <w:qFormat/>
    <w:rsid w:val="005E5900"/>
    <w:pPr>
      <w:spacing w:before="60" w:after="60" w:line="240" w:lineRule="auto"/>
      <w:jc w:val="center"/>
      <w:outlineLvl w:val="1"/>
    </w:pPr>
    <w:rPr>
      <w:rFonts w:ascii="Arial" w:hAnsi="Arial" w:cs="Arial"/>
      <w:sz w:val="24"/>
      <w:lang w:val="en-GB"/>
    </w:rPr>
  </w:style>
  <w:style w:type="character" w:customStyle="1" w:styleId="SubtitleChar">
    <w:name w:val="Subtitle Char"/>
    <w:basedOn w:val="DefaultParagraphFont"/>
    <w:link w:val="Subtitle"/>
    <w:rsid w:val="005E5900"/>
    <w:rPr>
      <w:rFonts w:ascii="Arial" w:hAnsi="Arial" w:cs="Arial"/>
      <w:lang w:val="en-GB" w:eastAsia="en-US"/>
    </w:rPr>
  </w:style>
  <w:style w:type="paragraph" w:styleId="TableofAuthorities">
    <w:name w:val="table of authorities"/>
    <w:basedOn w:val="Normal"/>
    <w:next w:val="Normal"/>
    <w:rsid w:val="005E5900"/>
    <w:pPr>
      <w:spacing w:before="60" w:after="120" w:line="240" w:lineRule="auto"/>
      <w:ind w:left="200" w:hanging="200"/>
    </w:pPr>
    <w:rPr>
      <w:rFonts w:ascii="Times New Roman" w:hAnsi="Times New Roman"/>
      <w:sz w:val="20"/>
      <w:szCs w:val="20"/>
      <w:lang w:val="en-GB"/>
    </w:rPr>
  </w:style>
  <w:style w:type="paragraph" w:styleId="TableofFigures">
    <w:name w:val="table of figures"/>
    <w:basedOn w:val="Normal"/>
    <w:next w:val="Normal"/>
    <w:rsid w:val="005E5900"/>
    <w:pPr>
      <w:spacing w:before="60" w:after="120" w:line="240" w:lineRule="auto"/>
      <w:ind w:left="400" w:hanging="400"/>
    </w:pPr>
    <w:rPr>
      <w:rFonts w:ascii="Times New Roman" w:hAnsi="Times New Roman"/>
      <w:sz w:val="20"/>
      <w:szCs w:val="20"/>
      <w:lang w:val="en-GB"/>
    </w:rPr>
  </w:style>
  <w:style w:type="paragraph" w:styleId="TOAHeading">
    <w:name w:val="toa heading"/>
    <w:basedOn w:val="Normal"/>
    <w:next w:val="Normal"/>
    <w:rsid w:val="005E5900"/>
    <w:pPr>
      <w:spacing w:before="120" w:after="120" w:line="240" w:lineRule="auto"/>
    </w:pPr>
    <w:rPr>
      <w:rFonts w:ascii="Arial" w:hAnsi="Arial" w:cs="Arial"/>
      <w:b/>
      <w:bCs/>
      <w:sz w:val="24"/>
      <w:lang w:val="en-GB"/>
    </w:rPr>
  </w:style>
  <w:style w:type="paragraph" w:customStyle="1" w:styleId="OM-pNote">
    <w:name w:val="OM - p_Note"/>
    <w:basedOn w:val="Normal"/>
    <w:autoRedefine/>
    <w:rsid w:val="005E5900"/>
    <w:pPr>
      <w:shd w:val="pct10" w:color="auto" w:fill="auto"/>
      <w:spacing w:before="60" w:after="120" w:line="240" w:lineRule="atLeast"/>
      <w:ind w:right="206"/>
    </w:pPr>
    <w:rPr>
      <w:rFonts w:ascii="Times New Roman" w:hAnsi="Times New Roman"/>
      <w:sz w:val="20"/>
      <w:szCs w:val="20"/>
    </w:rPr>
  </w:style>
  <w:style w:type="paragraph" w:customStyle="1" w:styleId="OM-pBody">
    <w:name w:val="OM - p_Body"/>
    <w:autoRedefine/>
    <w:rsid w:val="005E5900"/>
    <w:pPr>
      <w:spacing w:before="60" w:after="120" w:line="240" w:lineRule="atLeast"/>
    </w:pPr>
    <w:rPr>
      <w:sz w:val="20"/>
      <w:szCs w:val="20"/>
      <w:lang w:eastAsia="en-US"/>
    </w:rPr>
  </w:style>
  <w:style w:type="paragraph" w:customStyle="1" w:styleId="xl24">
    <w:name w:val="xl24"/>
    <w:basedOn w:val="Normal"/>
    <w:rsid w:val="005E5900"/>
    <w:pPr>
      <w:spacing w:before="100" w:beforeAutospacing="1" w:after="100" w:afterAutospacing="1" w:line="240" w:lineRule="auto"/>
    </w:pPr>
    <w:rPr>
      <w:rFonts w:ascii="Arial" w:hAnsi="Arial" w:cs="Arial"/>
      <w:sz w:val="16"/>
      <w:szCs w:val="16"/>
    </w:rPr>
  </w:style>
  <w:style w:type="paragraph" w:customStyle="1" w:styleId="xl25">
    <w:name w:val="xl25"/>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7">
    <w:name w:val="xl27"/>
    <w:basedOn w:val="Normal"/>
    <w:rsid w:val="005E590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8">
    <w:name w:val="xl28"/>
    <w:basedOn w:val="Normal"/>
    <w:rsid w:val="005E590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9">
    <w:name w:val="xl29"/>
    <w:basedOn w:val="Normal"/>
    <w:rsid w:val="005E590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0">
    <w:name w:val="xl30"/>
    <w:basedOn w:val="Normal"/>
    <w:rsid w:val="005E5900"/>
    <w:pPr>
      <w:pBdr>
        <w:top w:val="single" w:sz="12" w:space="0" w:color="auto"/>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1">
    <w:name w:val="xl31"/>
    <w:basedOn w:val="Normal"/>
    <w:rsid w:val="005E5900"/>
    <w:pPr>
      <w:pBdr>
        <w:top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2">
    <w:name w:val="xl32"/>
    <w:basedOn w:val="Normal"/>
    <w:rsid w:val="005E590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3">
    <w:name w:val="xl33"/>
    <w:basedOn w:val="Normal"/>
    <w:rsid w:val="005E5900"/>
    <w:pPr>
      <w:pBdr>
        <w:top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4">
    <w:name w:val="xl34"/>
    <w:basedOn w:val="Normal"/>
    <w:rsid w:val="005E5900"/>
    <w:pPr>
      <w:pBdr>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5">
    <w:name w:val="xl35"/>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xl36">
    <w:name w:val="xl36"/>
    <w:basedOn w:val="Normal"/>
    <w:rsid w:val="005E5900"/>
    <w:pPr>
      <w:pBdr>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7">
    <w:name w:val="xl37"/>
    <w:basedOn w:val="Normal"/>
    <w:rsid w:val="005E5900"/>
    <w:pPr>
      <w:pBdr>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8">
    <w:name w:val="xl38"/>
    <w:basedOn w:val="Normal"/>
    <w:rsid w:val="005E590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9">
    <w:name w:val="xl39"/>
    <w:basedOn w:val="Normal"/>
    <w:rsid w:val="005E5900"/>
    <w:pPr>
      <w:pBdr>
        <w:top w:val="single" w:sz="12" w:space="0" w:color="auto"/>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0">
    <w:name w:val="xl40"/>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1">
    <w:name w:val="xl41"/>
    <w:basedOn w:val="Normal"/>
    <w:rsid w:val="005E5900"/>
    <w:pPr>
      <w:pBdr>
        <w:left w:val="single" w:sz="8"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2">
    <w:name w:val="xl42"/>
    <w:basedOn w:val="Normal"/>
    <w:rsid w:val="005E5900"/>
    <w:pPr>
      <w:pBdr>
        <w:lef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3">
    <w:name w:val="xl43"/>
    <w:basedOn w:val="Normal"/>
    <w:rsid w:val="005E5900"/>
    <w:pP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4">
    <w:name w:val="xl44"/>
    <w:basedOn w:val="Normal"/>
    <w:rsid w:val="005E590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5">
    <w:name w:val="xl45"/>
    <w:basedOn w:val="Normal"/>
    <w:rsid w:val="005E5900"/>
    <w:pPr>
      <w:pBdr>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6">
    <w:name w:val="xl46"/>
    <w:basedOn w:val="Normal"/>
    <w:rsid w:val="005E5900"/>
    <w:pPr>
      <w:shd w:val="clear" w:color="auto" w:fill="FFFF00"/>
      <w:spacing w:before="100" w:beforeAutospacing="1" w:after="100" w:afterAutospacing="1" w:line="240" w:lineRule="auto"/>
    </w:pPr>
    <w:rPr>
      <w:rFonts w:ascii="Arial" w:hAnsi="Arial" w:cs="Arial"/>
      <w:sz w:val="16"/>
      <w:szCs w:val="16"/>
    </w:rPr>
  </w:style>
  <w:style w:type="paragraph" w:customStyle="1" w:styleId="xl47">
    <w:name w:val="xl47"/>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8">
    <w:name w:val="xl48"/>
    <w:basedOn w:val="Normal"/>
    <w:rsid w:val="005E5900"/>
    <w:pPr>
      <w:pBdr>
        <w:left w:val="single" w:sz="8" w:space="0" w:color="auto"/>
        <w:bottom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49">
    <w:name w:val="xl49"/>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BulletedList">
    <w:name w:val="Bulleted List"/>
    <w:basedOn w:val="Normal"/>
    <w:rsid w:val="005E5900"/>
    <w:pPr>
      <w:widowControl w:val="0"/>
      <w:autoSpaceDE w:val="0"/>
      <w:autoSpaceDN w:val="0"/>
      <w:adjustRightInd w:val="0"/>
      <w:spacing w:line="240" w:lineRule="auto"/>
    </w:pPr>
    <w:rPr>
      <w:rFonts w:ascii="Arial" w:hAnsi="Arial" w:cs="Arial"/>
      <w:sz w:val="24"/>
    </w:rPr>
  </w:style>
  <w:style w:type="paragraph" w:customStyle="1" w:styleId="bulletedlist0">
    <w:name w:val="bulletedlist"/>
    <w:basedOn w:val="Normal"/>
    <w:rsid w:val="005E5900"/>
    <w:pPr>
      <w:spacing w:line="240" w:lineRule="auto"/>
    </w:pPr>
    <w:rPr>
      <w:rFonts w:ascii="Arial" w:hAnsi="Arial" w:cs="Arial"/>
      <w:sz w:val="24"/>
    </w:rPr>
  </w:style>
  <w:style w:type="paragraph" w:customStyle="1" w:styleId="TriangleList">
    <w:name w:val="Triangle List"/>
    <w:rsid w:val="005E5900"/>
    <w:pPr>
      <w:widowControl w:val="0"/>
      <w:autoSpaceDE w:val="0"/>
      <w:autoSpaceDN w:val="0"/>
      <w:adjustRightInd w:val="0"/>
      <w:ind w:left="720" w:hanging="432"/>
    </w:pPr>
    <w:rPr>
      <w:rFonts w:ascii="Arial" w:hAnsi="Arial" w:cs="Arial"/>
      <w:lang w:eastAsia="en-US"/>
    </w:rPr>
  </w:style>
  <w:style w:type="paragraph" w:customStyle="1" w:styleId="Tabletext1">
    <w:name w:val="Table text"/>
    <w:basedOn w:val="BodyText"/>
    <w:rsid w:val="005E590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E5900"/>
    <w:pPr>
      <w:widowControl/>
      <w:spacing w:after="68"/>
    </w:pPr>
    <w:rPr>
      <w:rFonts w:ascii="Arial Black" w:hAnsi="Arial Black" w:cs="Times New Roman"/>
    </w:rPr>
  </w:style>
  <w:style w:type="paragraph" w:customStyle="1" w:styleId="CM10">
    <w:name w:val="CM10"/>
    <w:basedOn w:val="Default"/>
    <w:next w:val="Default"/>
    <w:rsid w:val="005E5900"/>
    <w:pPr>
      <w:widowControl/>
      <w:spacing w:after="305"/>
    </w:pPr>
    <w:rPr>
      <w:rFonts w:ascii="Arial Black" w:hAnsi="Arial Black" w:cs="Times New Roman"/>
    </w:rPr>
  </w:style>
  <w:style w:type="paragraph" w:customStyle="1" w:styleId="CM5">
    <w:name w:val="CM5"/>
    <w:basedOn w:val="Default"/>
    <w:next w:val="Default"/>
    <w:rsid w:val="005E5900"/>
    <w:pPr>
      <w:widowControl/>
    </w:pPr>
    <w:rPr>
      <w:rFonts w:ascii="Arial Black" w:hAnsi="Arial Black" w:cs="Times New Roman"/>
    </w:rPr>
  </w:style>
  <w:style w:type="paragraph" w:customStyle="1" w:styleId="TableText-small">
    <w:name w:val="Table Text - small"/>
    <w:basedOn w:val="TableText"/>
    <w:rsid w:val="005E5900"/>
    <w:pPr>
      <w:spacing w:after="0" w:line="240" w:lineRule="auto"/>
      <w:ind w:left="57" w:right="57"/>
    </w:pPr>
    <w:rPr>
      <w:rFonts w:ascii="Times" w:hAnsi="Times"/>
      <w:lang w:val="en-US"/>
    </w:rPr>
  </w:style>
  <w:style w:type="paragraph" w:customStyle="1" w:styleId="TableHeader-small">
    <w:name w:val="Table Header - small"/>
    <w:basedOn w:val="Normal"/>
    <w:rsid w:val="005E5900"/>
    <w:pPr>
      <w:spacing w:before="60" w:line="240" w:lineRule="auto"/>
      <w:ind w:left="57" w:right="57"/>
    </w:pPr>
    <w:rPr>
      <w:rFonts w:ascii="Verdana" w:hAnsi="Verdana"/>
      <w:b/>
      <w:sz w:val="22"/>
      <w:szCs w:val="20"/>
    </w:rPr>
  </w:style>
  <w:style w:type="character" w:customStyle="1" w:styleId="desctext">
    <w:name w:val="desctext"/>
    <w:basedOn w:val="DefaultParagraphFont"/>
    <w:rsid w:val="0056294E"/>
  </w:style>
  <w:style w:type="paragraph" w:customStyle="1" w:styleId="StyleBodyArial">
    <w:name w:val="Style Body + Arial"/>
    <w:basedOn w:val="Normal"/>
    <w:link w:val="StyleBodyArialChar"/>
    <w:rsid w:val="0056294E"/>
    <w:pPr>
      <w:overflowPunct w:val="0"/>
      <w:autoSpaceDE w:val="0"/>
      <w:autoSpaceDN w:val="0"/>
      <w:adjustRightInd w:val="0"/>
      <w:spacing w:before="60" w:after="60" w:line="240" w:lineRule="auto"/>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56294E"/>
    <w:rPr>
      <w:rFonts w:ascii="Arial" w:hAnsi="Arial"/>
      <w:sz w:val="20"/>
      <w:szCs w:val="20"/>
      <w:lang w:val="en-GB" w:eastAsia="en-US"/>
    </w:rPr>
  </w:style>
  <w:style w:type="character" w:customStyle="1" w:styleId="StyleStyleBodyArialBold">
    <w:name w:val="Style Style Body + Arial + Bold"/>
    <w:basedOn w:val="DefaultParagraphFont"/>
    <w:rsid w:val="0056294E"/>
    <w:rPr>
      <w:b/>
    </w:rPr>
  </w:style>
  <w:style w:type="paragraph" w:customStyle="1" w:styleId="TableHead">
    <w:name w:val="TableHead"/>
    <w:basedOn w:val="Normal"/>
    <w:rsid w:val="0056294E"/>
    <w:pPr>
      <w:keepNext/>
      <w:spacing w:before="60" w:after="60" w:line="240" w:lineRule="auto"/>
      <w:outlineLvl w:val="0"/>
    </w:pPr>
    <w:rPr>
      <w:rFonts w:ascii="Arial" w:hAnsi="Arial"/>
      <w:b/>
      <w:bCs/>
      <w:szCs w:val="20"/>
    </w:rPr>
  </w:style>
  <w:style w:type="paragraph" w:customStyle="1" w:styleId="Heading3Black">
    <w:name w:val="Heading 3 Black"/>
    <w:basedOn w:val="Heading2"/>
    <w:qFormat/>
    <w:rsid w:val="00947A5E"/>
    <w:rPr>
      <w:caps w:val="0"/>
      <w:color w:val="000000" w:themeColor="text1"/>
    </w:rPr>
  </w:style>
  <w:style w:type="paragraph" w:customStyle="1" w:styleId="Charttop">
    <w:name w:val="Chart_top"/>
    <w:basedOn w:val="Normal"/>
    <w:qFormat/>
    <w:rsid w:val="00947A5E"/>
    <w:rPr>
      <w:b/>
      <w:caps/>
      <w:color w:val="FFFFFF" w:themeColor="background1"/>
      <w:sz w:val="20"/>
    </w:rPr>
  </w:style>
  <w:style w:type="paragraph" w:customStyle="1" w:styleId="body1">
    <w:name w:val="• body"/>
    <w:basedOn w:val="BodyText"/>
    <w:qFormat/>
    <w:rsid w:val="00053C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right="180"/>
    </w:pPr>
    <w:rPr>
      <w:rFonts w:ascii="Arial Narrow" w:hAnsi="Arial Narrow"/>
      <w:sz w:val="18"/>
      <w:lang w:eastAsia="en-US"/>
    </w:rPr>
  </w:style>
  <w:style w:type="table" w:customStyle="1" w:styleId="NLXStx">
    <w:name w:val="NLX Stx"/>
    <w:basedOn w:val="TableNormal"/>
    <w:uiPriority w:val="99"/>
    <w:rsid w:val="00653EB7"/>
    <w:rPr>
      <w:rFonts w:ascii="Arial Narrow" w:hAnsi="Arial Narrow"/>
      <w:sz w:val="18"/>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DF070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rsid w:val="00F648FF"/>
    <w:rPr>
      <w:rFonts w:ascii="Arial Narrow" w:hAnsi="Arial Narrow"/>
      <w:sz w:val="18"/>
      <w:lang w:eastAsia="en-US"/>
    </w:rPr>
  </w:style>
  <w:style w:type="paragraph" w:customStyle="1" w:styleId="confidentialtext">
    <w:name w:val="confidential text"/>
    <w:basedOn w:val="Normal"/>
    <w:qFormat/>
    <w:rsid w:val="00DC6990"/>
    <w:pPr>
      <w:spacing w:line="300" w:lineRule="exact"/>
    </w:pPr>
    <w:rPr>
      <w:rFonts w:cs="Arial"/>
      <w:color w:val="000000"/>
      <w:spacing w:val="-3"/>
      <w:sz w:val="20"/>
      <w:lang w:eastAsia="sv-SE"/>
    </w:rPr>
  </w:style>
  <w:style w:type="paragraph" w:customStyle="1" w:styleId="QXBodyText">
    <w:name w:val="QX Body Text"/>
    <w:qFormat/>
    <w:rsid w:val="0059469E"/>
    <w:pPr>
      <w:spacing w:before="120" w:after="120" w:line="340" w:lineRule="exact"/>
    </w:pPr>
    <w:rPr>
      <w:rFonts w:ascii="Arial" w:eastAsia="Arial" w:hAnsi="Arial"/>
      <w:color w:val="000000"/>
      <w:spacing w:val="-4"/>
      <w:sz w:val="22"/>
      <w:lang w:eastAsia="sv-SE"/>
    </w:rPr>
  </w:style>
  <w:style w:type="paragraph" w:customStyle="1" w:styleId="QXTableText">
    <w:name w:val="QX Table Text"/>
    <w:basedOn w:val="Normal"/>
    <w:qFormat/>
    <w:rsid w:val="000F1456"/>
    <w:pPr>
      <w:spacing w:line="240" w:lineRule="auto"/>
    </w:pPr>
    <w:rPr>
      <w:rFonts w:ascii="Arial" w:hAnsi="Arial"/>
      <w:color w:val="000000"/>
      <w:sz w:val="22"/>
      <w:szCs w:val="18"/>
      <w:lang w:eastAsia="sv-SE"/>
    </w:rPr>
  </w:style>
  <w:style w:type="table" w:customStyle="1" w:styleId="TableGrid1">
    <w:name w:val="Table Grid1"/>
    <w:basedOn w:val="TableNormal"/>
    <w:next w:val="TableGrid"/>
    <w:rsid w:val="005735E2"/>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2">
    <w:name w:val="Table Grid2"/>
    <w:basedOn w:val="TableNormal"/>
    <w:next w:val="TableGrid"/>
    <w:rsid w:val="0057246B"/>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3">
    <w:name w:val="Table Grid3"/>
    <w:basedOn w:val="TableNormal"/>
    <w:next w:val="TableGrid"/>
    <w:rsid w:val="0057246B"/>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4">
    <w:name w:val="Table Grid4"/>
    <w:basedOn w:val="TableNormal"/>
    <w:next w:val="TableGrid"/>
    <w:rsid w:val="006D7AA4"/>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paragraph" w:styleId="NoSpacing">
    <w:name w:val="No Spacing"/>
    <w:uiPriority w:val="1"/>
    <w:qFormat/>
    <w:rsid w:val="00D25B14"/>
    <w:rPr>
      <w:rFonts w:asciiTheme="minorHAnsi" w:eastAsiaTheme="minorHAnsi" w:hAnsiTheme="minorHAnsi" w:cstheme="minorBidi"/>
      <w:sz w:val="22"/>
      <w:szCs w:val="22"/>
      <w:lang w:eastAsia="en-US"/>
    </w:rPr>
  </w:style>
  <w:style w:type="paragraph" w:customStyle="1" w:styleId="LetterheadAddress">
    <w:name w:val="Letterhead Address"/>
    <w:basedOn w:val="Normal"/>
    <w:qFormat/>
    <w:rsid w:val="00D25B14"/>
    <w:pPr>
      <w:widowControl w:val="0"/>
      <w:autoSpaceDE w:val="0"/>
      <w:autoSpaceDN w:val="0"/>
      <w:adjustRightInd w:val="0"/>
      <w:spacing w:line="240" w:lineRule="auto"/>
    </w:pPr>
    <w:rPr>
      <w:rFonts w:asciiTheme="majorHAnsi" w:eastAsiaTheme="minorEastAsia" w:hAnsiTheme="majorHAnsi"/>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51">
      <w:marLeft w:val="0"/>
      <w:marRight w:val="0"/>
      <w:marTop w:val="0"/>
      <w:marBottom w:val="0"/>
      <w:divBdr>
        <w:top w:val="none" w:sz="0" w:space="0" w:color="auto"/>
        <w:left w:val="none" w:sz="0" w:space="0" w:color="auto"/>
        <w:bottom w:val="none" w:sz="0" w:space="0" w:color="auto"/>
        <w:right w:val="none" w:sz="0" w:space="0" w:color="auto"/>
      </w:divBdr>
      <w:divsChild>
        <w:div w:id="10571287">
          <w:marLeft w:val="0"/>
          <w:marRight w:val="0"/>
          <w:marTop w:val="0"/>
          <w:marBottom w:val="0"/>
          <w:divBdr>
            <w:top w:val="none" w:sz="0" w:space="0" w:color="auto"/>
            <w:left w:val="none" w:sz="0" w:space="0" w:color="auto"/>
            <w:bottom w:val="none" w:sz="0" w:space="0" w:color="auto"/>
            <w:right w:val="none" w:sz="0" w:space="0" w:color="auto"/>
          </w:divBdr>
        </w:div>
      </w:divsChild>
    </w:div>
    <w:div w:id="10571252">
      <w:marLeft w:val="0"/>
      <w:marRight w:val="0"/>
      <w:marTop w:val="0"/>
      <w:marBottom w:val="0"/>
      <w:divBdr>
        <w:top w:val="none" w:sz="0" w:space="0" w:color="auto"/>
        <w:left w:val="none" w:sz="0" w:space="0" w:color="auto"/>
        <w:bottom w:val="none" w:sz="0" w:space="0" w:color="auto"/>
        <w:right w:val="none" w:sz="0" w:space="0" w:color="auto"/>
      </w:divBdr>
    </w:div>
    <w:div w:id="10571253">
      <w:marLeft w:val="0"/>
      <w:marRight w:val="0"/>
      <w:marTop w:val="0"/>
      <w:marBottom w:val="0"/>
      <w:divBdr>
        <w:top w:val="none" w:sz="0" w:space="0" w:color="auto"/>
        <w:left w:val="none" w:sz="0" w:space="0" w:color="auto"/>
        <w:bottom w:val="none" w:sz="0" w:space="0" w:color="auto"/>
        <w:right w:val="none" w:sz="0" w:space="0" w:color="auto"/>
      </w:divBdr>
    </w:div>
    <w:div w:id="10571254">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sChild>
        <w:div w:id="10571258">
          <w:marLeft w:val="0"/>
          <w:marRight w:val="0"/>
          <w:marTop w:val="0"/>
          <w:marBottom w:val="0"/>
          <w:divBdr>
            <w:top w:val="none" w:sz="0" w:space="0" w:color="auto"/>
            <w:left w:val="none" w:sz="0" w:space="0" w:color="auto"/>
            <w:bottom w:val="none" w:sz="0" w:space="0" w:color="auto"/>
            <w:right w:val="none" w:sz="0" w:space="0" w:color="auto"/>
          </w:divBdr>
        </w:div>
      </w:divsChild>
    </w:div>
    <w:div w:id="10571256">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10571260">
      <w:marLeft w:val="0"/>
      <w:marRight w:val="0"/>
      <w:marTop w:val="0"/>
      <w:marBottom w:val="0"/>
      <w:divBdr>
        <w:top w:val="none" w:sz="0" w:space="0" w:color="auto"/>
        <w:left w:val="none" w:sz="0" w:space="0" w:color="auto"/>
        <w:bottom w:val="none" w:sz="0" w:space="0" w:color="auto"/>
        <w:right w:val="none" w:sz="0" w:space="0" w:color="auto"/>
      </w:divBdr>
    </w:div>
    <w:div w:id="10571262">
      <w:marLeft w:val="0"/>
      <w:marRight w:val="0"/>
      <w:marTop w:val="0"/>
      <w:marBottom w:val="0"/>
      <w:divBdr>
        <w:top w:val="none" w:sz="0" w:space="0" w:color="auto"/>
        <w:left w:val="none" w:sz="0" w:space="0" w:color="auto"/>
        <w:bottom w:val="none" w:sz="0" w:space="0" w:color="auto"/>
        <w:right w:val="none" w:sz="0" w:space="0" w:color="auto"/>
      </w:divBdr>
    </w:div>
    <w:div w:id="10571265">
      <w:marLeft w:val="0"/>
      <w:marRight w:val="0"/>
      <w:marTop w:val="0"/>
      <w:marBottom w:val="0"/>
      <w:divBdr>
        <w:top w:val="none" w:sz="0" w:space="0" w:color="auto"/>
        <w:left w:val="none" w:sz="0" w:space="0" w:color="auto"/>
        <w:bottom w:val="none" w:sz="0" w:space="0" w:color="auto"/>
        <w:right w:val="none" w:sz="0" w:space="0" w:color="auto"/>
      </w:divBdr>
    </w:div>
    <w:div w:id="10571268">
      <w:marLeft w:val="0"/>
      <w:marRight w:val="0"/>
      <w:marTop w:val="0"/>
      <w:marBottom w:val="0"/>
      <w:divBdr>
        <w:top w:val="none" w:sz="0" w:space="0" w:color="auto"/>
        <w:left w:val="none" w:sz="0" w:space="0" w:color="auto"/>
        <w:bottom w:val="none" w:sz="0" w:space="0" w:color="auto"/>
        <w:right w:val="none" w:sz="0" w:space="0" w:color="auto"/>
      </w:divBdr>
      <w:divsChild>
        <w:div w:id="10571279">
          <w:marLeft w:val="0"/>
          <w:marRight w:val="0"/>
          <w:marTop w:val="0"/>
          <w:marBottom w:val="0"/>
          <w:divBdr>
            <w:top w:val="none" w:sz="0" w:space="0" w:color="auto"/>
            <w:left w:val="none" w:sz="0" w:space="0" w:color="auto"/>
            <w:bottom w:val="none" w:sz="0" w:space="0" w:color="auto"/>
            <w:right w:val="none" w:sz="0" w:space="0" w:color="auto"/>
          </w:divBdr>
        </w:div>
      </w:divsChild>
    </w:div>
    <w:div w:id="10571269">
      <w:marLeft w:val="0"/>
      <w:marRight w:val="0"/>
      <w:marTop w:val="0"/>
      <w:marBottom w:val="0"/>
      <w:divBdr>
        <w:top w:val="none" w:sz="0" w:space="0" w:color="auto"/>
        <w:left w:val="none" w:sz="0" w:space="0" w:color="auto"/>
        <w:bottom w:val="none" w:sz="0" w:space="0" w:color="auto"/>
        <w:right w:val="none" w:sz="0" w:space="0" w:color="auto"/>
      </w:divBdr>
    </w:div>
    <w:div w:id="10571270">
      <w:marLeft w:val="0"/>
      <w:marRight w:val="0"/>
      <w:marTop w:val="0"/>
      <w:marBottom w:val="0"/>
      <w:divBdr>
        <w:top w:val="none" w:sz="0" w:space="0" w:color="auto"/>
        <w:left w:val="none" w:sz="0" w:space="0" w:color="auto"/>
        <w:bottom w:val="none" w:sz="0" w:space="0" w:color="auto"/>
        <w:right w:val="none" w:sz="0" w:space="0" w:color="auto"/>
      </w:divBdr>
    </w:div>
    <w:div w:id="10571272">
      <w:marLeft w:val="0"/>
      <w:marRight w:val="0"/>
      <w:marTop w:val="0"/>
      <w:marBottom w:val="0"/>
      <w:divBdr>
        <w:top w:val="none" w:sz="0" w:space="0" w:color="auto"/>
        <w:left w:val="none" w:sz="0" w:space="0" w:color="auto"/>
        <w:bottom w:val="none" w:sz="0" w:space="0" w:color="auto"/>
        <w:right w:val="none" w:sz="0" w:space="0" w:color="auto"/>
      </w:divBdr>
    </w:div>
    <w:div w:id="10571273">
      <w:marLeft w:val="0"/>
      <w:marRight w:val="0"/>
      <w:marTop w:val="0"/>
      <w:marBottom w:val="0"/>
      <w:divBdr>
        <w:top w:val="none" w:sz="0" w:space="0" w:color="auto"/>
        <w:left w:val="none" w:sz="0" w:space="0" w:color="auto"/>
        <w:bottom w:val="none" w:sz="0" w:space="0" w:color="auto"/>
        <w:right w:val="none" w:sz="0" w:space="0" w:color="auto"/>
      </w:divBdr>
    </w:div>
    <w:div w:id="10571274">
      <w:marLeft w:val="0"/>
      <w:marRight w:val="0"/>
      <w:marTop w:val="0"/>
      <w:marBottom w:val="0"/>
      <w:divBdr>
        <w:top w:val="none" w:sz="0" w:space="0" w:color="auto"/>
        <w:left w:val="none" w:sz="0" w:space="0" w:color="auto"/>
        <w:bottom w:val="none" w:sz="0" w:space="0" w:color="auto"/>
        <w:right w:val="none" w:sz="0" w:space="0" w:color="auto"/>
      </w:divBdr>
    </w:div>
    <w:div w:id="10571276">
      <w:marLeft w:val="0"/>
      <w:marRight w:val="0"/>
      <w:marTop w:val="0"/>
      <w:marBottom w:val="0"/>
      <w:divBdr>
        <w:top w:val="none" w:sz="0" w:space="0" w:color="auto"/>
        <w:left w:val="none" w:sz="0" w:space="0" w:color="auto"/>
        <w:bottom w:val="none" w:sz="0" w:space="0" w:color="auto"/>
        <w:right w:val="none" w:sz="0" w:space="0" w:color="auto"/>
      </w:divBdr>
    </w:div>
    <w:div w:id="10571277">
      <w:marLeft w:val="0"/>
      <w:marRight w:val="0"/>
      <w:marTop w:val="0"/>
      <w:marBottom w:val="0"/>
      <w:divBdr>
        <w:top w:val="none" w:sz="0" w:space="0" w:color="auto"/>
        <w:left w:val="none" w:sz="0" w:space="0" w:color="auto"/>
        <w:bottom w:val="none" w:sz="0" w:space="0" w:color="auto"/>
        <w:right w:val="none" w:sz="0" w:space="0" w:color="auto"/>
      </w:divBdr>
    </w:div>
    <w:div w:id="10571278">
      <w:marLeft w:val="0"/>
      <w:marRight w:val="0"/>
      <w:marTop w:val="0"/>
      <w:marBottom w:val="0"/>
      <w:divBdr>
        <w:top w:val="none" w:sz="0" w:space="0" w:color="auto"/>
        <w:left w:val="none" w:sz="0" w:space="0" w:color="auto"/>
        <w:bottom w:val="none" w:sz="0" w:space="0" w:color="auto"/>
        <w:right w:val="none" w:sz="0" w:space="0" w:color="auto"/>
      </w:divBdr>
    </w:div>
    <w:div w:id="10571280">
      <w:marLeft w:val="0"/>
      <w:marRight w:val="0"/>
      <w:marTop w:val="0"/>
      <w:marBottom w:val="0"/>
      <w:divBdr>
        <w:top w:val="none" w:sz="0" w:space="0" w:color="auto"/>
        <w:left w:val="none" w:sz="0" w:space="0" w:color="auto"/>
        <w:bottom w:val="none" w:sz="0" w:space="0" w:color="auto"/>
        <w:right w:val="none" w:sz="0" w:space="0" w:color="auto"/>
      </w:divBdr>
      <w:divsChild>
        <w:div w:id="10571267">
          <w:marLeft w:val="0"/>
          <w:marRight w:val="0"/>
          <w:marTop w:val="0"/>
          <w:marBottom w:val="0"/>
          <w:divBdr>
            <w:top w:val="none" w:sz="0" w:space="0" w:color="auto"/>
            <w:left w:val="none" w:sz="0" w:space="0" w:color="auto"/>
            <w:bottom w:val="none" w:sz="0" w:space="0" w:color="auto"/>
            <w:right w:val="none" w:sz="0" w:space="0" w:color="auto"/>
          </w:divBdr>
          <w:divsChild>
            <w:div w:id="10571266">
              <w:marLeft w:val="0"/>
              <w:marRight w:val="0"/>
              <w:marTop w:val="0"/>
              <w:marBottom w:val="0"/>
              <w:divBdr>
                <w:top w:val="none" w:sz="0" w:space="0" w:color="auto"/>
                <w:left w:val="none" w:sz="0" w:space="0" w:color="auto"/>
                <w:bottom w:val="none" w:sz="0" w:space="0" w:color="auto"/>
                <w:right w:val="none" w:sz="0" w:space="0" w:color="auto"/>
              </w:divBdr>
              <w:divsChild>
                <w:div w:id="10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1">
      <w:marLeft w:val="0"/>
      <w:marRight w:val="0"/>
      <w:marTop w:val="0"/>
      <w:marBottom w:val="0"/>
      <w:divBdr>
        <w:top w:val="none" w:sz="0" w:space="0" w:color="auto"/>
        <w:left w:val="none" w:sz="0" w:space="0" w:color="auto"/>
        <w:bottom w:val="none" w:sz="0" w:space="0" w:color="auto"/>
        <w:right w:val="none" w:sz="0" w:space="0" w:color="auto"/>
      </w:divBdr>
      <w:divsChild>
        <w:div w:id="10571264">
          <w:marLeft w:val="0"/>
          <w:marRight w:val="0"/>
          <w:marTop w:val="0"/>
          <w:marBottom w:val="0"/>
          <w:divBdr>
            <w:top w:val="none" w:sz="0" w:space="0" w:color="auto"/>
            <w:left w:val="none" w:sz="0" w:space="0" w:color="auto"/>
            <w:bottom w:val="none" w:sz="0" w:space="0" w:color="auto"/>
            <w:right w:val="none" w:sz="0" w:space="0" w:color="auto"/>
          </w:divBdr>
        </w:div>
      </w:divsChild>
    </w:div>
    <w:div w:id="10571282">
      <w:marLeft w:val="0"/>
      <w:marRight w:val="0"/>
      <w:marTop w:val="0"/>
      <w:marBottom w:val="0"/>
      <w:divBdr>
        <w:top w:val="none" w:sz="0" w:space="0" w:color="auto"/>
        <w:left w:val="none" w:sz="0" w:space="0" w:color="auto"/>
        <w:bottom w:val="none" w:sz="0" w:space="0" w:color="auto"/>
        <w:right w:val="none" w:sz="0" w:space="0" w:color="auto"/>
      </w:divBdr>
      <w:divsChild>
        <w:div w:id="10571257">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
            <w:div w:id="10571263">
              <w:marLeft w:val="0"/>
              <w:marRight w:val="0"/>
              <w:marTop w:val="0"/>
              <w:marBottom w:val="0"/>
              <w:divBdr>
                <w:top w:val="none" w:sz="0" w:space="0" w:color="auto"/>
                <w:left w:val="none" w:sz="0" w:space="0" w:color="auto"/>
                <w:bottom w:val="none" w:sz="0" w:space="0" w:color="auto"/>
                <w:right w:val="none" w:sz="0" w:space="0" w:color="auto"/>
              </w:divBdr>
            </w:div>
            <w:div w:id="10571271">
              <w:marLeft w:val="0"/>
              <w:marRight w:val="0"/>
              <w:marTop w:val="0"/>
              <w:marBottom w:val="0"/>
              <w:divBdr>
                <w:top w:val="none" w:sz="0" w:space="0" w:color="auto"/>
                <w:left w:val="none" w:sz="0" w:space="0" w:color="auto"/>
                <w:bottom w:val="none" w:sz="0" w:space="0" w:color="auto"/>
                <w:right w:val="none" w:sz="0" w:space="0" w:color="auto"/>
              </w:divBdr>
            </w:div>
            <w:div w:id="1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4">
      <w:marLeft w:val="0"/>
      <w:marRight w:val="0"/>
      <w:marTop w:val="0"/>
      <w:marBottom w:val="0"/>
      <w:divBdr>
        <w:top w:val="none" w:sz="0" w:space="0" w:color="auto"/>
        <w:left w:val="none" w:sz="0" w:space="0" w:color="auto"/>
        <w:bottom w:val="none" w:sz="0" w:space="0" w:color="auto"/>
        <w:right w:val="none" w:sz="0" w:space="0" w:color="auto"/>
      </w:divBdr>
    </w:div>
    <w:div w:id="10571285">
      <w:marLeft w:val="0"/>
      <w:marRight w:val="0"/>
      <w:marTop w:val="0"/>
      <w:marBottom w:val="0"/>
      <w:divBdr>
        <w:top w:val="none" w:sz="0" w:space="0" w:color="auto"/>
        <w:left w:val="none" w:sz="0" w:space="0" w:color="auto"/>
        <w:bottom w:val="none" w:sz="0" w:space="0" w:color="auto"/>
        <w:right w:val="none" w:sz="0" w:space="0" w:color="auto"/>
      </w:divBdr>
    </w:div>
    <w:div w:id="10571286">
      <w:marLeft w:val="0"/>
      <w:marRight w:val="0"/>
      <w:marTop w:val="0"/>
      <w:marBottom w:val="0"/>
      <w:divBdr>
        <w:top w:val="none" w:sz="0" w:space="0" w:color="auto"/>
        <w:left w:val="none" w:sz="0" w:space="0" w:color="auto"/>
        <w:bottom w:val="none" w:sz="0" w:space="0" w:color="auto"/>
        <w:right w:val="none" w:sz="0" w:space="0" w:color="auto"/>
      </w:divBdr>
    </w:div>
    <w:div w:id="10571288">
      <w:marLeft w:val="0"/>
      <w:marRight w:val="0"/>
      <w:marTop w:val="0"/>
      <w:marBottom w:val="0"/>
      <w:divBdr>
        <w:top w:val="none" w:sz="0" w:space="0" w:color="auto"/>
        <w:left w:val="none" w:sz="0" w:space="0" w:color="auto"/>
        <w:bottom w:val="none" w:sz="0" w:space="0" w:color="auto"/>
        <w:right w:val="none" w:sz="0" w:space="0" w:color="auto"/>
      </w:divBdr>
    </w:div>
    <w:div w:id="57831011">
      <w:bodyDiv w:val="1"/>
      <w:marLeft w:val="0"/>
      <w:marRight w:val="0"/>
      <w:marTop w:val="0"/>
      <w:marBottom w:val="0"/>
      <w:divBdr>
        <w:top w:val="none" w:sz="0" w:space="0" w:color="auto"/>
        <w:left w:val="none" w:sz="0" w:space="0" w:color="auto"/>
        <w:bottom w:val="none" w:sz="0" w:space="0" w:color="auto"/>
        <w:right w:val="none" w:sz="0" w:space="0" w:color="auto"/>
      </w:divBdr>
    </w:div>
    <w:div w:id="93019030">
      <w:bodyDiv w:val="1"/>
      <w:marLeft w:val="0"/>
      <w:marRight w:val="0"/>
      <w:marTop w:val="0"/>
      <w:marBottom w:val="0"/>
      <w:divBdr>
        <w:top w:val="none" w:sz="0" w:space="0" w:color="auto"/>
        <w:left w:val="none" w:sz="0" w:space="0" w:color="auto"/>
        <w:bottom w:val="none" w:sz="0" w:space="0" w:color="auto"/>
        <w:right w:val="none" w:sz="0" w:space="0" w:color="auto"/>
      </w:divBdr>
    </w:div>
    <w:div w:id="368727913">
      <w:bodyDiv w:val="1"/>
      <w:marLeft w:val="0"/>
      <w:marRight w:val="0"/>
      <w:marTop w:val="0"/>
      <w:marBottom w:val="0"/>
      <w:divBdr>
        <w:top w:val="none" w:sz="0" w:space="0" w:color="auto"/>
        <w:left w:val="none" w:sz="0" w:space="0" w:color="auto"/>
        <w:bottom w:val="none" w:sz="0" w:space="0" w:color="auto"/>
        <w:right w:val="none" w:sz="0" w:space="0" w:color="auto"/>
      </w:divBdr>
    </w:div>
    <w:div w:id="3910838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40441665">
          <w:marLeft w:val="0"/>
          <w:marRight w:val="0"/>
          <w:marTop w:val="0"/>
          <w:marBottom w:val="0"/>
          <w:divBdr>
            <w:top w:val="none" w:sz="0" w:space="0" w:color="auto"/>
            <w:left w:val="none" w:sz="0" w:space="0" w:color="auto"/>
            <w:bottom w:val="none" w:sz="0" w:space="0" w:color="auto"/>
            <w:right w:val="none" w:sz="0" w:space="0" w:color="auto"/>
          </w:divBdr>
          <w:divsChild>
            <w:div w:id="85274081">
              <w:marLeft w:val="0"/>
              <w:marRight w:val="0"/>
              <w:marTop w:val="0"/>
              <w:marBottom w:val="0"/>
              <w:divBdr>
                <w:top w:val="none" w:sz="0" w:space="0" w:color="auto"/>
                <w:left w:val="none" w:sz="0" w:space="0" w:color="auto"/>
                <w:bottom w:val="none" w:sz="0" w:space="0" w:color="auto"/>
                <w:right w:val="none" w:sz="0" w:space="0" w:color="auto"/>
              </w:divBdr>
              <w:divsChild>
                <w:div w:id="651568691">
                  <w:marLeft w:val="0"/>
                  <w:marRight w:val="0"/>
                  <w:marTop w:val="0"/>
                  <w:marBottom w:val="0"/>
                  <w:divBdr>
                    <w:top w:val="none" w:sz="0" w:space="0" w:color="auto"/>
                    <w:left w:val="none" w:sz="0" w:space="0" w:color="auto"/>
                    <w:bottom w:val="none" w:sz="0" w:space="0" w:color="auto"/>
                    <w:right w:val="none" w:sz="0" w:space="0" w:color="auto"/>
                  </w:divBdr>
                  <w:divsChild>
                    <w:div w:id="1635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6533">
      <w:bodyDiv w:val="1"/>
      <w:marLeft w:val="0"/>
      <w:marRight w:val="0"/>
      <w:marTop w:val="0"/>
      <w:marBottom w:val="0"/>
      <w:divBdr>
        <w:top w:val="none" w:sz="0" w:space="0" w:color="auto"/>
        <w:left w:val="none" w:sz="0" w:space="0" w:color="auto"/>
        <w:bottom w:val="none" w:sz="0" w:space="0" w:color="auto"/>
        <w:right w:val="none" w:sz="0" w:space="0" w:color="auto"/>
      </w:divBdr>
    </w:div>
    <w:div w:id="472138783">
      <w:bodyDiv w:val="1"/>
      <w:marLeft w:val="0"/>
      <w:marRight w:val="0"/>
      <w:marTop w:val="0"/>
      <w:marBottom w:val="0"/>
      <w:divBdr>
        <w:top w:val="none" w:sz="0" w:space="0" w:color="auto"/>
        <w:left w:val="none" w:sz="0" w:space="0" w:color="auto"/>
        <w:bottom w:val="none" w:sz="0" w:space="0" w:color="auto"/>
        <w:right w:val="none" w:sz="0" w:space="0" w:color="auto"/>
      </w:divBdr>
      <w:divsChild>
        <w:div w:id="427120523">
          <w:marLeft w:val="0"/>
          <w:marRight w:val="0"/>
          <w:marTop w:val="0"/>
          <w:marBottom w:val="0"/>
          <w:divBdr>
            <w:top w:val="none" w:sz="0" w:space="0" w:color="auto"/>
            <w:left w:val="none" w:sz="0" w:space="0" w:color="auto"/>
            <w:bottom w:val="none" w:sz="0" w:space="0" w:color="auto"/>
            <w:right w:val="none" w:sz="0" w:space="0" w:color="auto"/>
          </w:divBdr>
          <w:divsChild>
            <w:div w:id="2103715496">
              <w:marLeft w:val="0"/>
              <w:marRight w:val="0"/>
              <w:marTop w:val="0"/>
              <w:marBottom w:val="0"/>
              <w:divBdr>
                <w:top w:val="none" w:sz="0" w:space="0" w:color="auto"/>
                <w:left w:val="none" w:sz="0" w:space="0" w:color="auto"/>
                <w:bottom w:val="none" w:sz="0" w:space="0" w:color="auto"/>
                <w:right w:val="none" w:sz="0" w:space="0" w:color="auto"/>
              </w:divBdr>
              <w:divsChild>
                <w:div w:id="2012558957">
                  <w:marLeft w:val="0"/>
                  <w:marRight w:val="0"/>
                  <w:marTop w:val="0"/>
                  <w:marBottom w:val="0"/>
                  <w:divBdr>
                    <w:top w:val="none" w:sz="0" w:space="0" w:color="auto"/>
                    <w:left w:val="none" w:sz="0" w:space="0" w:color="auto"/>
                    <w:bottom w:val="none" w:sz="0" w:space="0" w:color="auto"/>
                    <w:right w:val="none" w:sz="0" w:space="0" w:color="auto"/>
                  </w:divBdr>
                  <w:divsChild>
                    <w:div w:id="1850296211">
                      <w:marLeft w:val="0"/>
                      <w:marRight w:val="0"/>
                      <w:marTop w:val="0"/>
                      <w:marBottom w:val="0"/>
                      <w:divBdr>
                        <w:top w:val="single" w:sz="6" w:space="0" w:color="CCCCCC"/>
                        <w:left w:val="single" w:sz="2" w:space="0" w:color="CCCCCC"/>
                        <w:bottom w:val="single" w:sz="6" w:space="0" w:color="CCCCCC"/>
                        <w:right w:val="single" w:sz="2" w:space="0" w:color="CCCCCC"/>
                      </w:divBdr>
                      <w:divsChild>
                        <w:div w:id="1939829314">
                          <w:marLeft w:val="0"/>
                          <w:marRight w:val="0"/>
                          <w:marTop w:val="0"/>
                          <w:marBottom w:val="0"/>
                          <w:divBdr>
                            <w:top w:val="none" w:sz="0" w:space="0" w:color="auto"/>
                            <w:left w:val="none" w:sz="0" w:space="0" w:color="auto"/>
                            <w:bottom w:val="none" w:sz="0" w:space="0" w:color="auto"/>
                            <w:right w:val="none" w:sz="0" w:space="0" w:color="auto"/>
                          </w:divBdr>
                          <w:divsChild>
                            <w:div w:id="4930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344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39133870">
          <w:marLeft w:val="0"/>
          <w:marRight w:val="0"/>
          <w:marTop w:val="0"/>
          <w:marBottom w:val="0"/>
          <w:divBdr>
            <w:top w:val="none" w:sz="0" w:space="0" w:color="auto"/>
            <w:left w:val="none" w:sz="0" w:space="0" w:color="auto"/>
            <w:bottom w:val="none" w:sz="0" w:space="0" w:color="auto"/>
            <w:right w:val="none" w:sz="0" w:space="0" w:color="auto"/>
          </w:divBdr>
          <w:divsChild>
            <w:div w:id="1033729145">
              <w:marLeft w:val="0"/>
              <w:marRight w:val="0"/>
              <w:marTop w:val="0"/>
              <w:marBottom w:val="0"/>
              <w:divBdr>
                <w:top w:val="none" w:sz="0" w:space="0" w:color="auto"/>
                <w:left w:val="none" w:sz="0" w:space="0" w:color="auto"/>
                <w:bottom w:val="none" w:sz="0" w:space="0" w:color="auto"/>
                <w:right w:val="none" w:sz="0" w:space="0" w:color="auto"/>
              </w:divBdr>
              <w:divsChild>
                <w:div w:id="1983656258">
                  <w:marLeft w:val="0"/>
                  <w:marRight w:val="0"/>
                  <w:marTop w:val="0"/>
                  <w:marBottom w:val="0"/>
                  <w:divBdr>
                    <w:top w:val="none" w:sz="0" w:space="0" w:color="auto"/>
                    <w:left w:val="none" w:sz="0" w:space="0" w:color="auto"/>
                    <w:bottom w:val="none" w:sz="0" w:space="0" w:color="auto"/>
                    <w:right w:val="none" w:sz="0" w:space="0" w:color="auto"/>
                  </w:divBdr>
                  <w:divsChild>
                    <w:div w:id="1954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3325">
      <w:bodyDiv w:val="1"/>
      <w:marLeft w:val="0"/>
      <w:marRight w:val="0"/>
      <w:marTop w:val="0"/>
      <w:marBottom w:val="0"/>
      <w:divBdr>
        <w:top w:val="none" w:sz="0" w:space="0" w:color="auto"/>
        <w:left w:val="none" w:sz="0" w:space="0" w:color="auto"/>
        <w:bottom w:val="none" w:sz="0" w:space="0" w:color="auto"/>
        <w:right w:val="none" w:sz="0" w:space="0" w:color="auto"/>
      </w:divBdr>
    </w:div>
    <w:div w:id="614871348">
      <w:bodyDiv w:val="1"/>
      <w:marLeft w:val="0"/>
      <w:marRight w:val="0"/>
      <w:marTop w:val="0"/>
      <w:marBottom w:val="0"/>
      <w:divBdr>
        <w:top w:val="none" w:sz="0" w:space="0" w:color="auto"/>
        <w:left w:val="none" w:sz="0" w:space="0" w:color="auto"/>
        <w:bottom w:val="none" w:sz="0" w:space="0" w:color="auto"/>
        <w:right w:val="none" w:sz="0" w:space="0" w:color="auto"/>
      </w:divBdr>
    </w:div>
    <w:div w:id="695884268">
      <w:bodyDiv w:val="1"/>
      <w:marLeft w:val="0"/>
      <w:marRight w:val="0"/>
      <w:marTop w:val="0"/>
      <w:marBottom w:val="0"/>
      <w:divBdr>
        <w:top w:val="none" w:sz="0" w:space="0" w:color="auto"/>
        <w:left w:val="none" w:sz="0" w:space="0" w:color="auto"/>
        <w:bottom w:val="none" w:sz="0" w:space="0" w:color="auto"/>
        <w:right w:val="none" w:sz="0" w:space="0" w:color="auto"/>
      </w:divBdr>
    </w:div>
    <w:div w:id="799105223">
      <w:bodyDiv w:val="1"/>
      <w:marLeft w:val="0"/>
      <w:marRight w:val="0"/>
      <w:marTop w:val="0"/>
      <w:marBottom w:val="0"/>
      <w:divBdr>
        <w:top w:val="none" w:sz="0" w:space="0" w:color="auto"/>
        <w:left w:val="none" w:sz="0" w:space="0" w:color="auto"/>
        <w:bottom w:val="none" w:sz="0" w:space="0" w:color="auto"/>
        <w:right w:val="none" w:sz="0" w:space="0" w:color="auto"/>
      </w:divBdr>
    </w:div>
    <w:div w:id="934363068">
      <w:bodyDiv w:val="1"/>
      <w:marLeft w:val="0"/>
      <w:marRight w:val="0"/>
      <w:marTop w:val="0"/>
      <w:marBottom w:val="0"/>
      <w:divBdr>
        <w:top w:val="none" w:sz="0" w:space="0" w:color="auto"/>
        <w:left w:val="none" w:sz="0" w:space="0" w:color="auto"/>
        <w:bottom w:val="none" w:sz="0" w:space="0" w:color="auto"/>
        <w:right w:val="none" w:sz="0" w:space="0" w:color="auto"/>
      </w:divBdr>
    </w:div>
    <w:div w:id="1017273481">
      <w:bodyDiv w:val="1"/>
      <w:marLeft w:val="0"/>
      <w:marRight w:val="0"/>
      <w:marTop w:val="0"/>
      <w:marBottom w:val="0"/>
      <w:divBdr>
        <w:top w:val="none" w:sz="0" w:space="0" w:color="auto"/>
        <w:left w:val="none" w:sz="0" w:space="0" w:color="auto"/>
        <w:bottom w:val="none" w:sz="0" w:space="0" w:color="auto"/>
        <w:right w:val="none" w:sz="0" w:space="0" w:color="auto"/>
      </w:divBdr>
    </w:div>
    <w:div w:id="1044019594">
      <w:bodyDiv w:val="1"/>
      <w:marLeft w:val="0"/>
      <w:marRight w:val="0"/>
      <w:marTop w:val="0"/>
      <w:marBottom w:val="0"/>
      <w:divBdr>
        <w:top w:val="none" w:sz="0" w:space="0" w:color="auto"/>
        <w:left w:val="none" w:sz="0" w:space="0" w:color="auto"/>
        <w:bottom w:val="none" w:sz="0" w:space="0" w:color="auto"/>
        <w:right w:val="none" w:sz="0" w:space="0" w:color="auto"/>
      </w:divBdr>
    </w:div>
    <w:div w:id="1183939622">
      <w:bodyDiv w:val="1"/>
      <w:marLeft w:val="0"/>
      <w:marRight w:val="0"/>
      <w:marTop w:val="0"/>
      <w:marBottom w:val="0"/>
      <w:divBdr>
        <w:top w:val="none" w:sz="0" w:space="0" w:color="auto"/>
        <w:left w:val="none" w:sz="0" w:space="0" w:color="auto"/>
        <w:bottom w:val="none" w:sz="0" w:space="0" w:color="auto"/>
        <w:right w:val="none" w:sz="0" w:space="0" w:color="auto"/>
      </w:divBdr>
    </w:div>
    <w:div w:id="1188831598">
      <w:bodyDiv w:val="1"/>
      <w:marLeft w:val="0"/>
      <w:marRight w:val="0"/>
      <w:marTop w:val="0"/>
      <w:marBottom w:val="0"/>
      <w:divBdr>
        <w:top w:val="none" w:sz="0" w:space="0" w:color="auto"/>
        <w:left w:val="none" w:sz="0" w:space="0" w:color="auto"/>
        <w:bottom w:val="none" w:sz="0" w:space="0" w:color="auto"/>
        <w:right w:val="none" w:sz="0" w:space="0" w:color="auto"/>
      </w:divBdr>
    </w:div>
    <w:div w:id="1371220553">
      <w:bodyDiv w:val="1"/>
      <w:marLeft w:val="0"/>
      <w:marRight w:val="0"/>
      <w:marTop w:val="0"/>
      <w:marBottom w:val="0"/>
      <w:divBdr>
        <w:top w:val="none" w:sz="0" w:space="0" w:color="auto"/>
        <w:left w:val="none" w:sz="0" w:space="0" w:color="auto"/>
        <w:bottom w:val="none" w:sz="0" w:space="0" w:color="auto"/>
        <w:right w:val="none" w:sz="0" w:space="0" w:color="auto"/>
      </w:divBdr>
      <w:divsChild>
        <w:div w:id="1585453246">
          <w:marLeft w:val="547"/>
          <w:marRight w:val="0"/>
          <w:marTop w:val="0"/>
          <w:marBottom w:val="0"/>
          <w:divBdr>
            <w:top w:val="none" w:sz="0" w:space="0" w:color="auto"/>
            <w:left w:val="none" w:sz="0" w:space="0" w:color="auto"/>
            <w:bottom w:val="none" w:sz="0" w:space="0" w:color="auto"/>
            <w:right w:val="none" w:sz="0" w:space="0" w:color="auto"/>
          </w:divBdr>
        </w:div>
      </w:divsChild>
    </w:div>
    <w:div w:id="1526747483">
      <w:bodyDiv w:val="1"/>
      <w:marLeft w:val="0"/>
      <w:marRight w:val="0"/>
      <w:marTop w:val="0"/>
      <w:marBottom w:val="0"/>
      <w:divBdr>
        <w:top w:val="none" w:sz="0" w:space="0" w:color="auto"/>
        <w:left w:val="none" w:sz="0" w:space="0" w:color="auto"/>
        <w:bottom w:val="none" w:sz="0" w:space="0" w:color="auto"/>
        <w:right w:val="none" w:sz="0" w:space="0" w:color="auto"/>
      </w:divBdr>
    </w:div>
    <w:div w:id="1684163074">
      <w:bodyDiv w:val="1"/>
      <w:marLeft w:val="0"/>
      <w:marRight w:val="0"/>
      <w:marTop w:val="0"/>
      <w:marBottom w:val="0"/>
      <w:divBdr>
        <w:top w:val="none" w:sz="0" w:space="0" w:color="auto"/>
        <w:left w:val="none" w:sz="0" w:space="0" w:color="auto"/>
        <w:bottom w:val="none" w:sz="0" w:space="0" w:color="auto"/>
        <w:right w:val="none" w:sz="0" w:space="0" w:color="auto"/>
      </w:divBdr>
    </w:div>
    <w:div w:id="17065226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89761823">
          <w:marLeft w:val="0"/>
          <w:marRight w:val="0"/>
          <w:marTop w:val="0"/>
          <w:marBottom w:val="0"/>
          <w:divBdr>
            <w:top w:val="none" w:sz="0" w:space="0" w:color="auto"/>
            <w:left w:val="none" w:sz="0" w:space="0" w:color="auto"/>
            <w:bottom w:val="none" w:sz="0" w:space="0" w:color="auto"/>
            <w:right w:val="none" w:sz="0" w:space="0" w:color="auto"/>
          </w:divBdr>
          <w:divsChild>
            <w:div w:id="1426994482">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3079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www.nasdaqomx.com/transactions/markets/nasdaq-futures/information-center" TargetMode="External"/><Relationship Id="rId39" Type="http://schemas.openxmlformats.org/officeDocument/2006/relationships/header" Target="header4.xml"/><Relationship Id="rId21" Type="http://schemas.openxmlformats.org/officeDocument/2006/relationships/hyperlink" Target="mailto:nfxops@nasdaq.com" TargetMode="External"/><Relationship Id="rId34" Type="http://schemas.openxmlformats.org/officeDocument/2006/relationships/image" Target="media/image6.png"/><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hyperlink" Target="http://www.nasdaqomx.com/transactions/markets/nasdaq-futures/onboar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nasdaqomx.com/transactions/markets/nasdaq-futures/onboarding" TargetMode="External"/><Relationship Id="rId32" Type="http://schemas.openxmlformats.org/officeDocument/2006/relationships/image" Target="media/image4.png"/><Relationship Id="rId37" Type="http://schemas.openxmlformats.org/officeDocument/2006/relationships/hyperlink" Target="http://www.nasdaqomx.com/transactions/markets/nasdaq-futures/information-center" TargetMode="External"/><Relationship Id="rId40" Type="http://schemas.openxmlformats.org/officeDocument/2006/relationships/footer" Target="footer3.xml"/><Relationship Id="rId45"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aravind.menon@nasdaq.com" TargetMode="External"/><Relationship Id="rId23" Type="http://schemas.openxmlformats.org/officeDocument/2006/relationships/hyperlink" Target="mailto:memberservices@theocc.com" TargetMode="External"/><Relationship Id="rId28" Type="http://schemas.openxmlformats.org/officeDocument/2006/relationships/hyperlink" Target="http://business.nasdaq.com/Docs//EnergyProductsListing_tcm5044-17711.pdf" TargetMode="External"/><Relationship Id="rId36" Type="http://schemas.openxmlformats.org/officeDocument/2006/relationships/hyperlink" Target="http://business.nasdaq.com/nasdaq-futures/onboarding" TargetMode="External"/><Relationship Id="rId10" Type="http://schemas.openxmlformats.org/officeDocument/2006/relationships/endnotes" Target="endnotes.xml"/><Relationship Id="rId19" Type="http://schemas.openxmlformats.org/officeDocument/2006/relationships/hyperlink" Target="mailto:futures@nasdaq.com" TargetMode="External"/><Relationship Id="rId31" Type="http://schemas.openxmlformats.org/officeDocument/2006/relationships/hyperlink" Target="http://www.nasdaqomx.com/transactions/markets/nasdaq-futures/information-center"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usiness.nasdaq.com/futures" TargetMode="External"/><Relationship Id="rId22" Type="http://schemas.openxmlformats.org/officeDocument/2006/relationships/hyperlink" Target="mailto:technicalsupport@nasdaq.com" TargetMode="External"/><Relationship Id="rId27" Type="http://schemas.openxmlformats.org/officeDocument/2006/relationships/hyperlink" Target="http://www.nasdaqomx.com/transactions/markets/nasdaq-futures/products" TargetMode="External"/><Relationship Id="rId30" Type="http://schemas.openxmlformats.org/officeDocument/2006/relationships/hyperlink" Target="http://business.nasdaq.com/nasdaq-futures/onboarding" TargetMode="External"/><Relationship Id="rId35" Type="http://schemas.openxmlformats.org/officeDocument/2006/relationships/hyperlink" Target="http://www.nasdaqomx.com/transactions/markets/nasdaq-futures/onboarding"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yperlink" Target="http://business.nasdaq.com/nasdaq-futures/onboarding" TargetMode="External"/><Relationship Id="rId33" Type="http://schemas.openxmlformats.org/officeDocument/2006/relationships/image" Target="media/image5.png"/><Relationship Id="rId38" Type="http://schemas.openxmlformats.org/officeDocument/2006/relationships/header" Target="header3.xml"/><Relationship Id="rId20" Type="http://schemas.openxmlformats.org/officeDocument/2006/relationships/hyperlink" Target="mailto:nfxonboarding@nasdaq.com" TargetMode="External"/><Relationship Id="rId41"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88db688a-48c5-4cde-a849-9dc34e1a1cfd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2016-10-26T21:02:28+00:00</Document_x0020_Date>
    <Document_x0020_No xmlns="4b47aac5-4c46-444f-8595-ce09b406fc61">26986</Document_x0020_No>
  </documentManagement>
</p:properties>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188E6-C130-491C-B910-9A5CCF47FE65}"/>
</file>

<file path=customXml/itemProps2.xml><?xml version="1.0" encoding="utf-8"?>
<ds:datastoreItem xmlns:ds="http://schemas.openxmlformats.org/officeDocument/2006/customXml" ds:itemID="{DD1BE5E6-C298-45B7-814F-AD4BD0E39938}"/>
</file>

<file path=customXml/itemProps3.xml><?xml version="1.0" encoding="utf-8"?>
<ds:datastoreItem xmlns:ds="http://schemas.openxmlformats.org/officeDocument/2006/customXml" ds:itemID="{D3994383-5A19-49A3-A9DF-DE78C155D5C5}"/>
</file>

<file path=customXml/itemProps4.xml><?xml version="1.0" encoding="utf-8"?>
<ds:datastoreItem xmlns:ds="http://schemas.openxmlformats.org/officeDocument/2006/customXml" ds:itemID="{E213173B-9AD4-4F44-A1B1-9ABF4A31478D}"/>
</file>

<file path=customXml/itemProps5.xml><?xml version="1.0" encoding="utf-8"?>
<ds:datastoreItem xmlns:ds="http://schemas.openxmlformats.org/officeDocument/2006/customXml" ds:itemID="{AF2029E9-EAD6-42FB-856B-636A79B418E3}"/>
</file>

<file path=docProps/app.xml><?xml version="1.0" encoding="utf-8"?>
<Properties xmlns="http://schemas.openxmlformats.org/officeDocument/2006/extended-properties" xmlns:vt="http://schemas.openxmlformats.org/officeDocument/2006/docPropsVTypes">
  <Template>Normal</Template>
  <TotalTime>0</TotalTime>
  <Pages>22</Pages>
  <Words>7650</Words>
  <Characters>43610</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Mass Quote Protection and Self-Match Prevention Reference Guide DRAFT 8.24.2016</vt:lpstr>
    </vt:vector>
  </TitlesOfParts>
  <Company>The Nasdaq OMX Group, Inc.</Company>
  <LinksUpToDate>false</LinksUpToDate>
  <CharactersWithSpaces>51158</CharactersWithSpaces>
  <SharedDoc>false</SharedDoc>
  <HLinks>
    <vt:vector size="534" baseType="variant">
      <vt:variant>
        <vt:i4>2293858</vt:i4>
      </vt:variant>
      <vt:variant>
        <vt:i4>495</vt:i4>
      </vt:variant>
      <vt:variant>
        <vt:i4>0</vt:i4>
      </vt:variant>
      <vt:variant>
        <vt:i4>5</vt:i4>
      </vt:variant>
      <vt:variant>
        <vt:lpwstr>http://www.vsp.com/</vt:lpwstr>
      </vt:variant>
      <vt:variant>
        <vt:lpwstr/>
      </vt:variant>
      <vt:variant>
        <vt:i4>5111879</vt:i4>
      </vt:variant>
      <vt:variant>
        <vt:i4>492</vt:i4>
      </vt:variant>
      <vt:variant>
        <vt:i4>0</vt:i4>
      </vt:variant>
      <vt:variant>
        <vt:i4>5</vt:i4>
      </vt:variant>
      <vt:variant>
        <vt:lpwstr>http://www.ebpabenefits.com/</vt:lpwstr>
      </vt:variant>
      <vt:variant>
        <vt:lpwstr/>
      </vt:variant>
      <vt:variant>
        <vt:i4>5308422</vt:i4>
      </vt:variant>
      <vt:variant>
        <vt:i4>489</vt:i4>
      </vt:variant>
      <vt:variant>
        <vt:i4>0</vt:i4>
      </vt:variant>
      <vt:variant>
        <vt:i4>5</vt:i4>
      </vt:variant>
      <vt:variant>
        <vt:lpwstr>http://www.petinsurance.com/afi/N/nasdaq.aspx?ec=N985</vt:lpwstr>
      </vt:variant>
      <vt:variant>
        <vt:lpwstr/>
      </vt:variant>
      <vt:variant>
        <vt:i4>5111879</vt:i4>
      </vt:variant>
      <vt:variant>
        <vt:i4>486</vt:i4>
      </vt:variant>
      <vt:variant>
        <vt:i4>0</vt:i4>
      </vt:variant>
      <vt:variant>
        <vt:i4>5</vt:i4>
      </vt:variant>
      <vt:variant>
        <vt:lpwstr>http://www.ebpabenefits.com/</vt:lpwstr>
      </vt:variant>
      <vt:variant>
        <vt:lpwstr/>
      </vt:variant>
      <vt:variant>
        <vt:i4>7143451</vt:i4>
      </vt:variant>
      <vt:variant>
        <vt:i4>483</vt:i4>
      </vt:variant>
      <vt:variant>
        <vt:i4>0</vt:i4>
      </vt:variant>
      <vt:variant>
        <vt:i4>5</vt:i4>
      </vt:variant>
      <vt:variant>
        <vt:lpwstr>mailto:lindsay.katz@nasdaqomx.com</vt:lpwstr>
      </vt:variant>
      <vt:variant>
        <vt:lpwstr/>
      </vt:variant>
      <vt:variant>
        <vt:i4>4128825</vt:i4>
      </vt:variant>
      <vt:variant>
        <vt:i4>480</vt:i4>
      </vt:variant>
      <vt:variant>
        <vt:i4>0</vt:i4>
      </vt:variant>
      <vt:variant>
        <vt:i4>5</vt:i4>
      </vt:variant>
      <vt:variant>
        <vt:lpwstr>http://www.magellanhealth.com/</vt:lpwstr>
      </vt:variant>
      <vt:variant>
        <vt:lpwstr/>
      </vt:variant>
      <vt:variant>
        <vt:i4>2359355</vt:i4>
      </vt:variant>
      <vt:variant>
        <vt:i4>477</vt:i4>
      </vt:variant>
      <vt:variant>
        <vt:i4>0</vt:i4>
      </vt:variant>
      <vt:variant>
        <vt:i4>5</vt:i4>
      </vt:variant>
      <vt:variant>
        <vt:lpwstr>http://www.express-scripts.com/</vt:lpwstr>
      </vt:variant>
      <vt:variant>
        <vt:lpwstr/>
      </vt:variant>
      <vt:variant>
        <vt:i4>4194326</vt:i4>
      </vt:variant>
      <vt:variant>
        <vt:i4>474</vt:i4>
      </vt:variant>
      <vt:variant>
        <vt:i4>0</vt:i4>
      </vt:variant>
      <vt:variant>
        <vt:i4>5</vt:i4>
      </vt:variant>
      <vt:variant>
        <vt:lpwstr>http://www.cigna.com/</vt:lpwstr>
      </vt:variant>
      <vt:variant>
        <vt:lpwstr/>
      </vt:variant>
      <vt:variant>
        <vt:i4>4194326</vt:i4>
      </vt:variant>
      <vt:variant>
        <vt:i4>471</vt:i4>
      </vt:variant>
      <vt:variant>
        <vt:i4>0</vt:i4>
      </vt:variant>
      <vt:variant>
        <vt:i4>5</vt:i4>
      </vt:variant>
      <vt:variant>
        <vt:lpwstr>http://www.cigna.com/</vt:lpwstr>
      </vt:variant>
      <vt:variant>
        <vt:lpwstr/>
      </vt:variant>
      <vt:variant>
        <vt:i4>4128825</vt:i4>
      </vt:variant>
      <vt:variant>
        <vt:i4>468</vt:i4>
      </vt:variant>
      <vt:variant>
        <vt:i4>0</vt:i4>
      </vt:variant>
      <vt:variant>
        <vt:i4>5</vt:i4>
      </vt:variant>
      <vt:variant>
        <vt:lpwstr>http://www.magellanhealth.com/</vt:lpwstr>
      </vt:variant>
      <vt:variant>
        <vt:lpwstr/>
      </vt:variant>
      <vt:variant>
        <vt:i4>6029397</vt:i4>
      </vt:variant>
      <vt:variant>
        <vt:i4>465</vt:i4>
      </vt:variant>
      <vt:variant>
        <vt:i4>0</vt:i4>
      </vt:variant>
      <vt:variant>
        <vt:i4>5</vt:i4>
      </vt:variant>
      <vt:variant>
        <vt:lpwstr>http://www.epbabenefits.com/</vt:lpwstr>
      </vt:variant>
      <vt:variant>
        <vt:lpwstr/>
      </vt:variant>
      <vt:variant>
        <vt:i4>2359355</vt:i4>
      </vt:variant>
      <vt:variant>
        <vt:i4>462</vt:i4>
      </vt:variant>
      <vt:variant>
        <vt:i4>0</vt:i4>
      </vt:variant>
      <vt:variant>
        <vt:i4>5</vt:i4>
      </vt:variant>
      <vt:variant>
        <vt:lpwstr>http://www.express-scripts.com/</vt:lpwstr>
      </vt:variant>
      <vt:variant>
        <vt:lpwstr/>
      </vt:variant>
      <vt:variant>
        <vt:i4>2031732</vt:i4>
      </vt:variant>
      <vt:variant>
        <vt:i4>459</vt:i4>
      </vt:variant>
      <vt:variant>
        <vt:i4>0</vt:i4>
      </vt:variant>
      <vt:variant>
        <vt:i4>5</vt:i4>
      </vt:variant>
      <vt:variant>
        <vt:lpwstr>mailto:tanya.smigocki@nasdaqomx.com</vt:lpwstr>
      </vt:variant>
      <vt:variant>
        <vt:lpwstr/>
      </vt:variant>
      <vt:variant>
        <vt:i4>1376312</vt:i4>
      </vt:variant>
      <vt:variant>
        <vt:i4>452</vt:i4>
      </vt:variant>
      <vt:variant>
        <vt:i4>0</vt:i4>
      </vt:variant>
      <vt:variant>
        <vt:i4>5</vt:i4>
      </vt:variant>
      <vt:variant>
        <vt:lpwstr/>
      </vt:variant>
      <vt:variant>
        <vt:lpwstr>_Toc274580608</vt:lpwstr>
      </vt:variant>
      <vt:variant>
        <vt:i4>1376312</vt:i4>
      </vt:variant>
      <vt:variant>
        <vt:i4>446</vt:i4>
      </vt:variant>
      <vt:variant>
        <vt:i4>0</vt:i4>
      </vt:variant>
      <vt:variant>
        <vt:i4>5</vt:i4>
      </vt:variant>
      <vt:variant>
        <vt:lpwstr/>
      </vt:variant>
      <vt:variant>
        <vt:lpwstr>_Toc274580607</vt:lpwstr>
      </vt:variant>
      <vt:variant>
        <vt:i4>1376312</vt:i4>
      </vt:variant>
      <vt:variant>
        <vt:i4>440</vt:i4>
      </vt:variant>
      <vt:variant>
        <vt:i4>0</vt:i4>
      </vt:variant>
      <vt:variant>
        <vt:i4>5</vt:i4>
      </vt:variant>
      <vt:variant>
        <vt:lpwstr/>
      </vt:variant>
      <vt:variant>
        <vt:lpwstr>_Toc274580606</vt:lpwstr>
      </vt:variant>
      <vt:variant>
        <vt:i4>1376312</vt:i4>
      </vt:variant>
      <vt:variant>
        <vt:i4>434</vt:i4>
      </vt:variant>
      <vt:variant>
        <vt:i4>0</vt:i4>
      </vt:variant>
      <vt:variant>
        <vt:i4>5</vt:i4>
      </vt:variant>
      <vt:variant>
        <vt:lpwstr/>
      </vt:variant>
      <vt:variant>
        <vt:lpwstr>_Toc274580605</vt:lpwstr>
      </vt:variant>
      <vt:variant>
        <vt:i4>1376312</vt:i4>
      </vt:variant>
      <vt:variant>
        <vt:i4>428</vt:i4>
      </vt:variant>
      <vt:variant>
        <vt:i4>0</vt:i4>
      </vt:variant>
      <vt:variant>
        <vt:i4>5</vt:i4>
      </vt:variant>
      <vt:variant>
        <vt:lpwstr/>
      </vt:variant>
      <vt:variant>
        <vt:lpwstr>_Toc274580604</vt:lpwstr>
      </vt:variant>
      <vt:variant>
        <vt:i4>1376312</vt:i4>
      </vt:variant>
      <vt:variant>
        <vt:i4>422</vt:i4>
      </vt:variant>
      <vt:variant>
        <vt:i4>0</vt:i4>
      </vt:variant>
      <vt:variant>
        <vt:i4>5</vt:i4>
      </vt:variant>
      <vt:variant>
        <vt:lpwstr/>
      </vt:variant>
      <vt:variant>
        <vt:lpwstr>_Toc274580603</vt:lpwstr>
      </vt:variant>
      <vt:variant>
        <vt:i4>1376312</vt:i4>
      </vt:variant>
      <vt:variant>
        <vt:i4>416</vt:i4>
      </vt:variant>
      <vt:variant>
        <vt:i4>0</vt:i4>
      </vt:variant>
      <vt:variant>
        <vt:i4>5</vt:i4>
      </vt:variant>
      <vt:variant>
        <vt:lpwstr/>
      </vt:variant>
      <vt:variant>
        <vt:lpwstr>_Toc274580602</vt:lpwstr>
      </vt:variant>
      <vt:variant>
        <vt:i4>1376312</vt:i4>
      </vt:variant>
      <vt:variant>
        <vt:i4>410</vt:i4>
      </vt:variant>
      <vt:variant>
        <vt:i4>0</vt:i4>
      </vt:variant>
      <vt:variant>
        <vt:i4>5</vt:i4>
      </vt:variant>
      <vt:variant>
        <vt:lpwstr/>
      </vt:variant>
      <vt:variant>
        <vt:lpwstr>_Toc274580601</vt:lpwstr>
      </vt:variant>
      <vt:variant>
        <vt:i4>1376312</vt:i4>
      </vt:variant>
      <vt:variant>
        <vt:i4>404</vt:i4>
      </vt:variant>
      <vt:variant>
        <vt:i4>0</vt:i4>
      </vt:variant>
      <vt:variant>
        <vt:i4>5</vt:i4>
      </vt:variant>
      <vt:variant>
        <vt:lpwstr/>
      </vt:variant>
      <vt:variant>
        <vt:lpwstr>_Toc274580600</vt:lpwstr>
      </vt:variant>
      <vt:variant>
        <vt:i4>1835067</vt:i4>
      </vt:variant>
      <vt:variant>
        <vt:i4>398</vt:i4>
      </vt:variant>
      <vt:variant>
        <vt:i4>0</vt:i4>
      </vt:variant>
      <vt:variant>
        <vt:i4>5</vt:i4>
      </vt:variant>
      <vt:variant>
        <vt:lpwstr/>
      </vt:variant>
      <vt:variant>
        <vt:lpwstr>_Toc274580599</vt:lpwstr>
      </vt:variant>
      <vt:variant>
        <vt:i4>1835067</vt:i4>
      </vt:variant>
      <vt:variant>
        <vt:i4>392</vt:i4>
      </vt:variant>
      <vt:variant>
        <vt:i4>0</vt:i4>
      </vt:variant>
      <vt:variant>
        <vt:i4>5</vt:i4>
      </vt:variant>
      <vt:variant>
        <vt:lpwstr/>
      </vt:variant>
      <vt:variant>
        <vt:lpwstr>_Toc274580598</vt:lpwstr>
      </vt:variant>
      <vt:variant>
        <vt:i4>1835067</vt:i4>
      </vt:variant>
      <vt:variant>
        <vt:i4>386</vt:i4>
      </vt:variant>
      <vt:variant>
        <vt:i4>0</vt:i4>
      </vt:variant>
      <vt:variant>
        <vt:i4>5</vt:i4>
      </vt:variant>
      <vt:variant>
        <vt:lpwstr/>
      </vt:variant>
      <vt:variant>
        <vt:lpwstr>_Toc274580597</vt:lpwstr>
      </vt:variant>
      <vt:variant>
        <vt:i4>1835067</vt:i4>
      </vt:variant>
      <vt:variant>
        <vt:i4>380</vt:i4>
      </vt:variant>
      <vt:variant>
        <vt:i4>0</vt:i4>
      </vt:variant>
      <vt:variant>
        <vt:i4>5</vt:i4>
      </vt:variant>
      <vt:variant>
        <vt:lpwstr/>
      </vt:variant>
      <vt:variant>
        <vt:lpwstr>_Toc274580596</vt:lpwstr>
      </vt:variant>
      <vt:variant>
        <vt:i4>1835067</vt:i4>
      </vt:variant>
      <vt:variant>
        <vt:i4>374</vt:i4>
      </vt:variant>
      <vt:variant>
        <vt:i4>0</vt:i4>
      </vt:variant>
      <vt:variant>
        <vt:i4>5</vt:i4>
      </vt:variant>
      <vt:variant>
        <vt:lpwstr/>
      </vt:variant>
      <vt:variant>
        <vt:lpwstr>_Toc274580595</vt:lpwstr>
      </vt:variant>
      <vt:variant>
        <vt:i4>1835067</vt:i4>
      </vt:variant>
      <vt:variant>
        <vt:i4>368</vt:i4>
      </vt:variant>
      <vt:variant>
        <vt:i4>0</vt:i4>
      </vt:variant>
      <vt:variant>
        <vt:i4>5</vt:i4>
      </vt:variant>
      <vt:variant>
        <vt:lpwstr/>
      </vt:variant>
      <vt:variant>
        <vt:lpwstr>_Toc274580594</vt:lpwstr>
      </vt:variant>
      <vt:variant>
        <vt:i4>1835067</vt:i4>
      </vt:variant>
      <vt:variant>
        <vt:i4>362</vt:i4>
      </vt:variant>
      <vt:variant>
        <vt:i4>0</vt:i4>
      </vt:variant>
      <vt:variant>
        <vt:i4>5</vt:i4>
      </vt:variant>
      <vt:variant>
        <vt:lpwstr/>
      </vt:variant>
      <vt:variant>
        <vt:lpwstr>_Toc274580593</vt:lpwstr>
      </vt:variant>
      <vt:variant>
        <vt:i4>1835067</vt:i4>
      </vt:variant>
      <vt:variant>
        <vt:i4>356</vt:i4>
      </vt:variant>
      <vt:variant>
        <vt:i4>0</vt:i4>
      </vt:variant>
      <vt:variant>
        <vt:i4>5</vt:i4>
      </vt:variant>
      <vt:variant>
        <vt:lpwstr/>
      </vt:variant>
      <vt:variant>
        <vt:lpwstr>_Toc274580592</vt:lpwstr>
      </vt:variant>
      <vt:variant>
        <vt:i4>1835067</vt:i4>
      </vt:variant>
      <vt:variant>
        <vt:i4>350</vt:i4>
      </vt:variant>
      <vt:variant>
        <vt:i4>0</vt:i4>
      </vt:variant>
      <vt:variant>
        <vt:i4>5</vt:i4>
      </vt:variant>
      <vt:variant>
        <vt:lpwstr/>
      </vt:variant>
      <vt:variant>
        <vt:lpwstr>_Toc274580591</vt:lpwstr>
      </vt:variant>
      <vt:variant>
        <vt:i4>1835067</vt:i4>
      </vt:variant>
      <vt:variant>
        <vt:i4>344</vt:i4>
      </vt:variant>
      <vt:variant>
        <vt:i4>0</vt:i4>
      </vt:variant>
      <vt:variant>
        <vt:i4>5</vt:i4>
      </vt:variant>
      <vt:variant>
        <vt:lpwstr/>
      </vt:variant>
      <vt:variant>
        <vt:lpwstr>_Toc274580590</vt:lpwstr>
      </vt:variant>
      <vt:variant>
        <vt:i4>1900603</vt:i4>
      </vt:variant>
      <vt:variant>
        <vt:i4>338</vt:i4>
      </vt:variant>
      <vt:variant>
        <vt:i4>0</vt:i4>
      </vt:variant>
      <vt:variant>
        <vt:i4>5</vt:i4>
      </vt:variant>
      <vt:variant>
        <vt:lpwstr/>
      </vt:variant>
      <vt:variant>
        <vt:lpwstr>_Toc274580589</vt:lpwstr>
      </vt:variant>
      <vt:variant>
        <vt:i4>1900603</vt:i4>
      </vt:variant>
      <vt:variant>
        <vt:i4>332</vt:i4>
      </vt:variant>
      <vt:variant>
        <vt:i4>0</vt:i4>
      </vt:variant>
      <vt:variant>
        <vt:i4>5</vt:i4>
      </vt:variant>
      <vt:variant>
        <vt:lpwstr/>
      </vt:variant>
      <vt:variant>
        <vt:lpwstr>_Toc274580588</vt:lpwstr>
      </vt:variant>
      <vt:variant>
        <vt:i4>1900603</vt:i4>
      </vt:variant>
      <vt:variant>
        <vt:i4>326</vt:i4>
      </vt:variant>
      <vt:variant>
        <vt:i4>0</vt:i4>
      </vt:variant>
      <vt:variant>
        <vt:i4>5</vt:i4>
      </vt:variant>
      <vt:variant>
        <vt:lpwstr/>
      </vt:variant>
      <vt:variant>
        <vt:lpwstr>_Toc274580587</vt:lpwstr>
      </vt:variant>
      <vt:variant>
        <vt:i4>1900603</vt:i4>
      </vt:variant>
      <vt:variant>
        <vt:i4>320</vt:i4>
      </vt:variant>
      <vt:variant>
        <vt:i4>0</vt:i4>
      </vt:variant>
      <vt:variant>
        <vt:i4>5</vt:i4>
      </vt:variant>
      <vt:variant>
        <vt:lpwstr/>
      </vt:variant>
      <vt:variant>
        <vt:lpwstr>_Toc274580586</vt:lpwstr>
      </vt:variant>
      <vt:variant>
        <vt:i4>1900603</vt:i4>
      </vt:variant>
      <vt:variant>
        <vt:i4>314</vt:i4>
      </vt:variant>
      <vt:variant>
        <vt:i4>0</vt:i4>
      </vt:variant>
      <vt:variant>
        <vt:i4>5</vt:i4>
      </vt:variant>
      <vt:variant>
        <vt:lpwstr/>
      </vt:variant>
      <vt:variant>
        <vt:lpwstr>_Toc274580585</vt:lpwstr>
      </vt:variant>
      <vt:variant>
        <vt:i4>1900603</vt:i4>
      </vt:variant>
      <vt:variant>
        <vt:i4>308</vt:i4>
      </vt:variant>
      <vt:variant>
        <vt:i4>0</vt:i4>
      </vt:variant>
      <vt:variant>
        <vt:i4>5</vt:i4>
      </vt:variant>
      <vt:variant>
        <vt:lpwstr/>
      </vt:variant>
      <vt:variant>
        <vt:lpwstr>_Toc274580584</vt:lpwstr>
      </vt:variant>
      <vt:variant>
        <vt:i4>1900603</vt:i4>
      </vt:variant>
      <vt:variant>
        <vt:i4>302</vt:i4>
      </vt:variant>
      <vt:variant>
        <vt:i4>0</vt:i4>
      </vt:variant>
      <vt:variant>
        <vt:i4>5</vt:i4>
      </vt:variant>
      <vt:variant>
        <vt:lpwstr/>
      </vt:variant>
      <vt:variant>
        <vt:lpwstr>_Toc274580583</vt:lpwstr>
      </vt:variant>
      <vt:variant>
        <vt:i4>1900603</vt:i4>
      </vt:variant>
      <vt:variant>
        <vt:i4>296</vt:i4>
      </vt:variant>
      <vt:variant>
        <vt:i4>0</vt:i4>
      </vt:variant>
      <vt:variant>
        <vt:i4>5</vt:i4>
      </vt:variant>
      <vt:variant>
        <vt:lpwstr/>
      </vt:variant>
      <vt:variant>
        <vt:lpwstr>_Toc274580582</vt:lpwstr>
      </vt:variant>
      <vt:variant>
        <vt:i4>1900603</vt:i4>
      </vt:variant>
      <vt:variant>
        <vt:i4>290</vt:i4>
      </vt:variant>
      <vt:variant>
        <vt:i4>0</vt:i4>
      </vt:variant>
      <vt:variant>
        <vt:i4>5</vt:i4>
      </vt:variant>
      <vt:variant>
        <vt:lpwstr/>
      </vt:variant>
      <vt:variant>
        <vt:lpwstr>_Toc274580581</vt:lpwstr>
      </vt:variant>
      <vt:variant>
        <vt:i4>1900603</vt:i4>
      </vt:variant>
      <vt:variant>
        <vt:i4>284</vt:i4>
      </vt:variant>
      <vt:variant>
        <vt:i4>0</vt:i4>
      </vt:variant>
      <vt:variant>
        <vt:i4>5</vt:i4>
      </vt:variant>
      <vt:variant>
        <vt:lpwstr/>
      </vt:variant>
      <vt:variant>
        <vt:lpwstr>_Toc274580580</vt:lpwstr>
      </vt:variant>
      <vt:variant>
        <vt:i4>1179707</vt:i4>
      </vt:variant>
      <vt:variant>
        <vt:i4>278</vt:i4>
      </vt:variant>
      <vt:variant>
        <vt:i4>0</vt:i4>
      </vt:variant>
      <vt:variant>
        <vt:i4>5</vt:i4>
      </vt:variant>
      <vt:variant>
        <vt:lpwstr/>
      </vt:variant>
      <vt:variant>
        <vt:lpwstr>_Toc274580579</vt:lpwstr>
      </vt:variant>
      <vt:variant>
        <vt:i4>1179707</vt:i4>
      </vt:variant>
      <vt:variant>
        <vt:i4>272</vt:i4>
      </vt:variant>
      <vt:variant>
        <vt:i4>0</vt:i4>
      </vt:variant>
      <vt:variant>
        <vt:i4>5</vt:i4>
      </vt:variant>
      <vt:variant>
        <vt:lpwstr/>
      </vt:variant>
      <vt:variant>
        <vt:lpwstr>_Toc274580578</vt:lpwstr>
      </vt:variant>
      <vt:variant>
        <vt:i4>1179707</vt:i4>
      </vt:variant>
      <vt:variant>
        <vt:i4>266</vt:i4>
      </vt:variant>
      <vt:variant>
        <vt:i4>0</vt:i4>
      </vt:variant>
      <vt:variant>
        <vt:i4>5</vt:i4>
      </vt:variant>
      <vt:variant>
        <vt:lpwstr/>
      </vt:variant>
      <vt:variant>
        <vt:lpwstr>_Toc274580577</vt:lpwstr>
      </vt:variant>
      <vt:variant>
        <vt:i4>1179707</vt:i4>
      </vt:variant>
      <vt:variant>
        <vt:i4>260</vt:i4>
      </vt:variant>
      <vt:variant>
        <vt:i4>0</vt:i4>
      </vt:variant>
      <vt:variant>
        <vt:i4>5</vt:i4>
      </vt:variant>
      <vt:variant>
        <vt:lpwstr/>
      </vt:variant>
      <vt:variant>
        <vt:lpwstr>_Toc274580576</vt:lpwstr>
      </vt:variant>
      <vt:variant>
        <vt:i4>1179707</vt:i4>
      </vt:variant>
      <vt:variant>
        <vt:i4>254</vt:i4>
      </vt:variant>
      <vt:variant>
        <vt:i4>0</vt:i4>
      </vt:variant>
      <vt:variant>
        <vt:i4>5</vt:i4>
      </vt:variant>
      <vt:variant>
        <vt:lpwstr/>
      </vt:variant>
      <vt:variant>
        <vt:lpwstr>_Toc274580575</vt:lpwstr>
      </vt:variant>
      <vt:variant>
        <vt:i4>1179707</vt:i4>
      </vt:variant>
      <vt:variant>
        <vt:i4>248</vt:i4>
      </vt:variant>
      <vt:variant>
        <vt:i4>0</vt:i4>
      </vt:variant>
      <vt:variant>
        <vt:i4>5</vt:i4>
      </vt:variant>
      <vt:variant>
        <vt:lpwstr/>
      </vt:variant>
      <vt:variant>
        <vt:lpwstr>_Toc274580574</vt:lpwstr>
      </vt:variant>
      <vt:variant>
        <vt:i4>1179707</vt:i4>
      </vt:variant>
      <vt:variant>
        <vt:i4>242</vt:i4>
      </vt:variant>
      <vt:variant>
        <vt:i4>0</vt:i4>
      </vt:variant>
      <vt:variant>
        <vt:i4>5</vt:i4>
      </vt:variant>
      <vt:variant>
        <vt:lpwstr/>
      </vt:variant>
      <vt:variant>
        <vt:lpwstr>_Toc274580573</vt:lpwstr>
      </vt:variant>
      <vt:variant>
        <vt:i4>1179707</vt:i4>
      </vt:variant>
      <vt:variant>
        <vt:i4>236</vt:i4>
      </vt:variant>
      <vt:variant>
        <vt:i4>0</vt:i4>
      </vt:variant>
      <vt:variant>
        <vt:i4>5</vt:i4>
      </vt:variant>
      <vt:variant>
        <vt:lpwstr/>
      </vt:variant>
      <vt:variant>
        <vt:lpwstr>_Toc274580572</vt:lpwstr>
      </vt:variant>
      <vt:variant>
        <vt:i4>1179707</vt:i4>
      </vt:variant>
      <vt:variant>
        <vt:i4>230</vt:i4>
      </vt:variant>
      <vt:variant>
        <vt:i4>0</vt:i4>
      </vt:variant>
      <vt:variant>
        <vt:i4>5</vt:i4>
      </vt:variant>
      <vt:variant>
        <vt:lpwstr/>
      </vt:variant>
      <vt:variant>
        <vt:lpwstr>_Toc274580571</vt:lpwstr>
      </vt:variant>
      <vt:variant>
        <vt:i4>1179707</vt:i4>
      </vt:variant>
      <vt:variant>
        <vt:i4>224</vt:i4>
      </vt:variant>
      <vt:variant>
        <vt:i4>0</vt:i4>
      </vt:variant>
      <vt:variant>
        <vt:i4>5</vt:i4>
      </vt:variant>
      <vt:variant>
        <vt:lpwstr/>
      </vt:variant>
      <vt:variant>
        <vt:lpwstr>_Toc274580570</vt:lpwstr>
      </vt:variant>
      <vt:variant>
        <vt:i4>1245243</vt:i4>
      </vt:variant>
      <vt:variant>
        <vt:i4>218</vt:i4>
      </vt:variant>
      <vt:variant>
        <vt:i4>0</vt:i4>
      </vt:variant>
      <vt:variant>
        <vt:i4>5</vt:i4>
      </vt:variant>
      <vt:variant>
        <vt:lpwstr/>
      </vt:variant>
      <vt:variant>
        <vt:lpwstr>_Toc274580569</vt:lpwstr>
      </vt:variant>
      <vt:variant>
        <vt:i4>1245243</vt:i4>
      </vt:variant>
      <vt:variant>
        <vt:i4>212</vt:i4>
      </vt:variant>
      <vt:variant>
        <vt:i4>0</vt:i4>
      </vt:variant>
      <vt:variant>
        <vt:i4>5</vt:i4>
      </vt:variant>
      <vt:variant>
        <vt:lpwstr/>
      </vt:variant>
      <vt:variant>
        <vt:lpwstr>_Toc274580568</vt:lpwstr>
      </vt:variant>
      <vt:variant>
        <vt:i4>1245243</vt:i4>
      </vt:variant>
      <vt:variant>
        <vt:i4>206</vt:i4>
      </vt:variant>
      <vt:variant>
        <vt:i4>0</vt:i4>
      </vt:variant>
      <vt:variant>
        <vt:i4>5</vt:i4>
      </vt:variant>
      <vt:variant>
        <vt:lpwstr/>
      </vt:variant>
      <vt:variant>
        <vt:lpwstr>_Toc274580567</vt:lpwstr>
      </vt:variant>
      <vt:variant>
        <vt:i4>1245243</vt:i4>
      </vt:variant>
      <vt:variant>
        <vt:i4>200</vt:i4>
      </vt:variant>
      <vt:variant>
        <vt:i4>0</vt:i4>
      </vt:variant>
      <vt:variant>
        <vt:i4>5</vt:i4>
      </vt:variant>
      <vt:variant>
        <vt:lpwstr/>
      </vt:variant>
      <vt:variant>
        <vt:lpwstr>_Toc274580566</vt:lpwstr>
      </vt:variant>
      <vt:variant>
        <vt:i4>1245243</vt:i4>
      </vt:variant>
      <vt:variant>
        <vt:i4>194</vt:i4>
      </vt:variant>
      <vt:variant>
        <vt:i4>0</vt:i4>
      </vt:variant>
      <vt:variant>
        <vt:i4>5</vt:i4>
      </vt:variant>
      <vt:variant>
        <vt:lpwstr/>
      </vt:variant>
      <vt:variant>
        <vt:lpwstr>_Toc274580565</vt:lpwstr>
      </vt:variant>
      <vt:variant>
        <vt:i4>1245243</vt:i4>
      </vt:variant>
      <vt:variant>
        <vt:i4>188</vt:i4>
      </vt:variant>
      <vt:variant>
        <vt:i4>0</vt:i4>
      </vt:variant>
      <vt:variant>
        <vt:i4>5</vt:i4>
      </vt:variant>
      <vt:variant>
        <vt:lpwstr/>
      </vt:variant>
      <vt:variant>
        <vt:lpwstr>_Toc274580564</vt:lpwstr>
      </vt:variant>
      <vt:variant>
        <vt:i4>1245243</vt:i4>
      </vt:variant>
      <vt:variant>
        <vt:i4>182</vt:i4>
      </vt:variant>
      <vt:variant>
        <vt:i4>0</vt:i4>
      </vt:variant>
      <vt:variant>
        <vt:i4>5</vt:i4>
      </vt:variant>
      <vt:variant>
        <vt:lpwstr/>
      </vt:variant>
      <vt:variant>
        <vt:lpwstr>_Toc274580563</vt:lpwstr>
      </vt:variant>
      <vt:variant>
        <vt:i4>1245243</vt:i4>
      </vt:variant>
      <vt:variant>
        <vt:i4>176</vt:i4>
      </vt:variant>
      <vt:variant>
        <vt:i4>0</vt:i4>
      </vt:variant>
      <vt:variant>
        <vt:i4>5</vt:i4>
      </vt:variant>
      <vt:variant>
        <vt:lpwstr/>
      </vt:variant>
      <vt:variant>
        <vt:lpwstr>_Toc274580562</vt:lpwstr>
      </vt:variant>
      <vt:variant>
        <vt:i4>1245243</vt:i4>
      </vt:variant>
      <vt:variant>
        <vt:i4>170</vt:i4>
      </vt:variant>
      <vt:variant>
        <vt:i4>0</vt:i4>
      </vt:variant>
      <vt:variant>
        <vt:i4>5</vt:i4>
      </vt:variant>
      <vt:variant>
        <vt:lpwstr/>
      </vt:variant>
      <vt:variant>
        <vt:lpwstr>_Toc274580561</vt:lpwstr>
      </vt:variant>
      <vt:variant>
        <vt:i4>1245243</vt:i4>
      </vt:variant>
      <vt:variant>
        <vt:i4>164</vt:i4>
      </vt:variant>
      <vt:variant>
        <vt:i4>0</vt:i4>
      </vt:variant>
      <vt:variant>
        <vt:i4>5</vt:i4>
      </vt:variant>
      <vt:variant>
        <vt:lpwstr/>
      </vt:variant>
      <vt:variant>
        <vt:lpwstr>_Toc274580560</vt:lpwstr>
      </vt:variant>
      <vt:variant>
        <vt:i4>1048635</vt:i4>
      </vt:variant>
      <vt:variant>
        <vt:i4>158</vt:i4>
      </vt:variant>
      <vt:variant>
        <vt:i4>0</vt:i4>
      </vt:variant>
      <vt:variant>
        <vt:i4>5</vt:i4>
      </vt:variant>
      <vt:variant>
        <vt:lpwstr/>
      </vt:variant>
      <vt:variant>
        <vt:lpwstr>_Toc274580559</vt:lpwstr>
      </vt:variant>
      <vt:variant>
        <vt:i4>1048635</vt:i4>
      </vt:variant>
      <vt:variant>
        <vt:i4>152</vt:i4>
      </vt:variant>
      <vt:variant>
        <vt:i4>0</vt:i4>
      </vt:variant>
      <vt:variant>
        <vt:i4>5</vt:i4>
      </vt:variant>
      <vt:variant>
        <vt:lpwstr/>
      </vt:variant>
      <vt:variant>
        <vt:lpwstr>_Toc274580558</vt:lpwstr>
      </vt:variant>
      <vt:variant>
        <vt:i4>1048635</vt:i4>
      </vt:variant>
      <vt:variant>
        <vt:i4>146</vt:i4>
      </vt:variant>
      <vt:variant>
        <vt:i4>0</vt:i4>
      </vt:variant>
      <vt:variant>
        <vt:i4>5</vt:i4>
      </vt:variant>
      <vt:variant>
        <vt:lpwstr/>
      </vt:variant>
      <vt:variant>
        <vt:lpwstr>_Toc274580557</vt:lpwstr>
      </vt:variant>
      <vt:variant>
        <vt:i4>1048635</vt:i4>
      </vt:variant>
      <vt:variant>
        <vt:i4>140</vt:i4>
      </vt:variant>
      <vt:variant>
        <vt:i4>0</vt:i4>
      </vt:variant>
      <vt:variant>
        <vt:i4>5</vt:i4>
      </vt:variant>
      <vt:variant>
        <vt:lpwstr/>
      </vt:variant>
      <vt:variant>
        <vt:lpwstr>_Toc274580556</vt:lpwstr>
      </vt:variant>
      <vt:variant>
        <vt:i4>1048635</vt:i4>
      </vt:variant>
      <vt:variant>
        <vt:i4>134</vt:i4>
      </vt:variant>
      <vt:variant>
        <vt:i4>0</vt:i4>
      </vt:variant>
      <vt:variant>
        <vt:i4>5</vt:i4>
      </vt:variant>
      <vt:variant>
        <vt:lpwstr/>
      </vt:variant>
      <vt:variant>
        <vt:lpwstr>_Toc274580555</vt:lpwstr>
      </vt:variant>
      <vt:variant>
        <vt:i4>1048635</vt:i4>
      </vt:variant>
      <vt:variant>
        <vt:i4>128</vt:i4>
      </vt:variant>
      <vt:variant>
        <vt:i4>0</vt:i4>
      </vt:variant>
      <vt:variant>
        <vt:i4>5</vt:i4>
      </vt:variant>
      <vt:variant>
        <vt:lpwstr/>
      </vt:variant>
      <vt:variant>
        <vt:lpwstr>_Toc274580554</vt:lpwstr>
      </vt:variant>
      <vt:variant>
        <vt:i4>1048635</vt:i4>
      </vt:variant>
      <vt:variant>
        <vt:i4>122</vt:i4>
      </vt:variant>
      <vt:variant>
        <vt:i4>0</vt:i4>
      </vt:variant>
      <vt:variant>
        <vt:i4>5</vt:i4>
      </vt:variant>
      <vt:variant>
        <vt:lpwstr/>
      </vt:variant>
      <vt:variant>
        <vt:lpwstr>_Toc274580553</vt:lpwstr>
      </vt:variant>
      <vt:variant>
        <vt:i4>1048635</vt:i4>
      </vt:variant>
      <vt:variant>
        <vt:i4>116</vt:i4>
      </vt:variant>
      <vt:variant>
        <vt:i4>0</vt:i4>
      </vt:variant>
      <vt:variant>
        <vt:i4>5</vt:i4>
      </vt:variant>
      <vt:variant>
        <vt:lpwstr/>
      </vt:variant>
      <vt:variant>
        <vt:lpwstr>_Toc274580552</vt:lpwstr>
      </vt:variant>
      <vt:variant>
        <vt:i4>1048635</vt:i4>
      </vt:variant>
      <vt:variant>
        <vt:i4>110</vt:i4>
      </vt:variant>
      <vt:variant>
        <vt:i4>0</vt:i4>
      </vt:variant>
      <vt:variant>
        <vt:i4>5</vt:i4>
      </vt:variant>
      <vt:variant>
        <vt:lpwstr/>
      </vt:variant>
      <vt:variant>
        <vt:lpwstr>_Toc274580551</vt:lpwstr>
      </vt:variant>
      <vt:variant>
        <vt:i4>1048635</vt:i4>
      </vt:variant>
      <vt:variant>
        <vt:i4>104</vt:i4>
      </vt:variant>
      <vt:variant>
        <vt:i4>0</vt:i4>
      </vt:variant>
      <vt:variant>
        <vt:i4>5</vt:i4>
      </vt:variant>
      <vt:variant>
        <vt:lpwstr/>
      </vt:variant>
      <vt:variant>
        <vt:lpwstr>_Toc274580550</vt:lpwstr>
      </vt:variant>
      <vt:variant>
        <vt:i4>1114171</vt:i4>
      </vt:variant>
      <vt:variant>
        <vt:i4>98</vt:i4>
      </vt:variant>
      <vt:variant>
        <vt:i4>0</vt:i4>
      </vt:variant>
      <vt:variant>
        <vt:i4>5</vt:i4>
      </vt:variant>
      <vt:variant>
        <vt:lpwstr/>
      </vt:variant>
      <vt:variant>
        <vt:lpwstr>_Toc274580549</vt:lpwstr>
      </vt:variant>
      <vt:variant>
        <vt:i4>1114171</vt:i4>
      </vt:variant>
      <vt:variant>
        <vt:i4>92</vt:i4>
      </vt:variant>
      <vt:variant>
        <vt:i4>0</vt:i4>
      </vt:variant>
      <vt:variant>
        <vt:i4>5</vt:i4>
      </vt:variant>
      <vt:variant>
        <vt:lpwstr/>
      </vt:variant>
      <vt:variant>
        <vt:lpwstr>_Toc274580548</vt:lpwstr>
      </vt:variant>
      <vt:variant>
        <vt:i4>1114171</vt:i4>
      </vt:variant>
      <vt:variant>
        <vt:i4>86</vt:i4>
      </vt:variant>
      <vt:variant>
        <vt:i4>0</vt:i4>
      </vt:variant>
      <vt:variant>
        <vt:i4>5</vt:i4>
      </vt:variant>
      <vt:variant>
        <vt:lpwstr/>
      </vt:variant>
      <vt:variant>
        <vt:lpwstr>_Toc274580547</vt:lpwstr>
      </vt:variant>
      <vt:variant>
        <vt:i4>1114171</vt:i4>
      </vt:variant>
      <vt:variant>
        <vt:i4>80</vt:i4>
      </vt:variant>
      <vt:variant>
        <vt:i4>0</vt:i4>
      </vt:variant>
      <vt:variant>
        <vt:i4>5</vt:i4>
      </vt:variant>
      <vt:variant>
        <vt:lpwstr/>
      </vt:variant>
      <vt:variant>
        <vt:lpwstr>_Toc274580546</vt:lpwstr>
      </vt:variant>
      <vt:variant>
        <vt:i4>1114171</vt:i4>
      </vt:variant>
      <vt:variant>
        <vt:i4>74</vt:i4>
      </vt:variant>
      <vt:variant>
        <vt:i4>0</vt:i4>
      </vt:variant>
      <vt:variant>
        <vt:i4>5</vt:i4>
      </vt:variant>
      <vt:variant>
        <vt:lpwstr/>
      </vt:variant>
      <vt:variant>
        <vt:lpwstr>_Toc274580545</vt:lpwstr>
      </vt:variant>
      <vt:variant>
        <vt:i4>1114171</vt:i4>
      </vt:variant>
      <vt:variant>
        <vt:i4>68</vt:i4>
      </vt:variant>
      <vt:variant>
        <vt:i4>0</vt:i4>
      </vt:variant>
      <vt:variant>
        <vt:i4>5</vt:i4>
      </vt:variant>
      <vt:variant>
        <vt:lpwstr/>
      </vt:variant>
      <vt:variant>
        <vt:lpwstr>_Toc274580544</vt:lpwstr>
      </vt:variant>
      <vt:variant>
        <vt:i4>1114171</vt:i4>
      </vt:variant>
      <vt:variant>
        <vt:i4>62</vt:i4>
      </vt:variant>
      <vt:variant>
        <vt:i4>0</vt:i4>
      </vt:variant>
      <vt:variant>
        <vt:i4>5</vt:i4>
      </vt:variant>
      <vt:variant>
        <vt:lpwstr/>
      </vt:variant>
      <vt:variant>
        <vt:lpwstr>_Toc274580543</vt:lpwstr>
      </vt:variant>
      <vt:variant>
        <vt:i4>1114171</vt:i4>
      </vt:variant>
      <vt:variant>
        <vt:i4>56</vt:i4>
      </vt:variant>
      <vt:variant>
        <vt:i4>0</vt:i4>
      </vt:variant>
      <vt:variant>
        <vt:i4>5</vt:i4>
      </vt:variant>
      <vt:variant>
        <vt:lpwstr/>
      </vt:variant>
      <vt:variant>
        <vt:lpwstr>_Toc274580542</vt:lpwstr>
      </vt:variant>
      <vt:variant>
        <vt:i4>1114171</vt:i4>
      </vt:variant>
      <vt:variant>
        <vt:i4>50</vt:i4>
      </vt:variant>
      <vt:variant>
        <vt:i4>0</vt:i4>
      </vt:variant>
      <vt:variant>
        <vt:i4>5</vt:i4>
      </vt:variant>
      <vt:variant>
        <vt:lpwstr/>
      </vt:variant>
      <vt:variant>
        <vt:lpwstr>_Toc274580541</vt:lpwstr>
      </vt:variant>
      <vt:variant>
        <vt:i4>1114171</vt:i4>
      </vt:variant>
      <vt:variant>
        <vt:i4>44</vt:i4>
      </vt:variant>
      <vt:variant>
        <vt:i4>0</vt:i4>
      </vt:variant>
      <vt:variant>
        <vt:i4>5</vt:i4>
      </vt:variant>
      <vt:variant>
        <vt:lpwstr/>
      </vt:variant>
      <vt:variant>
        <vt:lpwstr>_Toc274580540</vt:lpwstr>
      </vt:variant>
      <vt:variant>
        <vt:i4>1441851</vt:i4>
      </vt:variant>
      <vt:variant>
        <vt:i4>38</vt:i4>
      </vt:variant>
      <vt:variant>
        <vt:i4>0</vt:i4>
      </vt:variant>
      <vt:variant>
        <vt:i4>5</vt:i4>
      </vt:variant>
      <vt:variant>
        <vt:lpwstr/>
      </vt:variant>
      <vt:variant>
        <vt:lpwstr>_Toc274580539</vt:lpwstr>
      </vt:variant>
      <vt:variant>
        <vt:i4>1441851</vt:i4>
      </vt:variant>
      <vt:variant>
        <vt:i4>32</vt:i4>
      </vt:variant>
      <vt:variant>
        <vt:i4>0</vt:i4>
      </vt:variant>
      <vt:variant>
        <vt:i4>5</vt:i4>
      </vt:variant>
      <vt:variant>
        <vt:lpwstr/>
      </vt:variant>
      <vt:variant>
        <vt:lpwstr>_Toc274580538</vt:lpwstr>
      </vt:variant>
      <vt:variant>
        <vt:i4>1441851</vt:i4>
      </vt:variant>
      <vt:variant>
        <vt:i4>26</vt:i4>
      </vt:variant>
      <vt:variant>
        <vt:i4>0</vt:i4>
      </vt:variant>
      <vt:variant>
        <vt:i4>5</vt:i4>
      </vt:variant>
      <vt:variant>
        <vt:lpwstr/>
      </vt:variant>
      <vt:variant>
        <vt:lpwstr>_Toc274580537</vt:lpwstr>
      </vt:variant>
      <vt:variant>
        <vt:i4>1441851</vt:i4>
      </vt:variant>
      <vt:variant>
        <vt:i4>20</vt:i4>
      </vt:variant>
      <vt:variant>
        <vt:i4>0</vt:i4>
      </vt:variant>
      <vt:variant>
        <vt:i4>5</vt:i4>
      </vt:variant>
      <vt:variant>
        <vt:lpwstr/>
      </vt:variant>
      <vt:variant>
        <vt:lpwstr>_Toc274580536</vt:lpwstr>
      </vt:variant>
      <vt:variant>
        <vt:i4>1441851</vt:i4>
      </vt:variant>
      <vt:variant>
        <vt:i4>14</vt:i4>
      </vt:variant>
      <vt:variant>
        <vt:i4>0</vt:i4>
      </vt:variant>
      <vt:variant>
        <vt:i4>5</vt:i4>
      </vt:variant>
      <vt:variant>
        <vt:lpwstr/>
      </vt:variant>
      <vt:variant>
        <vt:lpwstr>_Toc274580535</vt:lpwstr>
      </vt:variant>
      <vt:variant>
        <vt:i4>1441851</vt:i4>
      </vt:variant>
      <vt:variant>
        <vt:i4>8</vt:i4>
      </vt:variant>
      <vt:variant>
        <vt:i4>0</vt:i4>
      </vt:variant>
      <vt:variant>
        <vt:i4>5</vt:i4>
      </vt:variant>
      <vt:variant>
        <vt:lpwstr/>
      </vt:variant>
      <vt:variant>
        <vt:lpwstr>_Toc274580534</vt:lpwstr>
      </vt:variant>
      <vt:variant>
        <vt:i4>1441851</vt:i4>
      </vt:variant>
      <vt:variant>
        <vt:i4>2</vt:i4>
      </vt:variant>
      <vt:variant>
        <vt:i4>0</vt:i4>
      </vt:variant>
      <vt:variant>
        <vt:i4>5</vt:i4>
      </vt:variant>
      <vt:variant>
        <vt:lpwstr/>
      </vt:variant>
      <vt:variant>
        <vt:lpwstr>_Toc274580533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Daniel Carrigan</dc:creator>
  <cp:lastModifiedBy>Sherry Hill</cp:lastModifiedBy>
  <cp:revision>2</cp:revision>
  <cp:lastPrinted>2016-10-19T20:10:00Z</cp:lastPrinted>
  <dcterms:created xsi:type="dcterms:W3CDTF">2016-10-26T20:51:00Z</dcterms:created>
  <dcterms:modified xsi:type="dcterms:W3CDTF">2016-10-26T20:51:00Z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3054500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