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94AE2" w14:textId="36CBC7CF" w:rsidR="00DF1942" w:rsidRPr="00600FC7" w:rsidRDefault="00DF1942" w:rsidP="004F30D7">
      <w:pPr>
        <w:spacing w:before="120" w:after="0"/>
        <w:ind w:left="6570" w:hanging="6550"/>
        <w:rPr>
          <w:sz w:val="18"/>
          <w:szCs w:val="18"/>
        </w:rPr>
      </w:pPr>
      <w:r w:rsidRPr="00600FC7">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00FC7">
        <w:rPr>
          <w:rFonts w:ascii="Times New Roman" w:eastAsia="Calibri" w:hAnsi="Times New Roman" w:cs="Times New Roman"/>
          <w:sz w:val="24"/>
          <w:szCs w:val="24"/>
        </w:rPr>
        <w:fldChar w:fldCharType="begin"/>
      </w:r>
      <w:r w:rsidRPr="00600FC7">
        <w:rPr>
          <w:rFonts w:ascii="Times New Roman" w:eastAsia="Calibri" w:hAnsi="Times New Roman" w:cs="Times New Roman"/>
          <w:sz w:val="24"/>
          <w:szCs w:val="24"/>
        </w:rPr>
        <w:instrText xml:space="preserve"> DATE \@ "MMMM d, yyyy" </w:instrText>
      </w:r>
      <w:r w:rsidRPr="00600FC7">
        <w:rPr>
          <w:rFonts w:ascii="Times New Roman" w:eastAsia="Calibri" w:hAnsi="Times New Roman" w:cs="Times New Roman"/>
          <w:sz w:val="24"/>
          <w:szCs w:val="24"/>
        </w:rPr>
        <w:fldChar w:fldCharType="separate"/>
      </w:r>
      <w:r w:rsidR="00600FC7" w:rsidRPr="00600FC7">
        <w:rPr>
          <w:rFonts w:ascii="Times New Roman" w:eastAsia="Calibri" w:hAnsi="Times New Roman" w:cs="Times New Roman"/>
          <w:noProof/>
          <w:sz w:val="24"/>
          <w:szCs w:val="24"/>
        </w:rPr>
        <w:t>November 1, 2018</w:t>
      </w:r>
      <w:r w:rsidRPr="00600FC7">
        <w:rPr>
          <w:rFonts w:ascii="Times New Roman" w:eastAsia="Calibri" w:hAnsi="Times New Roman" w:cs="Times New Roman"/>
          <w:sz w:val="24"/>
          <w:szCs w:val="24"/>
        </w:rPr>
        <w:fldChar w:fldCharType="end"/>
      </w:r>
      <w:r w:rsidR="004F30D7">
        <w:rPr>
          <w:rFonts w:ascii="Times New Roman" w:eastAsia="Calibri" w:hAnsi="Times New Roman"/>
          <w:sz w:val="24"/>
          <w:szCs w:val="24"/>
        </w:rPr>
        <w:tab/>
      </w:r>
      <w:bookmarkStart w:id="0" w:name="_GoBack"/>
      <w:bookmarkEnd w:id="0"/>
      <w:proofErr w:type="gramStart"/>
      <w:r w:rsidRPr="00600FC7">
        <w:rPr>
          <w:sz w:val="18"/>
          <w:szCs w:val="18"/>
        </w:rPr>
        <w:t>Nasdaq Futures, Inc.</w:t>
      </w:r>
      <w:proofErr w:type="gramEnd"/>
    </w:p>
    <w:p w14:paraId="141AA93B" w14:textId="77777777" w:rsidR="00DF1942" w:rsidRPr="00600FC7" w:rsidRDefault="00DF1942" w:rsidP="00DF1942">
      <w:pPr>
        <w:pStyle w:val="LetterheadAddress"/>
        <w:ind w:left="6550" w:hanging="6550"/>
        <w:rPr>
          <w:rFonts w:ascii="Times New Roman" w:eastAsia="Calibri" w:hAnsi="Times New Roman"/>
          <w:sz w:val="24"/>
          <w:szCs w:val="24"/>
        </w:rPr>
      </w:pPr>
      <w:r w:rsidRPr="00600FC7">
        <w:rPr>
          <w:rFonts w:ascii="Times New Roman" w:eastAsia="Calibri" w:hAnsi="Times New Roman"/>
          <w:sz w:val="24"/>
          <w:szCs w:val="24"/>
        </w:rPr>
        <w:tab/>
      </w:r>
      <w:r w:rsidRPr="00600FC7">
        <w:rPr>
          <w:rFonts w:asciiTheme="minorHAnsi" w:hAnsiTheme="minorHAnsi"/>
        </w:rPr>
        <w:t xml:space="preserve">FMC Tower, Level 8, </w:t>
      </w:r>
    </w:p>
    <w:p w14:paraId="5DDAE9EA" w14:textId="77777777" w:rsidR="00DF1942" w:rsidRPr="00600FC7" w:rsidRDefault="00DF1942" w:rsidP="00DF1942">
      <w:pPr>
        <w:pStyle w:val="NoSpacing"/>
        <w:rPr>
          <w:rFonts w:ascii="Times New Roman" w:eastAsia="Calibri" w:hAnsi="Times New Roman" w:cs="Times New Roman"/>
          <w:sz w:val="24"/>
          <w:szCs w:val="24"/>
        </w:rPr>
      </w:pPr>
      <w:r w:rsidRPr="00600FC7">
        <w:rPr>
          <w:rFonts w:ascii="Times New Roman" w:eastAsia="Calibri" w:hAnsi="Times New Roman" w:cs="Times New Roman"/>
          <w:sz w:val="24"/>
          <w:szCs w:val="24"/>
        </w:rPr>
        <w:t>Christopher J. Kirkpatrick</w:t>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t xml:space="preserve"> </w:t>
      </w:r>
      <w:r w:rsidRPr="00600FC7">
        <w:rPr>
          <w:rFonts w:eastAsiaTheme="minorEastAsia" w:cs="Times New Roman"/>
          <w:sz w:val="18"/>
          <w:szCs w:val="18"/>
          <w:lang w:eastAsia="ja-JP"/>
        </w:rPr>
        <w:t>2929 Walnut Street</w:t>
      </w:r>
    </w:p>
    <w:p w14:paraId="324C99AA" w14:textId="77777777" w:rsidR="00DF1942" w:rsidRPr="00600FC7" w:rsidRDefault="00DF1942" w:rsidP="00DF1942">
      <w:pPr>
        <w:pStyle w:val="NoSpacing"/>
        <w:rPr>
          <w:rFonts w:ascii="Times New Roman" w:eastAsia="Calibri" w:hAnsi="Times New Roman" w:cs="Times New Roman"/>
          <w:sz w:val="24"/>
          <w:szCs w:val="24"/>
        </w:rPr>
      </w:pPr>
      <w:r w:rsidRPr="00600FC7">
        <w:rPr>
          <w:rFonts w:ascii="Times New Roman" w:eastAsia="Calibri" w:hAnsi="Times New Roman" w:cs="Times New Roman"/>
          <w:sz w:val="24"/>
          <w:szCs w:val="24"/>
        </w:rPr>
        <w:t>Office of the Secretariat</w:t>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t xml:space="preserve"> </w:t>
      </w:r>
      <w:r w:rsidRPr="00600FC7">
        <w:rPr>
          <w:rFonts w:eastAsiaTheme="minorEastAsia" w:cs="Times New Roman"/>
          <w:sz w:val="18"/>
          <w:szCs w:val="18"/>
          <w:lang w:eastAsia="ja-JP"/>
        </w:rPr>
        <w:t>Philadelphia, PA 19104 / USA</w:t>
      </w:r>
    </w:p>
    <w:p w14:paraId="3FAFD890" w14:textId="77777777" w:rsidR="00DF1942" w:rsidRPr="00600FC7" w:rsidRDefault="00DF1942" w:rsidP="00DF1942">
      <w:pPr>
        <w:pStyle w:val="NoSpacing"/>
        <w:rPr>
          <w:rFonts w:ascii="Times New Roman" w:eastAsia="Calibri" w:hAnsi="Times New Roman" w:cs="Times New Roman"/>
          <w:sz w:val="24"/>
          <w:szCs w:val="24"/>
        </w:rPr>
      </w:pPr>
      <w:r w:rsidRPr="00600FC7">
        <w:rPr>
          <w:rFonts w:ascii="Times New Roman" w:eastAsia="Calibri" w:hAnsi="Times New Roman" w:cs="Times New Roman"/>
          <w:sz w:val="24"/>
          <w:szCs w:val="24"/>
        </w:rPr>
        <w:t>Commodity Futures Trading Commission</w:t>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t xml:space="preserve"> </w:t>
      </w:r>
    </w:p>
    <w:p w14:paraId="5813E2EE" w14:textId="77777777" w:rsidR="00DF1942" w:rsidRPr="00600FC7" w:rsidRDefault="00DF1942" w:rsidP="00DF1942">
      <w:pPr>
        <w:pStyle w:val="NoSpacing"/>
        <w:rPr>
          <w:rFonts w:ascii="Times New Roman" w:eastAsia="Calibri" w:hAnsi="Times New Roman" w:cs="Times New Roman"/>
          <w:sz w:val="24"/>
          <w:szCs w:val="24"/>
        </w:rPr>
      </w:pPr>
      <w:r w:rsidRPr="00600FC7">
        <w:rPr>
          <w:rFonts w:ascii="Times New Roman" w:eastAsia="Calibri" w:hAnsi="Times New Roman" w:cs="Times New Roman"/>
          <w:sz w:val="24"/>
          <w:szCs w:val="24"/>
        </w:rPr>
        <w:t>Three Lafayette Center</w:t>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r>
      <w:r w:rsidRPr="00600FC7">
        <w:rPr>
          <w:rFonts w:ascii="Times New Roman" w:eastAsia="Calibri" w:hAnsi="Times New Roman" w:cs="Times New Roman"/>
          <w:sz w:val="24"/>
          <w:szCs w:val="24"/>
        </w:rPr>
        <w:tab/>
        <w:t xml:space="preserve"> </w:t>
      </w:r>
      <w:r w:rsidRPr="00600FC7">
        <w:rPr>
          <w:rFonts w:cs="Times New Roman"/>
          <w:sz w:val="18"/>
          <w:szCs w:val="18"/>
        </w:rPr>
        <w:t>business.nasdaq.com/futures</w:t>
      </w:r>
    </w:p>
    <w:p w14:paraId="0DF59D67" w14:textId="77777777" w:rsidR="00DF1942" w:rsidRPr="00600FC7" w:rsidRDefault="00DF1942" w:rsidP="00DF1942">
      <w:pPr>
        <w:pStyle w:val="NoSpacing"/>
        <w:rPr>
          <w:rFonts w:ascii="Times New Roman" w:eastAsia="Calibri" w:hAnsi="Times New Roman" w:cs="Times New Roman"/>
          <w:sz w:val="24"/>
          <w:szCs w:val="24"/>
        </w:rPr>
      </w:pPr>
      <w:r w:rsidRPr="00600FC7">
        <w:rPr>
          <w:rFonts w:ascii="Times New Roman" w:eastAsia="Calibri" w:hAnsi="Times New Roman" w:cs="Times New Roman"/>
          <w:sz w:val="24"/>
          <w:szCs w:val="24"/>
        </w:rPr>
        <w:t>1155 21</w:t>
      </w:r>
      <w:r w:rsidRPr="00600FC7">
        <w:rPr>
          <w:rFonts w:ascii="Times New Roman" w:eastAsia="Calibri" w:hAnsi="Times New Roman" w:cs="Times New Roman"/>
          <w:sz w:val="24"/>
          <w:szCs w:val="24"/>
          <w:vertAlign w:val="superscript"/>
        </w:rPr>
        <w:t>st</w:t>
      </w:r>
      <w:r w:rsidRPr="00600FC7">
        <w:rPr>
          <w:rFonts w:ascii="Times New Roman" w:eastAsia="Calibri" w:hAnsi="Times New Roman" w:cs="Times New Roman"/>
          <w:sz w:val="24"/>
          <w:szCs w:val="24"/>
        </w:rPr>
        <w:t xml:space="preserve"> Street, NW</w:t>
      </w:r>
    </w:p>
    <w:p w14:paraId="22A44333" w14:textId="77777777" w:rsidR="00DF1942" w:rsidRPr="00600FC7" w:rsidRDefault="00DF1942" w:rsidP="00DF1942">
      <w:pPr>
        <w:pStyle w:val="NoSpacing"/>
        <w:rPr>
          <w:rFonts w:ascii="Times New Roman" w:eastAsia="Calibri" w:hAnsi="Times New Roman" w:cs="Times New Roman"/>
          <w:sz w:val="24"/>
          <w:szCs w:val="24"/>
        </w:rPr>
      </w:pPr>
      <w:r w:rsidRPr="00600FC7">
        <w:rPr>
          <w:rFonts w:ascii="Times New Roman" w:eastAsia="Calibri" w:hAnsi="Times New Roman" w:cs="Times New Roman"/>
          <w:sz w:val="24"/>
          <w:szCs w:val="24"/>
        </w:rPr>
        <w:t>Washington, DC  20581</w:t>
      </w:r>
    </w:p>
    <w:p w14:paraId="12B2B9A5" w14:textId="77777777" w:rsidR="00DF1942" w:rsidRPr="00600FC7" w:rsidRDefault="00DF1942" w:rsidP="00DF1942">
      <w:pPr>
        <w:pStyle w:val="NoSpacing"/>
        <w:rPr>
          <w:rFonts w:ascii="Times New Roman" w:eastAsia="Times New Roman" w:hAnsi="Times New Roman" w:cs="Times New Roman"/>
          <w:sz w:val="24"/>
          <w:szCs w:val="24"/>
        </w:rPr>
      </w:pPr>
    </w:p>
    <w:p w14:paraId="6D88B8AB" w14:textId="77777777" w:rsidR="00DF1942" w:rsidRPr="00600FC7" w:rsidRDefault="00DF1942" w:rsidP="00DF1942">
      <w:pPr>
        <w:pStyle w:val="NoSpacing"/>
        <w:rPr>
          <w:rFonts w:ascii="Times New Roman" w:eastAsia="Calibri" w:hAnsi="Times New Roman" w:cs="Times New Roman"/>
          <w:b/>
          <w:sz w:val="24"/>
          <w:szCs w:val="24"/>
        </w:rPr>
      </w:pPr>
      <w:r w:rsidRPr="00600FC7">
        <w:rPr>
          <w:rFonts w:ascii="Times New Roman" w:eastAsia="Calibri" w:hAnsi="Times New Roman" w:cs="Times New Roman"/>
          <w:b/>
          <w:bCs/>
          <w:color w:val="333333"/>
          <w:sz w:val="24"/>
          <w:szCs w:val="24"/>
        </w:rPr>
        <w:t>Rule Self-Certification:</w:t>
      </w:r>
      <w:r w:rsidRPr="00600FC7">
        <w:rPr>
          <w:rFonts w:ascii="Times New Roman" w:eastAsia="Calibri" w:hAnsi="Times New Roman" w:cs="Times New Roman"/>
          <w:b/>
          <w:sz w:val="24"/>
          <w:szCs w:val="24"/>
        </w:rPr>
        <w:t xml:space="preserve"> </w:t>
      </w:r>
      <w:r w:rsidRPr="00600FC7">
        <w:rPr>
          <w:rFonts w:ascii="Times New Roman" w:eastAsia="Calibri" w:hAnsi="Times New Roman" w:cs="Times New Roman"/>
          <w:b/>
          <w:sz w:val="24"/>
          <w:szCs w:val="24"/>
        </w:rPr>
        <w:tab/>
        <w:t xml:space="preserve">Product and Rule Certification for New NFX </w:t>
      </w:r>
    </w:p>
    <w:p w14:paraId="375117AF" w14:textId="3F3D6072" w:rsidR="00F02B33" w:rsidRPr="00600FC7" w:rsidRDefault="00F02B33" w:rsidP="00F02B33">
      <w:pPr>
        <w:pStyle w:val="NoSpacing"/>
        <w:ind w:left="2160" w:firstLine="720"/>
        <w:rPr>
          <w:rFonts w:ascii="Times New Roman" w:eastAsia="Calibri" w:hAnsi="Times New Roman" w:cs="Times New Roman"/>
          <w:sz w:val="24"/>
          <w:szCs w:val="24"/>
        </w:rPr>
      </w:pPr>
      <w:r w:rsidRPr="00600FC7">
        <w:rPr>
          <w:rFonts w:ascii="Times New Roman" w:eastAsia="Calibri" w:hAnsi="Times New Roman" w:cs="Times New Roman"/>
          <w:b/>
          <w:sz w:val="24"/>
          <w:szCs w:val="24"/>
        </w:rPr>
        <w:t>Canadian Crude Oil Financial Futures</w:t>
      </w:r>
      <w:r w:rsidR="006322F8" w:rsidRPr="00600FC7">
        <w:rPr>
          <w:rFonts w:ascii="Times New Roman" w:eastAsia="Calibri" w:hAnsi="Times New Roman" w:cs="Times New Roman"/>
          <w:b/>
          <w:sz w:val="24"/>
          <w:szCs w:val="24"/>
        </w:rPr>
        <w:t xml:space="preserve"> Contracts</w:t>
      </w:r>
    </w:p>
    <w:p w14:paraId="6A8AEB7C" w14:textId="26D91232" w:rsidR="00DF1942" w:rsidRPr="00600FC7" w:rsidRDefault="00DF1942" w:rsidP="00DF1942">
      <w:pPr>
        <w:pStyle w:val="NoSpacing"/>
        <w:ind w:left="2160" w:firstLine="720"/>
        <w:rPr>
          <w:rFonts w:ascii="Times New Roman" w:eastAsia="Calibri" w:hAnsi="Times New Roman" w:cs="Times New Roman"/>
          <w:b/>
          <w:sz w:val="24"/>
          <w:szCs w:val="24"/>
          <w:u w:val="single"/>
        </w:rPr>
      </w:pPr>
      <w:r w:rsidRPr="00600FC7">
        <w:rPr>
          <w:rFonts w:ascii="Times New Roman" w:eastAsia="Calibri" w:hAnsi="Times New Roman" w:cs="Times New Roman"/>
          <w:b/>
          <w:sz w:val="24"/>
          <w:szCs w:val="24"/>
          <w:u w:val="single"/>
        </w:rPr>
        <w:t>Reference File: SR-NFX-201</w:t>
      </w:r>
      <w:r w:rsidR="001653B5" w:rsidRPr="00600FC7">
        <w:rPr>
          <w:rFonts w:ascii="Times New Roman" w:eastAsia="Calibri" w:hAnsi="Times New Roman" w:cs="Times New Roman"/>
          <w:b/>
          <w:sz w:val="24"/>
          <w:szCs w:val="24"/>
          <w:u w:val="single"/>
        </w:rPr>
        <w:t>8</w:t>
      </w:r>
      <w:r w:rsidRPr="00600FC7">
        <w:rPr>
          <w:rFonts w:ascii="Times New Roman" w:eastAsia="Calibri" w:hAnsi="Times New Roman" w:cs="Times New Roman"/>
          <w:b/>
          <w:sz w:val="24"/>
          <w:szCs w:val="24"/>
          <w:u w:val="single"/>
        </w:rPr>
        <w:t>-</w:t>
      </w:r>
      <w:r w:rsidR="00F02B33" w:rsidRPr="00600FC7">
        <w:rPr>
          <w:rFonts w:ascii="Times New Roman" w:eastAsia="Calibri" w:hAnsi="Times New Roman" w:cs="Times New Roman"/>
          <w:b/>
          <w:sz w:val="24"/>
          <w:szCs w:val="24"/>
          <w:u w:val="single"/>
        </w:rPr>
        <w:t>52</w:t>
      </w:r>
    </w:p>
    <w:p w14:paraId="347B0934" w14:textId="77777777" w:rsidR="0008423C" w:rsidRPr="00600FC7"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600FC7" w:rsidRDefault="0008423C" w:rsidP="0008423C">
      <w:pPr>
        <w:pStyle w:val="NoSpacing"/>
        <w:rPr>
          <w:rFonts w:ascii="Times New Roman" w:eastAsia="Calibri" w:hAnsi="Times New Roman" w:cs="Times New Roman"/>
          <w:sz w:val="24"/>
          <w:szCs w:val="24"/>
        </w:rPr>
      </w:pPr>
      <w:r w:rsidRPr="00600FC7">
        <w:rPr>
          <w:rFonts w:ascii="Times New Roman" w:eastAsia="Calibri" w:hAnsi="Times New Roman" w:cs="Times New Roman"/>
          <w:sz w:val="24"/>
          <w:szCs w:val="24"/>
        </w:rPr>
        <w:t>Dear Mr. Kirkpatrick:</w:t>
      </w:r>
    </w:p>
    <w:p w14:paraId="347B0936" w14:textId="77777777" w:rsidR="0008423C" w:rsidRPr="00600FC7" w:rsidRDefault="0008423C" w:rsidP="0008423C">
      <w:pPr>
        <w:pStyle w:val="NoSpacing"/>
        <w:rPr>
          <w:rFonts w:ascii="Times New Roman" w:eastAsia="Calibri" w:hAnsi="Times New Roman" w:cs="Times New Roman"/>
          <w:sz w:val="24"/>
          <w:szCs w:val="24"/>
        </w:rPr>
      </w:pPr>
    </w:p>
    <w:p w14:paraId="347B0937" w14:textId="7A39680C" w:rsidR="00154FD5" w:rsidRPr="00600FC7" w:rsidRDefault="005E3020" w:rsidP="00F02B33">
      <w:pPr>
        <w:pStyle w:val="NoSpacing"/>
        <w:ind w:firstLine="720"/>
        <w:rPr>
          <w:rFonts w:ascii="Times New Roman" w:eastAsia="Calibri" w:hAnsi="Times New Roman" w:cs="Times New Roman"/>
          <w:sz w:val="24"/>
          <w:szCs w:val="24"/>
        </w:rPr>
      </w:pPr>
      <w:r w:rsidRPr="00600FC7">
        <w:rPr>
          <w:rFonts w:ascii="Times New Roman" w:eastAsia="Calibri" w:hAnsi="Times New Roman" w:cs="Times New Roman"/>
          <w:sz w:val="24"/>
          <w:szCs w:val="24"/>
        </w:rPr>
        <w:t>Pursuant to Section 5c(c)(1) of the Commodity Exchange Act, as amended (“</w:t>
      </w:r>
      <w:r w:rsidRPr="00600FC7">
        <w:rPr>
          <w:rFonts w:ascii="Times New Roman" w:eastAsia="Calibri" w:hAnsi="Times New Roman" w:cs="Times New Roman"/>
          <w:sz w:val="24"/>
          <w:szCs w:val="24"/>
          <w:u w:val="single"/>
        </w:rPr>
        <w:t>Act</w:t>
      </w:r>
      <w:r w:rsidRPr="00600FC7">
        <w:rPr>
          <w:rFonts w:ascii="Times New Roman" w:eastAsia="Calibri" w:hAnsi="Times New Roman" w:cs="Times New Roman"/>
          <w:sz w:val="24"/>
          <w:szCs w:val="24"/>
        </w:rPr>
        <w:t xml:space="preserve">”), and Section </w:t>
      </w:r>
      <w:r w:rsidRPr="00600FC7">
        <w:rPr>
          <w:rFonts w:ascii="Times New Roman" w:hAnsi="Times New Roman" w:cs="Times New Roman"/>
          <w:sz w:val="24"/>
          <w:szCs w:val="24"/>
        </w:rPr>
        <w:t xml:space="preserve">40.6 </w:t>
      </w:r>
      <w:r w:rsidRPr="00600FC7">
        <w:rPr>
          <w:rFonts w:ascii="Times New Roman" w:eastAsia="Calibri" w:hAnsi="Times New Roman" w:cs="Times New Roman"/>
          <w:sz w:val="24"/>
          <w:szCs w:val="24"/>
        </w:rPr>
        <w:t>of the Commission’s regulations thereunder, NASDAQ Futures, Inc. (“</w:t>
      </w:r>
      <w:r w:rsidRPr="00600FC7">
        <w:rPr>
          <w:rFonts w:ascii="Times New Roman" w:eastAsia="Calibri" w:hAnsi="Times New Roman" w:cs="Times New Roman"/>
          <w:sz w:val="24"/>
          <w:szCs w:val="24"/>
          <w:u w:val="single"/>
        </w:rPr>
        <w:t>NFX</w:t>
      </w:r>
      <w:r w:rsidRPr="00600FC7">
        <w:rPr>
          <w:rFonts w:ascii="Times New Roman" w:eastAsia="Calibri" w:hAnsi="Times New Roman" w:cs="Times New Roman"/>
          <w:sz w:val="24"/>
          <w:szCs w:val="24"/>
        </w:rPr>
        <w:t>” or “</w:t>
      </w:r>
      <w:r w:rsidRPr="00600FC7">
        <w:rPr>
          <w:rFonts w:ascii="Times New Roman" w:eastAsia="Calibri" w:hAnsi="Times New Roman" w:cs="Times New Roman"/>
          <w:sz w:val="24"/>
          <w:szCs w:val="24"/>
          <w:u w:val="single"/>
        </w:rPr>
        <w:t>Exchange</w:t>
      </w:r>
      <w:r w:rsidRPr="00600FC7">
        <w:rPr>
          <w:rFonts w:ascii="Times New Roman" w:eastAsia="Calibri" w:hAnsi="Times New Roman" w:cs="Times New Roman"/>
          <w:sz w:val="24"/>
          <w:szCs w:val="24"/>
        </w:rPr>
        <w:t xml:space="preserve">”) hereby submits rules relating to block trade minimum quantity thresholds and </w:t>
      </w:r>
      <w:r w:rsidR="006322F8" w:rsidRPr="00600FC7">
        <w:rPr>
          <w:rFonts w:ascii="Times New Roman" w:eastAsia="Calibri" w:hAnsi="Times New Roman" w:cs="Times New Roman"/>
          <w:sz w:val="24"/>
          <w:szCs w:val="24"/>
        </w:rPr>
        <w:t xml:space="preserve">transaction fees </w:t>
      </w:r>
      <w:r w:rsidRPr="00600FC7">
        <w:rPr>
          <w:rFonts w:ascii="Times New Roman" w:eastAsia="Calibri" w:hAnsi="Times New Roman" w:cs="Times New Roman"/>
          <w:sz w:val="24"/>
          <w:szCs w:val="24"/>
        </w:rPr>
        <w:t xml:space="preserve">for </w:t>
      </w:r>
      <w:r w:rsidR="00F02B33" w:rsidRPr="00600FC7">
        <w:rPr>
          <w:rFonts w:ascii="Times New Roman" w:eastAsia="Calibri" w:hAnsi="Times New Roman" w:cs="Times New Roman"/>
          <w:sz w:val="24"/>
          <w:szCs w:val="24"/>
        </w:rPr>
        <w:t>NFX Canadian Crude Oil Financial Futures (“Canadian Crude contracts”)</w:t>
      </w:r>
      <w:r w:rsidRPr="00600FC7">
        <w:rPr>
          <w:rFonts w:ascii="Times New Roman" w:eastAsia="Calibri" w:hAnsi="Times New Roman" w:cs="Times New Roman"/>
          <w:sz w:val="24"/>
          <w:szCs w:val="24"/>
        </w:rPr>
        <w:t xml:space="preserve">.  </w:t>
      </w:r>
      <w:r w:rsidR="00154FD5" w:rsidRPr="00600FC7">
        <w:rPr>
          <w:rFonts w:ascii="Times New Roman" w:eastAsia="Calibri" w:hAnsi="Times New Roman" w:cs="Times New Roman"/>
          <w:sz w:val="24"/>
          <w:szCs w:val="24"/>
        </w:rPr>
        <w:t xml:space="preserve">The Exchange anticipates listing the </w:t>
      </w:r>
      <w:r w:rsidR="00F02B33" w:rsidRPr="00600FC7">
        <w:rPr>
          <w:rFonts w:ascii="Times New Roman" w:eastAsia="Calibri" w:hAnsi="Times New Roman" w:cs="Times New Roman"/>
          <w:sz w:val="24"/>
          <w:szCs w:val="24"/>
        </w:rPr>
        <w:t xml:space="preserve">Canadian Crude contracts </w:t>
      </w:r>
      <w:r w:rsidR="00154FD5" w:rsidRPr="00600FC7">
        <w:rPr>
          <w:rFonts w:ascii="Times New Roman" w:eastAsia="Calibri" w:hAnsi="Times New Roman" w:cs="Times New Roman"/>
          <w:sz w:val="24"/>
          <w:szCs w:val="24"/>
        </w:rPr>
        <w:t xml:space="preserve">beginning </w:t>
      </w:r>
      <w:r w:rsidR="00F02B33" w:rsidRPr="00600FC7">
        <w:rPr>
          <w:rFonts w:ascii="Times New Roman" w:eastAsia="Calibri" w:hAnsi="Times New Roman" w:cs="Times New Roman"/>
          <w:sz w:val="24"/>
          <w:szCs w:val="24"/>
        </w:rPr>
        <w:t>November 15, 2018</w:t>
      </w:r>
      <w:r w:rsidR="00154FD5" w:rsidRPr="00600FC7">
        <w:rPr>
          <w:rFonts w:ascii="Times New Roman" w:eastAsia="Calibri" w:hAnsi="Times New Roman" w:cs="Times New Roman"/>
          <w:sz w:val="24"/>
          <w:szCs w:val="24"/>
        </w:rPr>
        <w:t xml:space="preserve">, for trade date </w:t>
      </w:r>
      <w:r w:rsidR="00F02B33" w:rsidRPr="00600FC7">
        <w:rPr>
          <w:rFonts w:ascii="Times New Roman" w:eastAsia="Calibri" w:hAnsi="Times New Roman" w:cs="Times New Roman"/>
          <w:sz w:val="24"/>
          <w:szCs w:val="24"/>
        </w:rPr>
        <w:t>November 16, 2018</w:t>
      </w:r>
      <w:r w:rsidR="00154FD5" w:rsidRPr="00600FC7">
        <w:rPr>
          <w:rFonts w:ascii="Times New Roman" w:eastAsia="Calibri" w:hAnsi="Times New Roman" w:cs="Times New Roman"/>
          <w:sz w:val="24"/>
          <w:szCs w:val="24"/>
        </w:rPr>
        <w:t xml:space="preserve">.  The amendments proposed in this submission shall be effective on the listing date.  </w:t>
      </w:r>
    </w:p>
    <w:p w14:paraId="347B0938" w14:textId="77777777" w:rsidR="0008423C" w:rsidRPr="00600FC7" w:rsidRDefault="0008423C" w:rsidP="00154FD5">
      <w:pPr>
        <w:pStyle w:val="NoSpacing"/>
        <w:ind w:firstLine="720"/>
        <w:rPr>
          <w:rFonts w:ascii="Times New Roman" w:eastAsia="Calibri" w:hAnsi="Times New Roman" w:cs="Times New Roman"/>
          <w:sz w:val="24"/>
          <w:szCs w:val="24"/>
        </w:rPr>
      </w:pPr>
    </w:p>
    <w:p w14:paraId="347B0939" w14:textId="07887861" w:rsidR="00154FD5" w:rsidRPr="00600FC7" w:rsidRDefault="00154FD5" w:rsidP="0002084B">
      <w:pPr>
        <w:pStyle w:val="NoSpacing"/>
        <w:ind w:firstLine="720"/>
        <w:rPr>
          <w:rFonts w:ascii="Times New Roman" w:eastAsia="Calibri" w:hAnsi="Times New Roman" w:cs="Times New Roman"/>
          <w:sz w:val="24"/>
          <w:szCs w:val="24"/>
        </w:rPr>
      </w:pPr>
      <w:r w:rsidRPr="00600FC7">
        <w:rPr>
          <w:rFonts w:ascii="Times New Roman" w:eastAsia="Calibri" w:hAnsi="Times New Roman" w:cs="Times New Roman"/>
          <w:sz w:val="24"/>
          <w:szCs w:val="24"/>
        </w:rPr>
        <w:t xml:space="preserve">The name of each </w:t>
      </w:r>
      <w:r w:rsidR="00F02B33" w:rsidRPr="00600FC7">
        <w:rPr>
          <w:rFonts w:ascii="Times New Roman" w:eastAsia="Calibri" w:hAnsi="Times New Roman" w:cs="Times New Roman"/>
          <w:sz w:val="24"/>
          <w:szCs w:val="24"/>
        </w:rPr>
        <w:t xml:space="preserve">Canadian Crude contract </w:t>
      </w:r>
      <w:r w:rsidRPr="00600FC7">
        <w:rPr>
          <w:rFonts w:ascii="Times New Roman" w:eastAsia="Calibri" w:hAnsi="Times New Roman" w:cs="Times New Roman"/>
          <w:sz w:val="24"/>
          <w:szCs w:val="24"/>
        </w:rPr>
        <w:t xml:space="preserve">is listed below, followed by its symbol in parentheses:  </w:t>
      </w:r>
    </w:p>
    <w:p w14:paraId="504E58B8" w14:textId="2451E097" w:rsidR="00F02B33" w:rsidRPr="00600FC7" w:rsidRDefault="00F02B33" w:rsidP="00F02B33">
      <w:pPr>
        <w:pStyle w:val="NoSpacing"/>
        <w:numPr>
          <w:ilvl w:val="0"/>
          <w:numId w:val="1"/>
        </w:numPr>
        <w:rPr>
          <w:rFonts w:ascii="Times New Roman" w:eastAsia="Times New Roman" w:hAnsi="Times New Roman" w:cs="Times New Roman"/>
          <w:bCs/>
          <w:sz w:val="24"/>
          <w:szCs w:val="24"/>
        </w:rPr>
      </w:pPr>
      <w:r w:rsidRPr="00600FC7">
        <w:rPr>
          <w:rFonts w:ascii="Times New Roman" w:eastAsia="Times New Roman" w:hAnsi="Times New Roman" w:cs="Times New Roman"/>
          <w:bCs/>
          <w:sz w:val="24"/>
          <w:szCs w:val="24"/>
        </w:rPr>
        <w:t>NFX (C.C.I.) Canadian Condensate (C5) Basis Futures (NC5)</w:t>
      </w:r>
    </w:p>
    <w:tbl>
      <w:tblPr>
        <w:tblW w:w="9450" w:type="dxa"/>
        <w:tblCellMar>
          <w:left w:w="0" w:type="dxa"/>
          <w:right w:w="0" w:type="dxa"/>
        </w:tblCellMar>
        <w:tblLook w:val="04A0" w:firstRow="1" w:lastRow="0" w:firstColumn="1" w:lastColumn="0" w:noHBand="0" w:noVBand="1"/>
      </w:tblPr>
      <w:tblGrid>
        <w:gridCol w:w="9450"/>
      </w:tblGrid>
      <w:tr w:rsidR="00EA3B11" w:rsidRPr="00600FC7" w14:paraId="3C4EE819" w14:textId="77777777" w:rsidTr="005F02DC">
        <w:trPr>
          <w:trHeight w:val="288"/>
        </w:trPr>
        <w:tc>
          <w:tcPr>
            <w:tcW w:w="9450" w:type="dxa"/>
            <w:tcBorders>
              <w:top w:val="nil"/>
              <w:left w:val="nil"/>
              <w:bottom w:val="nil"/>
              <w:right w:val="nil"/>
            </w:tcBorders>
            <w:shd w:val="clear" w:color="auto" w:fill="auto"/>
            <w:noWrap/>
            <w:tcMar>
              <w:top w:w="15" w:type="dxa"/>
              <w:left w:w="15" w:type="dxa"/>
              <w:bottom w:w="0" w:type="dxa"/>
              <w:right w:w="15" w:type="dxa"/>
            </w:tcMar>
            <w:vAlign w:val="bottom"/>
            <w:hideMark/>
          </w:tcPr>
          <w:p w14:paraId="41AA4612" w14:textId="77777777" w:rsidR="00EA3B11" w:rsidRPr="00600FC7" w:rsidRDefault="00EA3B11" w:rsidP="00EA3B11">
            <w:pPr>
              <w:pStyle w:val="NoSpacing"/>
              <w:numPr>
                <w:ilvl w:val="0"/>
                <w:numId w:val="1"/>
              </w:numPr>
              <w:rPr>
                <w:rFonts w:ascii="Times New Roman" w:eastAsia="Times New Roman" w:hAnsi="Times New Roman" w:cs="Times New Roman"/>
                <w:bCs/>
                <w:sz w:val="24"/>
                <w:szCs w:val="24"/>
              </w:rPr>
            </w:pPr>
            <w:r w:rsidRPr="00600FC7">
              <w:rPr>
                <w:rFonts w:ascii="Times New Roman" w:eastAsia="Times New Roman" w:hAnsi="Times New Roman" w:cs="Times New Roman"/>
                <w:bCs/>
                <w:sz w:val="24"/>
                <w:szCs w:val="24"/>
              </w:rPr>
              <w:t>NFX (C.C.I.) Canadian Condensate (C5) Financial Futures (CCFQ)</w:t>
            </w:r>
          </w:p>
        </w:tc>
      </w:tr>
      <w:tr w:rsidR="00EA3B11" w:rsidRPr="00600FC7" w14:paraId="0A678D2B" w14:textId="77777777" w:rsidTr="005F02DC">
        <w:trPr>
          <w:trHeight w:val="288"/>
        </w:trPr>
        <w:tc>
          <w:tcPr>
            <w:tcW w:w="9450" w:type="dxa"/>
            <w:tcBorders>
              <w:top w:val="nil"/>
              <w:left w:val="nil"/>
              <w:bottom w:val="nil"/>
              <w:right w:val="nil"/>
            </w:tcBorders>
            <w:shd w:val="clear" w:color="auto" w:fill="auto"/>
            <w:noWrap/>
            <w:tcMar>
              <w:top w:w="15" w:type="dxa"/>
              <w:left w:w="15" w:type="dxa"/>
              <w:bottom w:w="0" w:type="dxa"/>
              <w:right w:w="15" w:type="dxa"/>
            </w:tcMar>
            <w:vAlign w:val="bottom"/>
            <w:hideMark/>
          </w:tcPr>
          <w:p w14:paraId="1645AF6C" w14:textId="77777777" w:rsidR="00EA3B11" w:rsidRPr="00600FC7" w:rsidRDefault="00EA3B11" w:rsidP="00EA3B11">
            <w:pPr>
              <w:pStyle w:val="NoSpacing"/>
              <w:numPr>
                <w:ilvl w:val="0"/>
                <w:numId w:val="1"/>
              </w:numPr>
              <w:rPr>
                <w:rFonts w:ascii="Times New Roman" w:eastAsia="Times New Roman" w:hAnsi="Times New Roman" w:cs="Times New Roman"/>
                <w:bCs/>
                <w:sz w:val="24"/>
                <w:szCs w:val="24"/>
              </w:rPr>
            </w:pPr>
            <w:r w:rsidRPr="00600FC7">
              <w:rPr>
                <w:rFonts w:ascii="Times New Roman" w:eastAsia="Times New Roman" w:hAnsi="Times New Roman" w:cs="Times New Roman"/>
                <w:bCs/>
                <w:sz w:val="24"/>
                <w:szCs w:val="24"/>
              </w:rPr>
              <w:t>NFX (C.C.I.) Canadian Light Sweet Crude Oil Basis Futures (NSW)</w:t>
            </w:r>
          </w:p>
        </w:tc>
      </w:tr>
      <w:tr w:rsidR="00EA3B11" w:rsidRPr="00600FC7" w14:paraId="780CB273" w14:textId="77777777" w:rsidTr="005F02DC">
        <w:trPr>
          <w:trHeight w:val="288"/>
        </w:trPr>
        <w:tc>
          <w:tcPr>
            <w:tcW w:w="9450" w:type="dxa"/>
            <w:tcBorders>
              <w:top w:val="nil"/>
              <w:left w:val="nil"/>
              <w:bottom w:val="nil"/>
              <w:right w:val="nil"/>
            </w:tcBorders>
            <w:shd w:val="clear" w:color="auto" w:fill="auto"/>
            <w:noWrap/>
            <w:tcMar>
              <w:top w:w="15" w:type="dxa"/>
              <w:left w:w="15" w:type="dxa"/>
              <w:bottom w:w="0" w:type="dxa"/>
              <w:right w:w="15" w:type="dxa"/>
            </w:tcMar>
            <w:vAlign w:val="bottom"/>
            <w:hideMark/>
          </w:tcPr>
          <w:p w14:paraId="3E41A967" w14:textId="77777777" w:rsidR="00EA3B11" w:rsidRPr="00600FC7" w:rsidRDefault="00EA3B11" w:rsidP="00EA3B11">
            <w:pPr>
              <w:pStyle w:val="NoSpacing"/>
              <w:numPr>
                <w:ilvl w:val="0"/>
                <w:numId w:val="1"/>
              </w:numPr>
              <w:rPr>
                <w:rFonts w:ascii="Times New Roman" w:eastAsia="Times New Roman" w:hAnsi="Times New Roman" w:cs="Times New Roman"/>
                <w:bCs/>
                <w:sz w:val="24"/>
                <w:szCs w:val="24"/>
              </w:rPr>
            </w:pPr>
            <w:r w:rsidRPr="00600FC7">
              <w:rPr>
                <w:rFonts w:ascii="Times New Roman" w:eastAsia="Times New Roman" w:hAnsi="Times New Roman" w:cs="Times New Roman"/>
                <w:bCs/>
                <w:sz w:val="24"/>
                <w:szCs w:val="24"/>
              </w:rPr>
              <w:t>NFX (C.C.I.) Canadian Light Sweet Crude Oil Financial Futures (CSWQ)</w:t>
            </w:r>
          </w:p>
        </w:tc>
      </w:tr>
      <w:tr w:rsidR="00EA3B11" w:rsidRPr="00600FC7" w14:paraId="37DFBB4E" w14:textId="77777777" w:rsidTr="005F02DC">
        <w:trPr>
          <w:trHeight w:val="288"/>
        </w:trPr>
        <w:tc>
          <w:tcPr>
            <w:tcW w:w="9450" w:type="dxa"/>
            <w:tcBorders>
              <w:top w:val="nil"/>
              <w:left w:val="nil"/>
              <w:bottom w:val="nil"/>
              <w:right w:val="nil"/>
            </w:tcBorders>
            <w:shd w:val="clear" w:color="auto" w:fill="auto"/>
            <w:noWrap/>
            <w:tcMar>
              <w:top w:w="15" w:type="dxa"/>
              <w:left w:w="15" w:type="dxa"/>
              <w:bottom w:w="0" w:type="dxa"/>
              <w:right w:w="15" w:type="dxa"/>
            </w:tcMar>
            <w:vAlign w:val="bottom"/>
            <w:hideMark/>
          </w:tcPr>
          <w:p w14:paraId="300E83B6" w14:textId="77777777" w:rsidR="00EA3B11" w:rsidRPr="00600FC7" w:rsidRDefault="00EA3B11" w:rsidP="00EA3B11">
            <w:pPr>
              <w:pStyle w:val="NoSpacing"/>
              <w:numPr>
                <w:ilvl w:val="0"/>
                <w:numId w:val="1"/>
              </w:numPr>
              <w:rPr>
                <w:rFonts w:ascii="Times New Roman" w:eastAsia="Times New Roman" w:hAnsi="Times New Roman" w:cs="Times New Roman"/>
                <w:bCs/>
                <w:sz w:val="24"/>
                <w:szCs w:val="24"/>
              </w:rPr>
            </w:pPr>
            <w:r w:rsidRPr="00600FC7">
              <w:rPr>
                <w:rFonts w:ascii="Times New Roman" w:eastAsia="Times New Roman" w:hAnsi="Times New Roman" w:cs="Times New Roman"/>
                <w:bCs/>
                <w:sz w:val="24"/>
                <w:szCs w:val="24"/>
              </w:rPr>
              <w:t>NFX (C.C.I.) Canadian Light Sour Blend Crude Oil Basis Futures (NSR)</w:t>
            </w:r>
          </w:p>
        </w:tc>
      </w:tr>
      <w:tr w:rsidR="00EA3B11" w:rsidRPr="00600FC7" w14:paraId="11C640E3" w14:textId="77777777" w:rsidTr="005F02DC">
        <w:trPr>
          <w:trHeight w:val="288"/>
        </w:trPr>
        <w:tc>
          <w:tcPr>
            <w:tcW w:w="9450" w:type="dxa"/>
            <w:tcBorders>
              <w:top w:val="nil"/>
              <w:left w:val="nil"/>
              <w:bottom w:val="nil"/>
              <w:right w:val="nil"/>
            </w:tcBorders>
            <w:shd w:val="clear" w:color="auto" w:fill="auto"/>
            <w:noWrap/>
            <w:tcMar>
              <w:top w:w="15" w:type="dxa"/>
              <w:left w:w="15" w:type="dxa"/>
              <w:bottom w:w="0" w:type="dxa"/>
              <w:right w:w="15" w:type="dxa"/>
            </w:tcMar>
            <w:vAlign w:val="bottom"/>
            <w:hideMark/>
          </w:tcPr>
          <w:p w14:paraId="1BFB4657" w14:textId="77777777" w:rsidR="00EA3B11" w:rsidRPr="00600FC7" w:rsidRDefault="00EA3B11" w:rsidP="00EA3B11">
            <w:pPr>
              <w:pStyle w:val="NoSpacing"/>
              <w:numPr>
                <w:ilvl w:val="0"/>
                <w:numId w:val="1"/>
              </w:numPr>
              <w:rPr>
                <w:rFonts w:ascii="Times New Roman" w:eastAsia="Times New Roman" w:hAnsi="Times New Roman" w:cs="Times New Roman"/>
                <w:bCs/>
                <w:sz w:val="24"/>
                <w:szCs w:val="24"/>
              </w:rPr>
            </w:pPr>
            <w:r w:rsidRPr="00600FC7">
              <w:rPr>
                <w:rFonts w:ascii="Times New Roman" w:eastAsia="Times New Roman" w:hAnsi="Times New Roman" w:cs="Times New Roman"/>
                <w:bCs/>
                <w:sz w:val="24"/>
                <w:szCs w:val="24"/>
              </w:rPr>
              <w:t>NFX (C.C.I.) Canadian Light Sour Blend Crude Oil Financial Futures (CSDQ)</w:t>
            </w:r>
          </w:p>
        </w:tc>
      </w:tr>
      <w:tr w:rsidR="00EA3B11" w:rsidRPr="00600FC7" w14:paraId="074AAF52" w14:textId="77777777" w:rsidTr="005F02DC">
        <w:trPr>
          <w:trHeight w:val="288"/>
        </w:trPr>
        <w:tc>
          <w:tcPr>
            <w:tcW w:w="9450" w:type="dxa"/>
            <w:tcBorders>
              <w:top w:val="nil"/>
              <w:left w:val="nil"/>
              <w:bottom w:val="nil"/>
              <w:right w:val="nil"/>
            </w:tcBorders>
            <w:shd w:val="clear" w:color="auto" w:fill="auto"/>
            <w:noWrap/>
            <w:tcMar>
              <w:top w:w="15" w:type="dxa"/>
              <w:left w:w="15" w:type="dxa"/>
              <w:bottom w:w="0" w:type="dxa"/>
              <w:right w:w="15" w:type="dxa"/>
            </w:tcMar>
            <w:vAlign w:val="bottom"/>
            <w:hideMark/>
          </w:tcPr>
          <w:p w14:paraId="712DDB80" w14:textId="77777777" w:rsidR="00EA3B11" w:rsidRPr="00600FC7" w:rsidRDefault="00EA3B11" w:rsidP="00EA3B11">
            <w:pPr>
              <w:pStyle w:val="NoSpacing"/>
              <w:numPr>
                <w:ilvl w:val="0"/>
                <w:numId w:val="1"/>
              </w:numPr>
              <w:rPr>
                <w:rFonts w:ascii="Times New Roman" w:eastAsia="Times New Roman" w:hAnsi="Times New Roman" w:cs="Times New Roman"/>
                <w:bCs/>
                <w:sz w:val="24"/>
                <w:szCs w:val="24"/>
              </w:rPr>
            </w:pPr>
            <w:r w:rsidRPr="00600FC7">
              <w:rPr>
                <w:rFonts w:ascii="Times New Roman" w:eastAsia="Times New Roman" w:hAnsi="Times New Roman" w:cs="Times New Roman"/>
                <w:bCs/>
                <w:sz w:val="24"/>
                <w:szCs w:val="24"/>
              </w:rPr>
              <w:t>NFX (C.C.I.) Canadian Synthetic Sweet Crude Oil Basis Futures (NSP)</w:t>
            </w:r>
          </w:p>
        </w:tc>
      </w:tr>
      <w:tr w:rsidR="00EA3B11" w:rsidRPr="00600FC7" w14:paraId="3A9AE002" w14:textId="77777777" w:rsidTr="005F02DC">
        <w:trPr>
          <w:trHeight w:val="288"/>
        </w:trPr>
        <w:tc>
          <w:tcPr>
            <w:tcW w:w="9450" w:type="dxa"/>
            <w:tcBorders>
              <w:top w:val="nil"/>
              <w:left w:val="nil"/>
              <w:bottom w:val="nil"/>
              <w:right w:val="nil"/>
            </w:tcBorders>
            <w:shd w:val="clear" w:color="auto" w:fill="auto"/>
            <w:noWrap/>
            <w:tcMar>
              <w:top w:w="15" w:type="dxa"/>
              <w:left w:w="15" w:type="dxa"/>
              <w:bottom w:w="0" w:type="dxa"/>
              <w:right w:w="15" w:type="dxa"/>
            </w:tcMar>
            <w:vAlign w:val="bottom"/>
            <w:hideMark/>
          </w:tcPr>
          <w:p w14:paraId="3656CA47" w14:textId="77777777" w:rsidR="00EA3B11" w:rsidRPr="00600FC7" w:rsidRDefault="00EA3B11" w:rsidP="00EA3B11">
            <w:pPr>
              <w:pStyle w:val="NoSpacing"/>
              <w:numPr>
                <w:ilvl w:val="0"/>
                <w:numId w:val="1"/>
              </w:numPr>
              <w:rPr>
                <w:rFonts w:ascii="Times New Roman" w:eastAsia="Times New Roman" w:hAnsi="Times New Roman" w:cs="Times New Roman"/>
                <w:bCs/>
                <w:sz w:val="24"/>
                <w:szCs w:val="24"/>
              </w:rPr>
            </w:pPr>
            <w:r w:rsidRPr="00600FC7">
              <w:rPr>
                <w:rFonts w:ascii="Times New Roman" w:eastAsia="Times New Roman" w:hAnsi="Times New Roman" w:cs="Times New Roman"/>
                <w:bCs/>
                <w:sz w:val="24"/>
                <w:szCs w:val="24"/>
              </w:rPr>
              <w:t>NFX (C.C.I.) Canadian Synthetic Sweet Crude Oil Financial Futures (CSNQ)</w:t>
            </w:r>
          </w:p>
        </w:tc>
      </w:tr>
      <w:tr w:rsidR="00EA3B11" w:rsidRPr="00600FC7" w14:paraId="0BE8AC25" w14:textId="77777777" w:rsidTr="005F02DC">
        <w:trPr>
          <w:trHeight w:val="288"/>
        </w:trPr>
        <w:tc>
          <w:tcPr>
            <w:tcW w:w="9450" w:type="dxa"/>
            <w:tcBorders>
              <w:top w:val="nil"/>
              <w:left w:val="nil"/>
              <w:bottom w:val="nil"/>
              <w:right w:val="nil"/>
            </w:tcBorders>
            <w:shd w:val="clear" w:color="auto" w:fill="auto"/>
            <w:noWrap/>
            <w:tcMar>
              <w:top w:w="15" w:type="dxa"/>
              <w:left w:w="15" w:type="dxa"/>
              <w:bottom w:w="0" w:type="dxa"/>
              <w:right w:w="15" w:type="dxa"/>
            </w:tcMar>
            <w:vAlign w:val="bottom"/>
            <w:hideMark/>
          </w:tcPr>
          <w:p w14:paraId="6C3016D4" w14:textId="77777777" w:rsidR="00EA3B11" w:rsidRPr="00600FC7" w:rsidRDefault="00EA3B11" w:rsidP="00EA3B11">
            <w:pPr>
              <w:pStyle w:val="NoSpacing"/>
              <w:numPr>
                <w:ilvl w:val="0"/>
                <w:numId w:val="1"/>
              </w:numPr>
              <w:rPr>
                <w:rFonts w:ascii="Times New Roman" w:eastAsia="Times New Roman" w:hAnsi="Times New Roman" w:cs="Times New Roman"/>
                <w:bCs/>
                <w:sz w:val="24"/>
                <w:szCs w:val="24"/>
              </w:rPr>
            </w:pPr>
            <w:r w:rsidRPr="00600FC7">
              <w:rPr>
                <w:rFonts w:ascii="Times New Roman" w:eastAsia="Times New Roman" w:hAnsi="Times New Roman" w:cs="Times New Roman"/>
                <w:bCs/>
                <w:sz w:val="24"/>
                <w:szCs w:val="24"/>
              </w:rPr>
              <w:t>NFX (C.C.I.) Western Canadian Select Crude Oil Basis Futures (NWC)</w:t>
            </w:r>
          </w:p>
        </w:tc>
      </w:tr>
    </w:tbl>
    <w:p w14:paraId="347B095E" w14:textId="173F1F3B" w:rsidR="00154FD5" w:rsidRPr="00600FC7" w:rsidRDefault="00F02B33" w:rsidP="00F02B33">
      <w:pPr>
        <w:pStyle w:val="NoSpacing"/>
        <w:numPr>
          <w:ilvl w:val="0"/>
          <w:numId w:val="1"/>
        </w:numPr>
        <w:rPr>
          <w:rFonts w:ascii="Times New Roman" w:eastAsia="Calibri" w:hAnsi="Times New Roman" w:cs="Times New Roman"/>
          <w:sz w:val="24"/>
          <w:szCs w:val="24"/>
        </w:rPr>
      </w:pPr>
      <w:r w:rsidRPr="00600FC7">
        <w:rPr>
          <w:rFonts w:ascii="Times New Roman" w:eastAsia="Times New Roman" w:hAnsi="Times New Roman" w:cs="Times New Roman"/>
          <w:bCs/>
          <w:sz w:val="24"/>
          <w:szCs w:val="24"/>
        </w:rPr>
        <w:t xml:space="preserve">NFX (C.C.I.) Western Canadian Select Crude Oil Financial Futures (CHYQ) </w:t>
      </w:r>
    </w:p>
    <w:p w14:paraId="6B9DE06A" w14:textId="77777777" w:rsidR="00F02B33" w:rsidRPr="00600FC7" w:rsidRDefault="00F02B33" w:rsidP="00F02B33">
      <w:pPr>
        <w:pStyle w:val="NoSpacing"/>
        <w:ind w:left="720"/>
        <w:rPr>
          <w:rFonts w:ascii="Times New Roman" w:eastAsia="Calibri" w:hAnsi="Times New Roman" w:cs="Times New Roman"/>
          <w:sz w:val="24"/>
          <w:szCs w:val="24"/>
        </w:rPr>
      </w:pPr>
    </w:p>
    <w:p w14:paraId="347B095F" w14:textId="77777777" w:rsidR="0008423C" w:rsidRPr="00600FC7" w:rsidRDefault="0008423C" w:rsidP="0002084B">
      <w:pPr>
        <w:pStyle w:val="NoSpacing"/>
        <w:ind w:firstLine="720"/>
        <w:rPr>
          <w:rFonts w:ascii="Times New Roman" w:eastAsia="Calibri" w:hAnsi="Times New Roman" w:cs="Times New Roman"/>
          <w:sz w:val="24"/>
          <w:szCs w:val="24"/>
        </w:rPr>
      </w:pPr>
      <w:r w:rsidRPr="00600FC7">
        <w:rPr>
          <w:rFonts w:ascii="Times New Roman" w:hAnsi="Times New Roman" w:cs="Times New Roman"/>
          <w:sz w:val="24"/>
          <w:szCs w:val="24"/>
        </w:rPr>
        <w:t xml:space="preserve">The rule amendments proposed herein are attached to this letter in </w:t>
      </w:r>
      <w:r w:rsidR="00317C2C" w:rsidRPr="00600FC7">
        <w:rPr>
          <w:rFonts w:ascii="Times New Roman" w:hAnsi="Times New Roman" w:cs="Times New Roman"/>
          <w:sz w:val="24"/>
          <w:szCs w:val="24"/>
          <w:u w:val="single"/>
        </w:rPr>
        <w:t>Exhibit A</w:t>
      </w:r>
      <w:r w:rsidRPr="00600FC7">
        <w:rPr>
          <w:rFonts w:ascii="Times New Roman" w:hAnsi="Times New Roman" w:cs="Times New Roman"/>
          <w:sz w:val="24"/>
          <w:szCs w:val="24"/>
        </w:rPr>
        <w:t xml:space="preserve"> which amends Rulebook Appendix </w:t>
      </w:r>
      <w:proofErr w:type="gramStart"/>
      <w:r w:rsidRPr="00600FC7">
        <w:rPr>
          <w:rFonts w:ascii="Times New Roman" w:hAnsi="Times New Roman" w:cs="Times New Roman"/>
          <w:sz w:val="24"/>
          <w:szCs w:val="24"/>
        </w:rPr>
        <w:t>A</w:t>
      </w:r>
      <w:proofErr w:type="gramEnd"/>
      <w:r w:rsidRPr="00600FC7">
        <w:rPr>
          <w:rFonts w:ascii="Times New Roman" w:hAnsi="Times New Roman" w:cs="Times New Roman"/>
          <w:sz w:val="24"/>
          <w:szCs w:val="24"/>
        </w:rPr>
        <w:t>, Listed Contracts.</w:t>
      </w:r>
      <w:r w:rsidRPr="00600FC7">
        <w:rPr>
          <w:rStyle w:val="FootnoteReference"/>
          <w:rFonts w:ascii="Times New Roman" w:hAnsi="Times New Roman" w:cs="Times New Roman"/>
          <w:sz w:val="24"/>
          <w:szCs w:val="24"/>
        </w:rPr>
        <w:footnoteReference w:id="1"/>
      </w:r>
      <w:r w:rsidRPr="00600FC7">
        <w:rPr>
          <w:rFonts w:ascii="Times New Roman" w:hAnsi="Times New Roman" w:cs="Times New Roman"/>
          <w:sz w:val="24"/>
          <w:szCs w:val="24"/>
        </w:rPr>
        <w:t xml:space="preserve">  </w:t>
      </w:r>
    </w:p>
    <w:p w14:paraId="347B0960" w14:textId="77777777" w:rsidR="0008423C" w:rsidRPr="00600FC7" w:rsidRDefault="0008423C" w:rsidP="0008423C">
      <w:pPr>
        <w:pStyle w:val="NoSpacing"/>
        <w:ind w:firstLine="720"/>
        <w:rPr>
          <w:rFonts w:ascii="Times New Roman" w:hAnsi="Times New Roman" w:cs="Times New Roman"/>
          <w:sz w:val="24"/>
          <w:szCs w:val="24"/>
        </w:rPr>
      </w:pPr>
    </w:p>
    <w:p w14:paraId="347B0961" w14:textId="77777777" w:rsidR="0008423C" w:rsidRPr="00600FC7" w:rsidRDefault="0008423C" w:rsidP="0008423C">
      <w:pPr>
        <w:pStyle w:val="NoSpacing"/>
        <w:ind w:firstLine="1310"/>
        <w:rPr>
          <w:rFonts w:ascii="Times New Roman" w:eastAsia="Calibri" w:hAnsi="Times New Roman" w:cs="Times New Roman"/>
          <w:sz w:val="24"/>
          <w:szCs w:val="24"/>
        </w:rPr>
      </w:pPr>
    </w:p>
    <w:p w14:paraId="347B0962" w14:textId="562B2F08" w:rsidR="0008423C" w:rsidRPr="00600FC7" w:rsidRDefault="0008423C" w:rsidP="0008423C">
      <w:pPr>
        <w:pStyle w:val="Default"/>
        <w:ind w:left="1310"/>
        <w:rPr>
          <w:color w:val="auto"/>
        </w:rPr>
      </w:pPr>
      <w:r w:rsidRPr="00600FC7">
        <w:rPr>
          <w:b/>
          <w:bCs/>
          <w:color w:val="auto"/>
          <w:u w:val="single"/>
        </w:rPr>
        <w:t xml:space="preserve">Exhibit </w:t>
      </w:r>
      <w:r w:rsidR="00FC2DFA" w:rsidRPr="00600FC7">
        <w:rPr>
          <w:b/>
          <w:bCs/>
          <w:color w:val="auto"/>
          <w:u w:val="single"/>
        </w:rPr>
        <w:t>A</w:t>
      </w:r>
      <w:r w:rsidRPr="00600FC7">
        <w:rPr>
          <w:b/>
          <w:bCs/>
          <w:color w:val="auto"/>
          <w:u w:val="single"/>
        </w:rPr>
        <w:t xml:space="preserve"> - Amendments to Rulebook Appendix A, Listed Contracts </w:t>
      </w:r>
    </w:p>
    <w:p w14:paraId="347B0965" w14:textId="77777777" w:rsidR="0008423C" w:rsidRPr="00600FC7" w:rsidRDefault="0008423C" w:rsidP="00F02B33">
      <w:pPr>
        <w:pStyle w:val="NoSpacing"/>
        <w:rPr>
          <w:rFonts w:ascii="Times New Roman" w:hAnsi="Times New Roman" w:cs="Times New Roman"/>
          <w:position w:val="8"/>
          <w:sz w:val="24"/>
          <w:szCs w:val="24"/>
          <w:vertAlign w:val="superscript"/>
        </w:rPr>
      </w:pPr>
    </w:p>
    <w:p w14:paraId="347B0966" w14:textId="7CF7C1AF" w:rsidR="0008423C" w:rsidRPr="00600FC7" w:rsidRDefault="0008423C" w:rsidP="00E1206A">
      <w:pPr>
        <w:autoSpaceDE w:val="0"/>
        <w:autoSpaceDN w:val="0"/>
        <w:adjustRightInd w:val="0"/>
        <w:spacing w:after="0" w:line="240" w:lineRule="auto"/>
        <w:ind w:firstLine="1310"/>
        <w:rPr>
          <w:rFonts w:ascii="Times New Roman" w:eastAsia="Times New Roman" w:hAnsi="Times New Roman" w:cs="Times New Roman"/>
          <w:sz w:val="24"/>
          <w:szCs w:val="24"/>
        </w:rPr>
      </w:pPr>
      <w:r w:rsidRPr="00600FC7">
        <w:rPr>
          <w:rFonts w:ascii="Times New Roman" w:hAnsi="Times New Roman" w:cs="Times New Roman"/>
          <w:sz w:val="24"/>
          <w:szCs w:val="24"/>
          <w:u w:val="single"/>
        </w:rPr>
        <w:t>Block Trade Minimum Quantity Threshold and Reporting Times.</w:t>
      </w:r>
      <w:r w:rsidRPr="00600FC7">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600FC7">
        <w:rPr>
          <w:rFonts w:ascii="Times New Roman" w:hAnsi="Times New Roman" w:cs="Times New Roman"/>
          <w:sz w:val="24"/>
          <w:szCs w:val="24"/>
          <w:u w:val="single"/>
        </w:rPr>
        <w:t>Reporting Window</w:t>
      </w:r>
      <w:r w:rsidRPr="00600FC7">
        <w:rPr>
          <w:rFonts w:ascii="Times New Roman" w:hAnsi="Times New Roman" w:cs="Times New Roman"/>
          <w:sz w:val="24"/>
          <w:szCs w:val="24"/>
        </w:rPr>
        <w:t>") specified in the rules for the particular contract.</w:t>
      </w:r>
      <w:r w:rsidRPr="00600FC7">
        <w:rPr>
          <w:rStyle w:val="FootnoteReference"/>
          <w:rFonts w:ascii="Times New Roman" w:hAnsi="Times New Roman" w:cs="Times New Roman"/>
          <w:sz w:val="24"/>
          <w:szCs w:val="24"/>
        </w:rPr>
        <w:footnoteReference w:id="2"/>
      </w:r>
      <w:r w:rsidRPr="00600FC7">
        <w:rPr>
          <w:rFonts w:ascii="Times New Roman" w:hAnsi="Times New Roman" w:cs="Times New Roman"/>
          <w:position w:val="8"/>
          <w:sz w:val="24"/>
          <w:szCs w:val="24"/>
          <w:vertAlign w:val="superscript"/>
        </w:rPr>
        <w:t xml:space="preserve">  </w:t>
      </w:r>
      <w:r w:rsidRPr="00600FC7">
        <w:rPr>
          <w:rFonts w:ascii="Times New Roman" w:hAnsi="Times New Roman" w:cs="Times New Roman"/>
          <w:sz w:val="24"/>
          <w:szCs w:val="24"/>
        </w:rPr>
        <w:t xml:space="preserve">The </w:t>
      </w:r>
      <w:r w:rsidR="00F02B33" w:rsidRPr="00600FC7">
        <w:rPr>
          <w:rFonts w:ascii="Times New Roman" w:hAnsi="Times New Roman" w:cs="Times New Roman"/>
          <w:sz w:val="24"/>
          <w:szCs w:val="24"/>
        </w:rPr>
        <w:t>Canadian Crude contracts</w:t>
      </w:r>
      <w:r w:rsidR="00F02B33" w:rsidRPr="00600FC7">
        <w:rPr>
          <w:rFonts w:ascii="Times New Roman" w:eastAsia="Times New Roman" w:hAnsi="Times New Roman" w:cs="Times New Roman"/>
          <w:bCs/>
          <w:sz w:val="24"/>
          <w:szCs w:val="24"/>
        </w:rPr>
        <w:t xml:space="preserve"> </w:t>
      </w:r>
      <w:r w:rsidRPr="00600FC7">
        <w:rPr>
          <w:rFonts w:ascii="Times New Roman" w:hAnsi="Times New Roman" w:cs="Times New Roman"/>
          <w:sz w:val="24"/>
          <w:szCs w:val="24"/>
        </w:rPr>
        <w:t>are eligible for block trades.  The block trade minimum quantity threshold is set at 5 contracts and the Reporting Window is set at 15 minutes.</w:t>
      </w:r>
      <w:r w:rsidRPr="00600FC7">
        <w:rPr>
          <w:rStyle w:val="FootnoteReference"/>
          <w:rFonts w:ascii="Times New Roman" w:hAnsi="Times New Roman" w:cs="Times New Roman"/>
          <w:sz w:val="24"/>
          <w:szCs w:val="24"/>
        </w:rPr>
        <w:footnoteReference w:id="3"/>
      </w:r>
      <w:r w:rsidRPr="00600FC7">
        <w:rPr>
          <w:rFonts w:ascii="Times New Roman" w:hAnsi="Times New Roman" w:cs="Times New Roman"/>
          <w:sz w:val="24"/>
          <w:szCs w:val="24"/>
        </w:rPr>
        <w:t xml:space="preserve"> </w:t>
      </w:r>
    </w:p>
    <w:p w14:paraId="347B0967" w14:textId="77777777" w:rsidR="0008423C" w:rsidRPr="00600FC7" w:rsidRDefault="0008423C" w:rsidP="006322F8">
      <w:pPr>
        <w:pStyle w:val="Default"/>
        <w:rPr>
          <w:color w:val="auto"/>
        </w:rPr>
      </w:pPr>
    </w:p>
    <w:p w14:paraId="58DB97B1" w14:textId="77777777" w:rsidR="006322F8" w:rsidRPr="00600FC7" w:rsidRDefault="006322F8" w:rsidP="006322F8">
      <w:pPr>
        <w:pStyle w:val="NoSpacing"/>
        <w:ind w:firstLine="1310"/>
        <w:rPr>
          <w:rFonts w:ascii="Times New Roman" w:eastAsia="Calibri" w:hAnsi="Times New Roman" w:cs="Times New Roman"/>
          <w:b/>
          <w:sz w:val="24"/>
          <w:szCs w:val="24"/>
          <w:u w:val="single"/>
        </w:rPr>
      </w:pPr>
      <w:r w:rsidRPr="00600FC7">
        <w:rPr>
          <w:rFonts w:ascii="Times New Roman" w:eastAsia="Calibri" w:hAnsi="Times New Roman" w:cs="Times New Roman"/>
          <w:b/>
          <w:sz w:val="24"/>
          <w:szCs w:val="24"/>
        </w:rPr>
        <w:t xml:space="preserve">           </w:t>
      </w:r>
      <w:r w:rsidRPr="00600FC7">
        <w:rPr>
          <w:rFonts w:ascii="Times New Roman" w:eastAsia="Calibri" w:hAnsi="Times New Roman" w:cs="Times New Roman"/>
          <w:b/>
          <w:sz w:val="24"/>
          <w:szCs w:val="24"/>
          <w:u w:val="single"/>
        </w:rPr>
        <w:t>Screen Fees and Block Trade/EFRP Surcharges</w:t>
      </w:r>
    </w:p>
    <w:p w14:paraId="7B575789" w14:textId="77777777" w:rsidR="006322F8" w:rsidRPr="00600FC7" w:rsidRDefault="006322F8" w:rsidP="006322F8">
      <w:pPr>
        <w:pStyle w:val="NoSpacing"/>
        <w:ind w:firstLine="1310"/>
        <w:rPr>
          <w:rFonts w:ascii="Times New Roman" w:eastAsia="Calibri" w:hAnsi="Times New Roman" w:cs="Times New Roman"/>
          <w:sz w:val="24"/>
          <w:szCs w:val="24"/>
        </w:rPr>
      </w:pPr>
    </w:p>
    <w:p w14:paraId="334E2B30" w14:textId="003C55D5" w:rsidR="006322F8" w:rsidRPr="00600FC7" w:rsidRDefault="006322F8" w:rsidP="006322F8">
      <w:pPr>
        <w:spacing w:after="0" w:line="240" w:lineRule="auto"/>
        <w:ind w:firstLine="720"/>
        <w:rPr>
          <w:rFonts w:ascii="Times New Roman" w:eastAsia="Calibri" w:hAnsi="Times New Roman" w:cs="Times New Roman"/>
          <w:sz w:val="24"/>
          <w:szCs w:val="24"/>
        </w:rPr>
      </w:pPr>
      <w:r w:rsidRPr="00600FC7">
        <w:rPr>
          <w:rFonts w:ascii="Times New Roman" w:eastAsia="Calibri" w:hAnsi="Times New Roman" w:cs="Times New Roman"/>
          <w:sz w:val="24"/>
          <w:szCs w:val="24"/>
        </w:rPr>
        <w:t>The Screen Fee is a charge for Exchange execution fees.  The Options Clearing Corporation (“</w:t>
      </w:r>
      <w:r w:rsidRPr="00600FC7">
        <w:rPr>
          <w:rFonts w:ascii="Times New Roman" w:eastAsia="Calibri" w:hAnsi="Times New Roman" w:cs="Times New Roman"/>
          <w:sz w:val="24"/>
          <w:szCs w:val="24"/>
          <w:u w:val="single"/>
        </w:rPr>
        <w:t>OCC</w:t>
      </w:r>
      <w:r w:rsidRPr="00600FC7">
        <w:rPr>
          <w:rFonts w:ascii="Times New Roman" w:eastAsia="Calibri" w:hAnsi="Times New Roman" w:cs="Times New Roman"/>
          <w:sz w:val="24"/>
          <w:szCs w:val="24"/>
        </w:rPr>
        <w:t>”) will separately assess a clearing fee for all transactions submitted for clearing.</w:t>
      </w:r>
      <w:r w:rsidRPr="00600FC7">
        <w:rPr>
          <w:rStyle w:val="FootnoteReference"/>
          <w:rFonts w:ascii="Times New Roman" w:eastAsia="Calibri" w:hAnsi="Times New Roman" w:cs="Times New Roman"/>
          <w:sz w:val="24"/>
          <w:szCs w:val="24"/>
        </w:rPr>
        <w:footnoteReference w:id="4"/>
      </w:r>
      <w:r w:rsidRPr="00600FC7">
        <w:rPr>
          <w:rFonts w:ascii="Times New Roman" w:eastAsia="Calibri" w:hAnsi="Times New Roman" w:cs="Times New Roman"/>
          <w:sz w:val="24"/>
          <w:szCs w:val="24"/>
        </w:rPr>
        <w:t xml:space="preserve">  The Exchange will assess Screen Fees and Block Trade EFRP Fees for each contract as set forth in </w:t>
      </w:r>
      <w:r w:rsidRPr="00600FC7">
        <w:rPr>
          <w:rFonts w:ascii="Times New Roman" w:eastAsia="Calibri" w:hAnsi="Times New Roman" w:cs="Times New Roman"/>
          <w:sz w:val="24"/>
          <w:szCs w:val="24"/>
          <w:u w:val="single"/>
        </w:rPr>
        <w:t>Exhibit A</w:t>
      </w:r>
      <w:r w:rsidRPr="00600FC7">
        <w:rPr>
          <w:rFonts w:ascii="Times New Roman" w:eastAsia="Calibri" w:hAnsi="Times New Roman" w:cs="Times New Roman"/>
          <w:sz w:val="24"/>
          <w:szCs w:val="24"/>
        </w:rPr>
        <w:t xml:space="preserve">.  </w:t>
      </w:r>
    </w:p>
    <w:p w14:paraId="347B096B" w14:textId="43051906" w:rsidR="0008423C" w:rsidRPr="00600FC7" w:rsidRDefault="0008423C" w:rsidP="0008423C">
      <w:pPr>
        <w:pStyle w:val="Default"/>
        <w:ind w:firstLine="1310"/>
        <w:rPr>
          <w:rFonts w:eastAsia="Calibri"/>
        </w:rPr>
      </w:pPr>
    </w:p>
    <w:p w14:paraId="347B096C" w14:textId="77777777" w:rsidR="0008423C" w:rsidRPr="00600FC7" w:rsidRDefault="0008423C" w:rsidP="0008423C">
      <w:pPr>
        <w:pStyle w:val="Default"/>
        <w:ind w:left="2620"/>
        <w:rPr>
          <w:b/>
          <w:bCs/>
          <w:color w:val="auto"/>
          <w:u w:val="single"/>
        </w:rPr>
      </w:pPr>
      <w:r w:rsidRPr="00600FC7">
        <w:rPr>
          <w:b/>
          <w:bCs/>
          <w:color w:val="auto"/>
        </w:rPr>
        <w:t xml:space="preserve">           </w:t>
      </w:r>
      <w:r w:rsidRPr="00600FC7">
        <w:rPr>
          <w:b/>
          <w:bCs/>
          <w:color w:val="auto"/>
          <w:u w:val="single"/>
        </w:rPr>
        <w:t xml:space="preserve">DCM Core Principles </w:t>
      </w:r>
    </w:p>
    <w:p w14:paraId="347B096D" w14:textId="77777777" w:rsidR="0008423C" w:rsidRPr="00600FC7" w:rsidRDefault="0008423C" w:rsidP="0008423C">
      <w:pPr>
        <w:pStyle w:val="Default"/>
        <w:ind w:left="2620"/>
        <w:rPr>
          <w:color w:val="auto"/>
        </w:rPr>
      </w:pPr>
    </w:p>
    <w:p w14:paraId="347B096E" w14:textId="77777777" w:rsidR="0008423C" w:rsidRPr="00600FC7" w:rsidRDefault="0008423C" w:rsidP="0008423C">
      <w:pPr>
        <w:pStyle w:val="Default"/>
        <w:ind w:firstLine="1310"/>
        <w:rPr>
          <w:color w:val="auto"/>
        </w:rPr>
      </w:pPr>
      <w:r w:rsidRPr="00600FC7">
        <w:rPr>
          <w:color w:val="auto"/>
        </w:rPr>
        <w:t>The Exchange has reviewed the designated contract market core principles (“</w:t>
      </w:r>
      <w:r w:rsidRPr="00600FC7">
        <w:rPr>
          <w:color w:val="auto"/>
          <w:u w:val="single"/>
        </w:rPr>
        <w:t>Core Principles</w:t>
      </w:r>
      <w:r w:rsidRPr="00600FC7">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600FC7">
          <w:rPr>
            <w:rStyle w:val="Hyperlink"/>
          </w:rPr>
          <w:t>business.nasdaq.com/futures</w:t>
        </w:r>
      </w:hyperlink>
      <w:r w:rsidRPr="00600FC7">
        <w:rPr>
          <w:color w:val="auto"/>
        </w:rPr>
        <w:t>.</w:t>
      </w:r>
    </w:p>
    <w:p w14:paraId="347B096F" w14:textId="77777777" w:rsidR="0008423C" w:rsidRPr="00600FC7" w:rsidRDefault="0008423C" w:rsidP="0008423C">
      <w:pPr>
        <w:pStyle w:val="Default"/>
        <w:ind w:firstLine="1310"/>
        <w:rPr>
          <w:color w:val="auto"/>
        </w:rPr>
      </w:pPr>
    </w:p>
    <w:p w14:paraId="347B0970" w14:textId="4D9B0407" w:rsidR="008B041F" w:rsidRPr="00600FC7" w:rsidRDefault="008B041F" w:rsidP="008B041F">
      <w:pPr>
        <w:pStyle w:val="Default"/>
        <w:ind w:firstLine="1310"/>
        <w:rPr>
          <w:rFonts w:eastAsia="Calibri"/>
        </w:rPr>
      </w:pPr>
      <w:r w:rsidRPr="00600FC7">
        <w:rPr>
          <w:color w:val="auto"/>
        </w:rPr>
        <w:lastRenderedPageBreak/>
        <w:t xml:space="preserve">With respect to the block trade amendments set forth in </w:t>
      </w:r>
      <w:r w:rsidRPr="00600FC7">
        <w:rPr>
          <w:color w:val="auto"/>
          <w:u w:val="single"/>
        </w:rPr>
        <w:t>Exhibit A</w:t>
      </w:r>
      <w:r w:rsidRPr="00600FC7">
        <w:rPr>
          <w:color w:val="auto"/>
        </w:rPr>
        <w:t xml:space="preserve"> and Core Principle 9 - Execution of Transactions, the </w:t>
      </w:r>
      <w:r w:rsidR="00391243" w:rsidRPr="00600FC7">
        <w:rPr>
          <w:color w:val="auto"/>
        </w:rPr>
        <w:t>Canadian Crude contracts</w:t>
      </w:r>
      <w:r w:rsidR="00391243" w:rsidRPr="00600FC7">
        <w:rPr>
          <w:bCs/>
        </w:rPr>
        <w:t xml:space="preserve"> </w:t>
      </w:r>
      <w:r w:rsidRPr="00600FC7">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391243" w:rsidRPr="00600FC7">
        <w:rPr>
          <w:color w:val="auto"/>
        </w:rPr>
        <w:t>Canadian Crude contracts</w:t>
      </w:r>
      <w:r w:rsidRPr="00600FC7">
        <w:rPr>
          <w:color w:val="auto"/>
        </w:rPr>
        <w:t xml:space="preserve">.  </w:t>
      </w:r>
    </w:p>
    <w:p w14:paraId="347B0971" w14:textId="77777777" w:rsidR="008B041F" w:rsidRPr="00600FC7" w:rsidRDefault="008B041F" w:rsidP="0008423C">
      <w:pPr>
        <w:pStyle w:val="Default"/>
        <w:ind w:left="2620"/>
        <w:rPr>
          <w:b/>
          <w:bCs/>
          <w:color w:val="auto"/>
        </w:rPr>
      </w:pPr>
    </w:p>
    <w:p w14:paraId="347B0972" w14:textId="77777777" w:rsidR="0008423C" w:rsidRPr="00600FC7" w:rsidRDefault="0008423C" w:rsidP="0008423C">
      <w:pPr>
        <w:pStyle w:val="Default"/>
        <w:ind w:left="2620"/>
        <w:rPr>
          <w:b/>
          <w:bCs/>
          <w:color w:val="auto"/>
          <w:u w:val="single"/>
        </w:rPr>
      </w:pPr>
      <w:r w:rsidRPr="00600FC7">
        <w:rPr>
          <w:b/>
          <w:bCs/>
          <w:color w:val="auto"/>
        </w:rPr>
        <w:t xml:space="preserve">           </w:t>
      </w:r>
      <w:r w:rsidRPr="00600FC7">
        <w:rPr>
          <w:b/>
          <w:bCs/>
          <w:color w:val="auto"/>
          <w:u w:val="single"/>
        </w:rPr>
        <w:t xml:space="preserve">Certifications </w:t>
      </w:r>
    </w:p>
    <w:p w14:paraId="347B0973" w14:textId="77777777" w:rsidR="0008423C" w:rsidRPr="00600FC7" w:rsidRDefault="0008423C" w:rsidP="0008423C">
      <w:pPr>
        <w:pStyle w:val="Default"/>
        <w:ind w:left="2620"/>
        <w:rPr>
          <w:color w:val="auto"/>
        </w:rPr>
      </w:pPr>
    </w:p>
    <w:p w14:paraId="347B0974" w14:textId="77777777" w:rsidR="0008423C" w:rsidRPr="00600FC7" w:rsidRDefault="0008423C" w:rsidP="0008423C">
      <w:pPr>
        <w:pStyle w:val="PlainText"/>
        <w:ind w:firstLine="1310"/>
        <w:rPr>
          <w:rFonts w:ascii="Times New Roman" w:eastAsia="Calibri" w:hAnsi="Times New Roman"/>
          <w:sz w:val="24"/>
          <w:szCs w:val="24"/>
        </w:rPr>
      </w:pPr>
      <w:r w:rsidRPr="00600FC7">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600FC7">
          <w:rPr>
            <w:rStyle w:val="Hyperlink"/>
            <w:rFonts w:ascii="Times New Roman" w:hAnsi="Times New Roman"/>
            <w:sz w:val="24"/>
            <w:szCs w:val="24"/>
          </w:rPr>
          <w:t>business.nasdaq.com/futures</w:t>
        </w:r>
      </w:hyperlink>
      <w:r w:rsidRPr="00600FC7">
        <w:rPr>
          <w:rFonts w:ascii="Times New Roman" w:hAnsi="Times New Roman"/>
          <w:sz w:val="24"/>
          <w:szCs w:val="24"/>
        </w:rPr>
        <w:t>.</w:t>
      </w:r>
    </w:p>
    <w:p w14:paraId="347B0975" w14:textId="77777777" w:rsidR="0008423C" w:rsidRPr="00600FC7" w:rsidRDefault="0008423C" w:rsidP="0008423C">
      <w:pPr>
        <w:pStyle w:val="NoSpacing"/>
        <w:ind w:firstLine="1310"/>
        <w:rPr>
          <w:rFonts w:ascii="Times New Roman" w:eastAsia="Calibri" w:hAnsi="Times New Roman" w:cs="Times New Roman"/>
          <w:sz w:val="24"/>
          <w:szCs w:val="24"/>
        </w:rPr>
      </w:pPr>
    </w:p>
    <w:p w14:paraId="347B0976" w14:textId="0DA5F510" w:rsidR="0008423C" w:rsidRPr="00600FC7" w:rsidRDefault="0008423C" w:rsidP="0008423C">
      <w:pPr>
        <w:keepNext/>
        <w:spacing w:after="0" w:line="240" w:lineRule="auto"/>
        <w:ind w:firstLine="1310"/>
        <w:rPr>
          <w:rFonts w:ascii="Times New Roman" w:hAnsi="Times New Roman" w:cs="Times New Roman"/>
          <w:spacing w:val="-6"/>
          <w:sz w:val="24"/>
          <w:szCs w:val="24"/>
        </w:rPr>
      </w:pPr>
      <w:r w:rsidRPr="00600FC7">
        <w:rPr>
          <w:rFonts w:ascii="Times New Roman" w:eastAsia="Calibri" w:hAnsi="Times New Roman" w:cs="Times New Roman"/>
          <w:sz w:val="24"/>
          <w:szCs w:val="24"/>
        </w:rPr>
        <w:t xml:space="preserve">If you require any additional information regarding the submission, please </w:t>
      </w:r>
      <w:r w:rsidRPr="00600FC7">
        <w:rPr>
          <w:rFonts w:ascii="Times New Roman" w:hAnsi="Times New Roman" w:cs="Times New Roman"/>
          <w:sz w:val="24"/>
          <w:szCs w:val="24"/>
        </w:rPr>
        <w:t>contact</w:t>
      </w:r>
      <w:r w:rsidRPr="00600FC7">
        <w:rPr>
          <w:rFonts w:ascii="Times New Roman" w:hAnsi="Times New Roman" w:cs="Times New Roman"/>
          <w:spacing w:val="-6"/>
          <w:sz w:val="24"/>
          <w:szCs w:val="24"/>
        </w:rPr>
        <w:t xml:space="preserve"> </w:t>
      </w:r>
      <w:proofErr w:type="spellStart"/>
      <w:r w:rsidRPr="00600FC7">
        <w:rPr>
          <w:rFonts w:ascii="Times New Roman" w:hAnsi="Times New Roman" w:cs="Times New Roman"/>
          <w:spacing w:val="-6"/>
          <w:sz w:val="24"/>
          <w:szCs w:val="24"/>
        </w:rPr>
        <w:t>Aravind</w:t>
      </w:r>
      <w:proofErr w:type="spellEnd"/>
      <w:r w:rsidRPr="00600FC7">
        <w:rPr>
          <w:rFonts w:ascii="Times New Roman" w:hAnsi="Times New Roman" w:cs="Times New Roman"/>
          <w:spacing w:val="-6"/>
          <w:sz w:val="24"/>
          <w:szCs w:val="24"/>
        </w:rPr>
        <w:t xml:space="preserve"> Menon at (301) 978-8416 </w:t>
      </w:r>
      <w:r w:rsidRPr="00600FC7">
        <w:rPr>
          <w:rFonts w:ascii="Times New Roman" w:hAnsi="Times New Roman" w:cs="Times New Roman"/>
          <w:sz w:val="24"/>
          <w:szCs w:val="24"/>
        </w:rPr>
        <w:t>or</w:t>
      </w:r>
      <w:r w:rsidRPr="00600FC7">
        <w:rPr>
          <w:rFonts w:ascii="Times New Roman" w:hAnsi="Times New Roman" w:cs="Times New Roman"/>
          <w:spacing w:val="-6"/>
          <w:sz w:val="24"/>
          <w:szCs w:val="24"/>
        </w:rPr>
        <w:t xml:space="preserve"> </w:t>
      </w:r>
      <w:r w:rsidRPr="00600FC7">
        <w:rPr>
          <w:rFonts w:ascii="Times New Roman" w:hAnsi="Times New Roman" w:cs="Times New Roman"/>
          <w:sz w:val="24"/>
          <w:szCs w:val="24"/>
        </w:rPr>
        <w:t>aravind.menon@nasdaq.com</w:t>
      </w:r>
      <w:r w:rsidRPr="00600FC7">
        <w:rPr>
          <w:rFonts w:ascii="Times New Roman" w:hAnsi="Times New Roman" w:cs="Times New Roman"/>
          <w:spacing w:val="-6"/>
          <w:sz w:val="24"/>
          <w:szCs w:val="24"/>
        </w:rPr>
        <w:t xml:space="preserve">.  </w:t>
      </w:r>
      <w:r w:rsidRPr="00600FC7">
        <w:rPr>
          <w:rFonts w:ascii="Times New Roman" w:hAnsi="Times New Roman" w:cs="Times New Roman"/>
          <w:sz w:val="24"/>
          <w:szCs w:val="24"/>
        </w:rPr>
        <w:t>Please</w:t>
      </w:r>
      <w:r w:rsidRPr="00600FC7">
        <w:rPr>
          <w:rFonts w:ascii="Times New Roman" w:hAnsi="Times New Roman" w:cs="Times New Roman"/>
          <w:spacing w:val="-6"/>
          <w:sz w:val="24"/>
          <w:szCs w:val="24"/>
        </w:rPr>
        <w:t xml:space="preserve"> </w:t>
      </w:r>
      <w:r w:rsidRPr="00600FC7">
        <w:rPr>
          <w:rFonts w:ascii="Times New Roman" w:hAnsi="Times New Roman" w:cs="Times New Roman"/>
          <w:sz w:val="24"/>
          <w:szCs w:val="24"/>
        </w:rPr>
        <w:t>refer to</w:t>
      </w:r>
      <w:r w:rsidRPr="00600FC7">
        <w:rPr>
          <w:rFonts w:ascii="Times New Roman" w:hAnsi="Times New Roman" w:cs="Times New Roman"/>
          <w:spacing w:val="-6"/>
          <w:sz w:val="24"/>
          <w:szCs w:val="24"/>
        </w:rPr>
        <w:t xml:space="preserve"> </w:t>
      </w:r>
      <w:r w:rsidR="00391243" w:rsidRPr="00600FC7">
        <w:rPr>
          <w:rFonts w:ascii="Times New Roman" w:hAnsi="Times New Roman" w:cs="Times New Roman"/>
          <w:sz w:val="24"/>
          <w:szCs w:val="24"/>
        </w:rPr>
        <w:t>SR-NFX-2018</w:t>
      </w:r>
      <w:r w:rsidRPr="00600FC7">
        <w:rPr>
          <w:rFonts w:ascii="Times New Roman" w:hAnsi="Times New Roman" w:cs="Times New Roman"/>
          <w:sz w:val="24"/>
          <w:szCs w:val="24"/>
        </w:rPr>
        <w:t>-</w:t>
      </w:r>
      <w:r w:rsidR="00391243" w:rsidRPr="00600FC7">
        <w:rPr>
          <w:rFonts w:ascii="Times New Roman" w:hAnsi="Times New Roman" w:cs="Times New Roman"/>
          <w:sz w:val="24"/>
          <w:szCs w:val="24"/>
        </w:rPr>
        <w:t xml:space="preserve">52 </w:t>
      </w:r>
      <w:r w:rsidRPr="00600FC7">
        <w:rPr>
          <w:rFonts w:ascii="Times New Roman" w:eastAsia="Calibri" w:hAnsi="Times New Roman" w:cs="Times New Roman"/>
          <w:sz w:val="24"/>
          <w:szCs w:val="24"/>
        </w:rPr>
        <w:t>in any related correspondence.</w:t>
      </w:r>
      <w:r w:rsidR="00F93853" w:rsidRPr="00600FC7">
        <w:rPr>
          <w:rFonts w:ascii="Times New Roman" w:eastAsia="Calibri" w:hAnsi="Times New Roman" w:cs="Times New Roman"/>
          <w:sz w:val="24"/>
          <w:szCs w:val="24"/>
        </w:rPr>
        <w:t xml:space="preserve">  </w:t>
      </w:r>
    </w:p>
    <w:p w14:paraId="347B0977" w14:textId="77777777" w:rsidR="0008423C" w:rsidRPr="00600FC7" w:rsidRDefault="0008423C" w:rsidP="0008423C">
      <w:pPr>
        <w:pStyle w:val="NoSpacing"/>
        <w:keepNext/>
        <w:rPr>
          <w:rFonts w:ascii="Times New Roman" w:eastAsia="Times New Roman" w:hAnsi="Times New Roman" w:cs="Times New Roman"/>
          <w:sz w:val="24"/>
          <w:szCs w:val="24"/>
        </w:rPr>
      </w:pPr>
    </w:p>
    <w:p w14:paraId="347B0978" w14:textId="5086D6B7" w:rsidR="0008423C" w:rsidRPr="00600FC7" w:rsidRDefault="0008423C" w:rsidP="0008423C">
      <w:pPr>
        <w:pStyle w:val="NoSpacing"/>
        <w:keepNext/>
        <w:rPr>
          <w:rFonts w:ascii="Times New Roman" w:eastAsia="Calibri" w:hAnsi="Times New Roman" w:cs="Times New Roman"/>
          <w:sz w:val="24"/>
          <w:szCs w:val="24"/>
        </w:rPr>
      </w:pPr>
    </w:p>
    <w:p w14:paraId="44FDAD77" w14:textId="77777777" w:rsidR="003E7BFD" w:rsidRPr="00600FC7" w:rsidRDefault="003E7BFD" w:rsidP="003E7BFD">
      <w:pPr>
        <w:pStyle w:val="NoSpacing"/>
        <w:keepNext/>
        <w:ind w:left="2880" w:firstLine="720"/>
        <w:rPr>
          <w:rFonts w:ascii="Times New Roman" w:hAnsi="Times New Roman" w:cs="Times New Roman"/>
          <w:sz w:val="24"/>
          <w:szCs w:val="24"/>
        </w:rPr>
      </w:pPr>
      <w:r w:rsidRPr="00600FC7">
        <w:rPr>
          <w:rFonts w:ascii="Times New Roman" w:eastAsia="Calibri" w:hAnsi="Times New Roman" w:cs="Times New Roman"/>
          <w:sz w:val="24"/>
          <w:szCs w:val="24"/>
        </w:rPr>
        <w:t>Regards,</w:t>
      </w:r>
    </w:p>
    <w:p w14:paraId="52F49568" w14:textId="77777777" w:rsidR="003E7BFD" w:rsidRPr="00600FC7" w:rsidRDefault="003E7BFD" w:rsidP="003E7BFD">
      <w:pPr>
        <w:pStyle w:val="NoSpacing"/>
        <w:keepNext/>
        <w:ind w:left="2880" w:firstLine="720"/>
        <w:contextualSpacing/>
        <w:rPr>
          <w:rFonts w:ascii="Times New Roman" w:eastAsia="Calibri" w:hAnsi="Times New Roman" w:cs="Times New Roman"/>
          <w:sz w:val="24"/>
          <w:szCs w:val="24"/>
        </w:rPr>
      </w:pPr>
      <w:r w:rsidRPr="00600FC7">
        <w:rPr>
          <w:rFonts w:ascii="Times New Roman" w:eastAsia="Calibri" w:hAnsi="Times New Roman" w:cs="Times New Roman"/>
          <w:noProof/>
          <w:sz w:val="24"/>
          <w:szCs w:val="24"/>
        </w:rPr>
        <w:drawing>
          <wp:inline distT="0" distB="0" distL="0" distR="0" wp14:anchorId="4927B80B" wp14:editId="13CC6314">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0C149532" w14:textId="77777777" w:rsidR="003E7BFD" w:rsidRPr="00600FC7" w:rsidRDefault="003E7BFD" w:rsidP="003E7BFD">
      <w:pPr>
        <w:pStyle w:val="NoSpacing"/>
        <w:keepNext/>
        <w:ind w:left="2880" w:firstLine="720"/>
        <w:rPr>
          <w:rFonts w:ascii="Times New Roman" w:eastAsia="Calibri" w:hAnsi="Times New Roman" w:cs="Times New Roman"/>
          <w:sz w:val="24"/>
          <w:szCs w:val="24"/>
        </w:rPr>
      </w:pPr>
      <w:r w:rsidRPr="00600FC7">
        <w:rPr>
          <w:rFonts w:ascii="Times New Roman" w:eastAsia="Calibri" w:hAnsi="Times New Roman" w:cs="Times New Roman"/>
          <w:sz w:val="24"/>
          <w:szCs w:val="24"/>
        </w:rPr>
        <w:t xml:space="preserve">Rick </w:t>
      </w:r>
      <w:proofErr w:type="spellStart"/>
      <w:r w:rsidRPr="00600FC7">
        <w:rPr>
          <w:rFonts w:ascii="Times New Roman" w:eastAsia="Calibri" w:hAnsi="Times New Roman" w:cs="Times New Roman"/>
          <w:sz w:val="24"/>
          <w:szCs w:val="24"/>
        </w:rPr>
        <w:t>Beaman</w:t>
      </w:r>
      <w:proofErr w:type="spellEnd"/>
    </w:p>
    <w:p w14:paraId="0CAC4D8C" w14:textId="77777777" w:rsidR="003E7BFD" w:rsidRPr="00600FC7" w:rsidRDefault="003E7BFD" w:rsidP="003E7BFD">
      <w:pPr>
        <w:pStyle w:val="NoSpacing"/>
        <w:ind w:left="2880" w:firstLine="720"/>
        <w:rPr>
          <w:rFonts w:ascii="Times New Roman" w:eastAsia="Calibri" w:hAnsi="Times New Roman" w:cs="Times New Roman"/>
          <w:sz w:val="24"/>
          <w:szCs w:val="24"/>
        </w:rPr>
      </w:pPr>
      <w:r w:rsidRPr="00600FC7">
        <w:rPr>
          <w:rFonts w:ascii="Times New Roman" w:eastAsia="Calibri" w:hAnsi="Times New Roman" w:cs="Times New Roman"/>
          <w:sz w:val="24"/>
          <w:szCs w:val="24"/>
        </w:rPr>
        <w:t>Chief Executive Officer</w:t>
      </w:r>
    </w:p>
    <w:p w14:paraId="347B097E" w14:textId="77777777" w:rsidR="0008423C" w:rsidRPr="00600FC7" w:rsidRDefault="0008423C" w:rsidP="0008423C">
      <w:pPr>
        <w:pStyle w:val="NoSpacing"/>
        <w:rPr>
          <w:rFonts w:ascii="Times New Roman" w:eastAsia="Calibri" w:hAnsi="Times New Roman" w:cs="Times New Roman"/>
          <w:sz w:val="24"/>
          <w:szCs w:val="24"/>
        </w:rPr>
      </w:pPr>
    </w:p>
    <w:p w14:paraId="347B097F" w14:textId="77777777" w:rsidR="0008423C" w:rsidRPr="00600FC7" w:rsidRDefault="0008423C" w:rsidP="0008423C">
      <w:pPr>
        <w:pStyle w:val="NoSpacing"/>
        <w:rPr>
          <w:rFonts w:ascii="Times New Roman" w:eastAsia="Calibri" w:hAnsi="Times New Roman" w:cs="Times New Roman"/>
          <w:sz w:val="24"/>
          <w:szCs w:val="24"/>
        </w:rPr>
      </w:pPr>
    </w:p>
    <w:p w14:paraId="347B0980" w14:textId="77777777" w:rsidR="0008423C" w:rsidRPr="00600FC7" w:rsidRDefault="0008423C" w:rsidP="0008423C">
      <w:pPr>
        <w:spacing w:after="0" w:line="240" w:lineRule="auto"/>
        <w:rPr>
          <w:rFonts w:ascii="Times New Roman" w:hAnsi="Times New Roman" w:cs="Times New Roman"/>
          <w:sz w:val="24"/>
          <w:szCs w:val="24"/>
        </w:rPr>
      </w:pPr>
      <w:r w:rsidRPr="00600FC7">
        <w:rPr>
          <w:rFonts w:ascii="Times New Roman" w:hAnsi="Times New Roman" w:cs="Times New Roman"/>
          <w:sz w:val="24"/>
          <w:szCs w:val="24"/>
        </w:rPr>
        <w:t xml:space="preserve">Attachments: </w:t>
      </w:r>
    </w:p>
    <w:p w14:paraId="347B0981" w14:textId="77777777" w:rsidR="0008423C" w:rsidRPr="00600FC7"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600FC7">
        <w:rPr>
          <w:rFonts w:ascii="Times New Roman" w:hAnsi="Times New Roman" w:cs="Times New Roman"/>
          <w:sz w:val="24"/>
          <w:szCs w:val="24"/>
        </w:rPr>
        <w:t xml:space="preserve">  </w:t>
      </w:r>
      <w:r w:rsidRPr="00600FC7">
        <w:rPr>
          <w:rFonts w:ascii="Times New Roman" w:hAnsi="Times New Roman" w:cs="Times New Roman"/>
          <w:sz w:val="24"/>
          <w:szCs w:val="24"/>
          <w:u w:val="single"/>
        </w:rPr>
        <w:t xml:space="preserve">Exhibit </w:t>
      </w:r>
      <w:r w:rsidR="005A08AE" w:rsidRPr="00600FC7">
        <w:rPr>
          <w:rFonts w:ascii="Times New Roman" w:hAnsi="Times New Roman" w:cs="Times New Roman"/>
          <w:sz w:val="24"/>
          <w:szCs w:val="24"/>
          <w:u w:val="single"/>
        </w:rPr>
        <w:t>A</w:t>
      </w:r>
      <w:r w:rsidRPr="00600FC7">
        <w:rPr>
          <w:rFonts w:ascii="Times New Roman" w:hAnsi="Times New Roman" w:cs="Times New Roman"/>
          <w:sz w:val="24"/>
          <w:szCs w:val="24"/>
        </w:rPr>
        <w:t>:</w:t>
      </w:r>
      <w:r w:rsidRPr="00600FC7">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7E259" w14:textId="77777777" w:rsidR="00F17941" w:rsidRDefault="00F17941" w:rsidP="0008423C">
      <w:pPr>
        <w:spacing w:after="0" w:line="240" w:lineRule="auto"/>
      </w:pPr>
      <w:r>
        <w:separator/>
      </w:r>
    </w:p>
  </w:endnote>
  <w:endnote w:type="continuationSeparator" w:id="0">
    <w:p w14:paraId="1337CE3F" w14:textId="77777777" w:rsidR="00F17941" w:rsidRDefault="00F17941"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5A71" w14:textId="77777777" w:rsidR="00F17941" w:rsidRDefault="00F17941" w:rsidP="0008423C">
      <w:pPr>
        <w:spacing w:after="0" w:line="240" w:lineRule="auto"/>
      </w:pPr>
      <w:r>
        <w:separator/>
      </w:r>
    </w:p>
  </w:footnote>
  <w:footnote w:type="continuationSeparator" w:id="0">
    <w:p w14:paraId="16888B8B" w14:textId="77777777" w:rsidR="00F17941" w:rsidRDefault="00F17941" w:rsidP="0008423C">
      <w:pPr>
        <w:spacing w:after="0" w:line="240" w:lineRule="auto"/>
      </w:pPr>
      <w:r>
        <w:continuationSeparator/>
      </w:r>
    </w:p>
  </w:footnote>
  <w:footnote w:id="1">
    <w:p w14:paraId="347B099D" w14:textId="3112D690"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006322F8">
        <w:rPr>
          <w:rFonts w:ascii="Times New Roman" w:hAnsi="Times New Roman" w:cs="Times New Roman"/>
          <w:sz w:val="22"/>
          <w:szCs w:val="22"/>
        </w:rPr>
        <w:t xml:space="preserve"> </w:t>
      </w:r>
      <w:r w:rsidR="006322F8">
        <w:rPr>
          <w:rFonts w:ascii="Times New Roman" w:hAnsi="Times New Roman" w:cs="Times New Roman"/>
          <w:sz w:val="22"/>
          <w:szCs w:val="22"/>
        </w:rPr>
        <w:tab/>
        <w:t>The Exchange will</w:t>
      </w:r>
      <w:r w:rsidRPr="00E1206A">
        <w:rPr>
          <w:rFonts w:ascii="Times New Roman" w:hAnsi="Times New Roman" w:cs="Times New Roman"/>
          <w:sz w:val="22"/>
          <w:szCs w:val="22"/>
        </w:rPr>
        <w:t xml:space="preserve"> </w:t>
      </w:r>
      <w:r w:rsidRPr="00F20260">
        <w:rPr>
          <w:rFonts w:ascii="Times New Roman" w:hAnsi="Times New Roman" w:cs="Times New Roman"/>
          <w:sz w:val="22"/>
          <w:szCs w:val="22"/>
        </w:rPr>
        <w:t>separately</w:t>
      </w:r>
      <w:r w:rsidR="006322F8">
        <w:rPr>
          <w:rFonts w:ascii="Times New Roman" w:hAnsi="Times New Roman" w:cs="Times New Roman"/>
          <w:sz w:val="22"/>
          <w:szCs w:val="22"/>
        </w:rPr>
        <w:t xml:space="preserve"> file</w:t>
      </w:r>
      <w:r w:rsidRPr="00E1206A">
        <w:rPr>
          <w:rFonts w:ascii="Times New Roman" w:hAnsi="Times New Roman" w:cs="Times New Roman"/>
          <w:sz w:val="22"/>
          <w:szCs w:val="22"/>
        </w:rPr>
        <w:t xml:space="preserve"> the </w:t>
      </w:r>
      <w:r w:rsidR="00F02B33">
        <w:rPr>
          <w:rFonts w:ascii="Times New Roman" w:hAnsi="Times New Roman" w:cs="Times New Roman"/>
          <w:sz w:val="22"/>
          <w:szCs w:val="22"/>
        </w:rPr>
        <w:t xml:space="preserve">Canadian Crude contracts </w:t>
      </w:r>
      <w:r w:rsidRPr="00E1206A">
        <w:rPr>
          <w:rFonts w:ascii="Times New Roman" w:hAnsi="Times New Roman" w:cs="Times New Roman"/>
          <w:sz w:val="22"/>
          <w:szCs w:val="22"/>
        </w:rPr>
        <w:t>terms and conditions in SR-NFX-201</w:t>
      </w:r>
      <w:r w:rsidR="001653B5">
        <w:rPr>
          <w:rFonts w:ascii="Times New Roman" w:hAnsi="Times New Roman" w:cs="Times New Roman"/>
          <w:sz w:val="22"/>
          <w:szCs w:val="22"/>
        </w:rPr>
        <w:t>8</w:t>
      </w:r>
      <w:r w:rsidRPr="00E1206A">
        <w:rPr>
          <w:rFonts w:ascii="Times New Roman" w:hAnsi="Times New Roman" w:cs="Times New Roman"/>
          <w:sz w:val="22"/>
          <w:szCs w:val="22"/>
        </w:rPr>
        <w:t>-</w:t>
      </w:r>
      <w:r w:rsidR="00F02B33">
        <w:rPr>
          <w:rFonts w:ascii="Times New Roman" w:hAnsi="Times New Roman" w:cs="Times New Roman"/>
          <w:sz w:val="22"/>
          <w:szCs w:val="22"/>
        </w:rPr>
        <w:t xml:space="preserve">51 </w:t>
      </w:r>
      <w:r w:rsidRPr="00E1206A">
        <w:rPr>
          <w:rFonts w:ascii="Times New Roman" w:hAnsi="Times New Roman" w:cs="Times New Roman"/>
          <w:sz w:val="22"/>
          <w:szCs w:val="22"/>
        </w:rPr>
        <w:t xml:space="preserve">pursuant to Commission Rule 40.2.  </w:t>
      </w:r>
      <w:r w:rsidR="00317C2C" w:rsidRPr="00E1206A">
        <w:rPr>
          <w:rFonts w:ascii="Times New Roman" w:hAnsi="Times New Roman" w:cs="Times New Roman"/>
          <w:sz w:val="22"/>
          <w:szCs w:val="22"/>
        </w:rPr>
        <w:t>C</w:t>
      </w:r>
      <w:r w:rsidRPr="00E1206A">
        <w:rPr>
          <w:rFonts w:ascii="Times New Roman" w:hAnsi="Times New Roman" w:cs="Times New Roman"/>
          <w:sz w:val="22"/>
          <w:szCs w:val="22"/>
        </w:rPr>
        <w:t xml:space="preserve">ertain additional language </w:t>
      </w:r>
      <w:r w:rsidR="006322F8">
        <w:rPr>
          <w:rFonts w:ascii="Times New Roman" w:hAnsi="Times New Roman" w:cs="Times New Roman"/>
          <w:sz w:val="22"/>
          <w:szCs w:val="22"/>
        </w:rPr>
        <w:t xml:space="preserve">that will be </w:t>
      </w:r>
      <w:r w:rsidRPr="00E1206A">
        <w:rPr>
          <w:rFonts w:ascii="Times New Roman" w:hAnsi="Times New Roman" w:cs="Times New Roman"/>
          <w:sz w:val="22"/>
          <w:szCs w:val="22"/>
        </w:rPr>
        <w:t>sep</w:t>
      </w:r>
      <w:r w:rsidR="001653B5">
        <w:rPr>
          <w:rFonts w:ascii="Times New Roman" w:hAnsi="Times New Roman" w:cs="Times New Roman"/>
          <w:sz w:val="22"/>
          <w:szCs w:val="22"/>
        </w:rPr>
        <w:t>arately certified in SR-NFX-2018</w:t>
      </w:r>
      <w:r w:rsidRPr="00E1206A">
        <w:rPr>
          <w:rFonts w:ascii="Times New Roman" w:hAnsi="Times New Roman" w:cs="Times New Roman"/>
          <w:sz w:val="22"/>
          <w:szCs w:val="22"/>
        </w:rPr>
        <w:t>-</w:t>
      </w:r>
      <w:r w:rsidR="00F02B33">
        <w:rPr>
          <w:rFonts w:ascii="Times New Roman" w:hAnsi="Times New Roman" w:cs="Times New Roman"/>
          <w:sz w:val="22"/>
          <w:szCs w:val="22"/>
        </w:rPr>
        <w:t xml:space="preserve">51 </w:t>
      </w:r>
      <w:r w:rsidRPr="00E1206A">
        <w:rPr>
          <w:rFonts w:ascii="Times New Roman" w:hAnsi="Times New Roman" w:cs="Times New Roman"/>
          <w:sz w:val="22"/>
          <w:szCs w:val="22"/>
        </w:rPr>
        <w:t xml:space="preserve">is not duplicated in </w:t>
      </w:r>
      <w:r w:rsidR="00317C2C" w:rsidRPr="00E1206A">
        <w:rPr>
          <w:rFonts w:ascii="Times New Roman" w:hAnsi="Times New Roman" w:cs="Times New Roman"/>
          <w:sz w:val="22"/>
          <w:szCs w:val="22"/>
          <w:u w:val="single"/>
        </w:rPr>
        <w:t>Exhibit A</w:t>
      </w:r>
      <w:r w:rsidRPr="00E1206A">
        <w:rPr>
          <w:rFonts w:ascii="Times New Roman" w:hAnsi="Times New Roman" w:cs="Times New Roman"/>
          <w:sz w:val="22"/>
          <w:szCs w:val="22"/>
        </w:rPr>
        <w:t xml:space="preserve"> hereto but is instead, for purposes of brevity, represented by asterisks.</w:t>
      </w:r>
    </w:p>
    <w:p w14:paraId="347B099E" w14:textId="77777777" w:rsidR="0008423C" w:rsidRPr="00AD784F" w:rsidRDefault="0008423C" w:rsidP="0008423C">
      <w:pPr>
        <w:pStyle w:val="FootnoteText"/>
        <w:rPr>
          <w:rFonts w:ascii="Times New Roman" w:hAnsi="Times New Roman" w:cs="Times New Roman"/>
          <w:sz w:val="24"/>
          <w:szCs w:val="24"/>
        </w:rPr>
      </w:pPr>
    </w:p>
  </w:footnote>
  <w:footnote w:id="2">
    <w:p w14:paraId="347B09A0" w14:textId="77777777"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AD784F" w:rsidRDefault="0008423C" w:rsidP="0008423C">
      <w:pPr>
        <w:pStyle w:val="FootnoteText"/>
        <w:rPr>
          <w:rFonts w:ascii="Times New Roman" w:hAnsi="Times New Roman" w:cs="Times New Roman"/>
          <w:sz w:val="24"/>
          <w:szCs w:val="24"/>
        </w:rPr>
      </w:pPr>
    </w:p>
  </w:footnote>
  <w:footnote w:id="3">
    <w:p w14:paraId="347B09A2" w14:textId="77777777" w:rsidR="0008423C" w:rsidRPr="00E1206A" w:rsidRDefault="0008423C" w:rsidP="00E1206A">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00E1206A" w:rsidRPr="00E1206A">
        <w:rPr>
          <w:rFonts w:ascii="Times New Roman" w:hAnsi="Times New Roman" w:cs="Times New Roman"/>
          <w:u w:val="single"/>
        </w:rPr>
        <w:t>See</w:t>
      </w:r>
      <w:r w:rsidR="00F86B2E">
        <w:rPr>
          <w:rFonts w:ascii="Times New Roman" w:hAnsi="Times New Roman" w:cs="Times New Roman"/>
        </w:rPr>
        <w:t xml:space="preserve"> R</w:t>
      </w:r>
      <w:r w:rsidR="00E1206A" w:rsidRPr="00E1206A">
        <w:rPr>
          <w:rFonts w:ascii="Times New Roman" w:hAnsi="Times New Roman" w:cs="Times New Roman"/>
        </w:rPr>
        <w:t xml:space="preserve">ule </w:t>
      </w:r>
      <w:r w:rsidR="00F86B2E">
        <w:rPr>
          <w:rFonts w:ascii="Times New Roman" w:hAnsi="Times New Roman" w:cs="Times New Roman"/>
        </w:rPr>
        <w:t xml:space="preserve">X.08, </w:t>
      </w:r>
      <w:r w:rsidR="00E1206A" w:rsidRPr="00E1206A">
        <w:rPr>
          <w:rFonts w:ascii="Times New Roman" w:hAnsi="Times New Roman" w:cs="Times New Roman"/>
        </w:rPr>
        <w:t xml:space="preserve">Block Trade Minimum Quantity Threshold and Reporting Window for each of the new NYISO Futures </w:t>
      </w:r>
      <w:r w:rsidR="00E1206A">
        <w:rPr>
          <w:rFonts w:ascii="Times New Roman" w:hAnsi="Times New Roman" w:cs="Times New Roman"/>
        </w:rPr>
        <w:t>attached as Exhibit A</w:t>
      </w:r>
      <w:r w:rsidRPr="00E1206A">
        <w:rPr>
          <w:rFonts w:ascii="Times New Roman" w:eastAsia="Times New Roman" w:hAnsi="Times New Roman" w:cs="Times New Roman"/>
          <w:bCs/>
        </w:rPr>
        <w:t>.</w:t>
      </w:r>
    </w:p>
    <w:p w14:paraId="347B09A3" w14:textId="77777777" w:rsidR="0008423C" w:rsidRPr="00E1206A" w:rsidRDefault="0008423C" w:rsidP="0008423C">
      <w:pPr>
        <w:pStyle w:val="FootnoteText"/>
        <w:rPr>
          <w:sz w:val="22"/>
          <w:szCs w:val="22"/>
        </w:rPr>
      </w:pPr>
    </w:p>
  </w:footnote>
  <w:footnote w:id="4">
    <w:p w14:paraId="2A1654C7" w14:textId="77777777" w:rsidR="006322F8" w:rsidRPr="00B01B0B" w:rsidRDefault="006322F8" w:rsidP="006322F8">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r>
      <w:r w:rsidRPr="00C53AEA">
        <w:rPr>
          <w:rFonts w:ascii="Times New Roman" w:hAnsi="Times New Roman" w:cs="Times New Roman"/>
          <w:sz w:val="22"/>
          <w:szCs w:val="22"/>
        </w:rPr>
        <w:t>OCC options exercise fees and any other OCC fees remain the responsibility of Clearing Futures Participants.</w:t>
      </w:r>
    </w:p>
    <w:p w14:paraId="35BF2006" w14:textId="77777777" w:rsidR="006322F8" w:rsidRPr="00B01B0B" w:rsidRDefault="006322F8" w:rsidP="006322F8">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600FC7">
      <w:rPr>
        <w:rFonts w:ascii="Times New Roman" w:hAnsi="Times New Roman" w:cs="Times New Roman"/>
        <w:noProof/>
        <w:sz w:val="20"/>
        <w:szCs w:val="20"/>
      </w:rPr>
      <w:t>November 1, 2018</w:t>
    </w:r>
    <w:r>
      <w:rPr>
        <w:rFonts w:ascii="Times New Roman" w:hAnsi="Times New Roman" w:cs="Times New Roman"/>
        <w:sz w:val="20"/>
        <w:szCs w:val="20"/>
      </w:rPr>
      <w:fldChar w:fldCharType="end"/>
    </w:r>
  </w:p>
  <w:p w14:paraId="347B098F" w14:textId="7CC32F5C" w:rsidR="0082421C" w:rsidRDefault="001653B5"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F02B33" w:rsidRPr="00F02B33">
      <w:rPr>
        <w:rFonts w:ascii="Times New Roman" w:hAnsi="Times New Roman" w:cs="Times New Roman"/>
        <w:sz w:val="20"/>
        <w:szCs w:val="20"/>
      </w:rPr>
      <w:t>52</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F30D7">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2084B"/>
    <w:rsid w:val="0008423C"/>
    <w:rsid w:val="000E26AE"/>
    <w:rsid w:val="000E415C"/>
    <w:rsid w:val="0012529D"/>
    <w:rsid w:val="00154FD5"/>
    <w:rsid w:val="001653B5"/>
    <w:rsid w:val="00204EC5"/>
    <w:rsid w:val="00253701"/>
    <w:rsid w:val="002549B0"/>
    <w:rsid w:val="002C0A34"/>
    <w:rsid w:val="00317C2C"/>
    <w:rsid w:val="003861AC"/>
    <w:rsid w:val="00391243"/>
    <w:rsid w:val="003D40B8"/>
    <w:rsid w:val="003E7BFD"/>
    <w:rsid w:val="0047033D"/>
    <w:rsid w:val="004965FA"/>
    <w:rsid w:val="004A53F9"/>
    <w:rsid w:val="004B0524"/>
    <w:rsid w:val="004C101E"/>
    <w:rsid w:val="004D7E5D"/>
    <w:rsid w:val="004F30D7"/>
    <w:rsid w:val="005013E3"/>
    <w:rsid w:val="00543CA2"/>
    <w:rsid w:val="005A08AE"/>
    <w:rsid w:val="005E3020"/>
    <w:rsid w:val="005F02DC"/>
    <w:rsid w:val="005F3337"/>
    <w:rsid w:val="00600FC7"/>
    <w:rsid w:val="006322F8"/>
    <w:rsid w:val="00682A97"/>
    <w:rsid w:val="006B3A2F"/>
    <w:rsid w:val="006F0CB4"/>
    <w:rsid w:val="007076E9"/>
    <w:rsid w:val="007958C5"/>
    <w:rsid w:val="007C7601"/>
    <w:rsid w:val="00821537"/>
    <w:rsid w:val="0082421C"/>
    <w:rsid w:val="008321A8"/>
    <w:rsid w:val="0083533B"/>
    <w:rsid w:val="00893E15"/>
    <w:rsid w:val="008B041F"/>
    <w:rsid w:val="008C3F5C"/>
    <w:rsid w:val="0096726E"/>
    <w:rsid w:val="009D0582"/>
    <w:rsid w:val="009F4436"/>
    <w:rsid w:val="00A251F0"/>
    <w:rsid w:val="00A37A9D"/>
    <w:rsid w:val="00AD7CB9"/>
    <w:rsid w:val="00B53FAF"/>
    <w:rsid w:val="00B6532A"/>
    <w:rsid w:val="00BF3AF0"/>
    <w:rsid w:val="00C4068B"/>
    <w:rsid w:val="00CA52C3"/>
    <w:rsid w:val="00CA6E45"/>
    <w:rsid w:val="00CB53DA"/>
    <w:rsid w:val="00CE43B6"/>
    <w:rsid w:val="00D0050D"/>
    <w:rsid w:val="00D327C6"/>
    <w:rsid w:val="00D60246"/>
    <w:rsid w:val="00D70718"/>
    <w:rsid w:val="00DF1942"/>
    <w:rsid w:val="00E1206A"/>
    <w:rsid w:val="00E12802"/>
    <w:rsid w:val="00E34482"/>
    <w:rsid w:val="00E56E9F"/>
    <w:rsid w:val="00E74C83"/>
    <w:rsid w:val="00EA3B11"/>
    <w:rsid w:val="00EC432B"/>
    <w:rsid w:val="00F02B33"/>
    <w:rsid w:val="00F02F13"/>
    <w:rsid w:val="00F17941"/>
    <w:rsid w:val="00F20122"/>
    <w:rsid w:val="00F20260"/>
    <w:rsid w:val="00F452FD"/>
    <w:rsid w:val="00F86B2E"/>
    <w:rsid w:val="00F93853"/>
    <w:rsid w:val="00FB3245"/>
    <w:rsid w:val="00FC2DFA"/>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styleId="BalloonText">
    <w:name w:val="Balloon Text"/>
    <w:basedOn w:val="Normal"/>
    <w:link w:val="BalloonTextChar"/>
    <w:uiPriority w:val="99"/>
    <w:semiHidden/>
    <w:unhideWhenUsed/>
    <w:rsid w:val="00EA3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11"/>
    <w:rPr>
      <w:rFonts w:ascii="Segoe UI" w:hAnsi="Segoe UI" w:cs="Segoe UI"/>
      <w:sz w:val="18"/>
      <w:szCs w:val="18"/>
    </w:rPr>
  </w:style>
  <w:style w:type="character" w:styleId="CommentReference">
    <w:name w:val="annotation reference"/>
    <w:basedOn w:val="DefaultParagraphFont"/>
    <w:uiPriority w:val="99"/>
    <w:semiHidden/>
    <w:unhideWhenUsed/>
    <w:rsid w:val="00EA3B11"/>
    <w:rPr>
      <w:sz w:val="16"/>
      <w:szCs w:val="16"/>
    </w:rPr>
  </w:style>
  <w:style w:type="paragraph" w:styleId="CommentText">
    <w:name w:val="annotation text"/>
    <w:basedOn w:val="Normal"/>
    <w:link w:val="CommentTextChar"/>
    <w:uiPriority w:val="99"/>
    <w:semiHidden/>
    <w:unhideWhenUsed/>
    <w:rsid w:val="00EA3B11"/>
    <w:pPr>
      <w:spacing w:line="240" w:lineRule="auto"/>
    </w:pPr>
    <w:rPr>
      <w:sz w:val="20"/>
      <w:szCs w:val="20"/>
    </w:rPr>
  </w:style>
  <w:style w:type="character" w:customStyle="1" w:styleId="CommentTextChar">
    <w:name w:val="Comment Text Char"/>
    <w:basedOn w:val="DefaultParagraphFont"/>
    <w:link w:val="CommentText"/>
    <w:uiPriority w:val="99"/>
    <w:semiHidden/>
    <w:rsid w:val="00EA3B11"/>
    <w:rPr>
      <w:sz w:val="20"/>
      <w:szCs w:val="20"/>
    </w:rPr>
  </w:style>
  <w:style w:type="paragraph" w:styleId="CommentSubject">
    <w:name w:val="annotation subject"/>
    <w:basedOn w:val="CommentText"/>
    <w:next w:val="CommentText"/>
    <w:link w:val="CommentSubjectChar"/>
    <w:uiPriority w:val="99"/>
    <w:semiHidden/>
    <w:unhideWhenUsed/>
    <w:rsid w:val="00EA3B11"/>
    <w:rPr>
      <w:b/>
      <w:bCs/>
    </w:rPr>
  </w:style>
  <w:style w:type="character" w:customStyle="1" w:styleId="CommentSubjectChar">
    <w:name w:val="Comment Subject Char"/>
    <w:basedOn w:val="CommentTextChar"/>
    <w:link w:val="CommentSubject"/>
    <w:uiPriority w:val="99"/>
    <w:semiHidden/>
    <w:rsid w:val="00EA3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101">
      <w:bodyDiv w:val="1"/>
      <w:marLeft w:val="0"/>
      <w:marRight w:val="0"/>
      <w:marTop w:val="0"/>
      <w:marBottom w:val="0"/>
      <w:divBdr>
        <w:top w:val="none" w:sz="0" w:space="0" w:color="auto"/>
        <w:left w:val="none" w:sz="0" w:space="0" w:color="auto"/>
        <w:bottom w:val="none" w:sz="0" w:space="0" w:color="auto"/>
        <w:right w:val="none" w:sz="0" w:space="0" w:color="auto"/>
      </w:divBdr>
    </w:div>
    <w:div w:id="227305308">
      <w:bodyDiv w:val="1"/>
      <w:marLeft w:val="0"/>
      <w:marRight w:val="0"/>
      <w:marTop w:val="0"/>
      <w:marBottom w:val="0"/>
      <w:divBdr>
        <w:top w:val="none" w:sz="0" w:space="0" w:color="auto"/>
        <w:left w:val="none" w:sz="0" w:space="0" w:color="auto"/>
        <w:bottom w:val="none" w:sz="0" w:space="0" w:color="auto"/>
        <w:right w:val="none" w:sz="0" w:space="0" w:color="auto"/>
      </w:divBdr>
    </w:div>
    <w:div w:id="343367410">
      <w:bodyDiv w:val="1"/>
      <w:marLeft w:val="0"/>
      <w:marRight w:val="0"/>
      <w:marTop w:val="0"/>
      <w:marBottom w:val="0"/>
      <w:divBdr>
        <w:top w:val="none" w:sz="0" w:space="0" w:color="auto"/>
        <w:left w:val="none" w:sz="0" w:space="0" w:color="auto"/>
        <w:bottom w:val="none" w:sz="0" w:space="0" w:color="auto"/>
        <w:right w:val="none" w:sz="0" w:space="0" w:color="auto"/>
      </w:divBdr>
    </w:div>
    <w:div w:id="525601808">
      <w:bodyDiv w:val="1"/>
      <w:marLeft w:val="0"/>
      <w:marRight w:val="0"/>
      <w:marTop w:val="0"/>
      <w:marBottom w:val="0"/>
      <w:divBdr>
        <w:top w:val="none" w:sz="0" w:space="0" w:color="auto"/>
        <w:left w:val="none" w:sz="0" w:space="0" w:color="auto"/>
        <w:bottom w:val="none" w:sz="0" w:space="0" w:color="auto"/>
        <w:right w:val="none" w:sz="0" w:space="0" w:color="auto"/>
      </w:divBdr>
    </w:div>
    <w:div w:id="875041782">
      <w:bodyDiv w:val="1"/>
      <w:marLeft w:val="0"/>
      <w:marRight w:val="0"/>
      <w:marTop w:val="0"/>
      <w:marBottom w:val="0"/>
      <w:divBdr>
        <w:top w:val="none" w:sz="0" w:space="0" w:color="auto"/>
        <w:left w:val="none" w:sz="0" w:space="0" w:color="auto"/>
        <w:bottom w:val="none" w:sz="0" w:space="0" w:color="auto"/>
        <w:right w:val="none" w:sz="0" w:space="0" w:color="auto"/>
      </w:divBdr>
    </w:div>
    <w:div w:id="1494373247">
      <w:bodyDiv w:val="1"/>
      <w:marLeft w:val="0"/>
      <w:marRight w:val="0"/>
      <w:marTop w:val="0"/>
      <w:marBottom w:val="0"/>
      <w:divBdr>
        <w:top w:val="none" w:sz="0" w:space="0" w:color="auto"/>
        <w:left w:val="none" w:sz="0" w:space="0" w:color="auto"/>
        <w:bottom w:val="none" w:sz="0" w:space="0" w:color="auto"/>
        <w:right w:val="none" w:sz="0" w:space="0" w:color="auto"/>
      </w:divBdr>
    </w:div>
    <w:div w:id="1495297634">
      <w:bodyDiv w:val="1"/>
      <w:marLeft w:val="0"/>
      <w:marRight w:val="0"/>
      <w:marTop w:val="0"/>
      <w:marBottom w:val="0"/>
      <w:divBdr>
        <w:top w:val="none" w:sz="0" w:space="0" w:color="auto"/>
        <w:left w:val="none" w:sz="0" w:space="0" w:color="auto"/>
        <w:bottom w:val="none" w:sz="0" w:space="0" w:color="auto"/>
        <w:right w:val="none" w:sz="0" w:space="0" w:color="auto"/>
      </w:divBdr>
    </w:div>
    <w:div w:id="1901358877">
      <w:bodyDiv w:val="1"/>
      <w:marLeft w:val="0"/>
      <w:marRight w:val="0"/>
      <w:marTop w:val="0"/>
      <w:marBottom w:val="0"/>
      <w:divBdr>
        <w:top w:val="none" w:sz="0" w:space="0" w:color="auto"/>
        <w:left w:val="none" w:sz="0" w:space="0" w:color="auto"/>
        <w:bottom w:val="none" w:sz="0" w:space="0" w:color="auto"/>
        <w:right w:val="none" w:sz="0" w:space="0" w:color="auto"/>
      </w:divBdr>
    </w:div>
    <w:div w:id="1921870056">
      <w:bodyDiv w:val="1"/>
      <w:marLeft w:val="0"/>
      <w:marRight w:val="0"/>
      <w:marTop w:val="0"/>
      <w:marBottom w:val="0"/>
      <w:divBdr>
        <w:top w:val="none" w:sz="0" w:space="0" w:color="auto"/>
        <w:left w:val="none" w:sz="0" w:space="0" w:color="auto"/>
        <w:bottom w:val="none" w:sz="0" w:space="0" w:color="auto"/>
        <w:right w:val="none" w:sz="0" w:space="0" w:color="auto"/>
      </w:divBdr>
    </w:div>
    <w:div w:id="21218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75d89393-c6da-44f9-9475-9da691ae23fe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2018-11-01T21:17:07+00:00</Document_x0020_Date>
    <Document_x0020_No xmlns="4b47aac5-4c46-444f-8595-ce09b406fc61">42655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4B2A9-FBB3-404E-B29D-9BC9E2E395B8}"/>
</file>

<file path=customXml/itemProps2.xml><?xml version="1.0" encoding="utf-8"?>
<ds:datastoreItem xmlns:ds="http://schemas.openxmlformats.org/officeDocument/2006/customXml" ds:itemID="{36ACBBA0-0720-4A0A-BDC8-CC8F64101AC6}"/>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EC7CE71B-BEB3-46AB-BFA0-BD3945B3BC84}"/>
</file>

<file path=customXml/itemProps5.xml><?xml version="1.0" encoding="utf-8"?>
<ds:datastoreItem xmlns:ds="http://schemas.openxmlformats.org/officeDocument/2006/customXml" ds:itemID="{1ECBB18B-C3D8-488D-8064-5B7F71B957B8}"/>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7</cp:revision>
  <dcterms:created xsi:type="dcterms:W3CDTF">2018-11-01T17:43:00Z</dcterms:created>
  <dcterms:modified xsi:type="dcterms:W3CDTF">2018-11-01T19:08:00Z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6115300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