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9AB" w:rsidRPr="003F0FAB" w:rsidRDefault="000959AB" w:rsidP="000959AB">
      <w:pPr>
        <w:spacing w:before="150" w:after="15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  <w:r w:rsidRPr="003F0F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Exhibit A to SR-NFX-2018-</w:t>
      </w:r>
      <w:r w:rsidR="00CB09F5" w:rsidRPr="001E29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52</w:t>
      </w:r>
    </w:p>
    <w:p w:rsidR="000959AB" w:rsidRPr="003F0FAB" w:rsidRDefault="000959AB" w:rsidP="000959AB">
      <w:pPr>
        <w:spacing w:before="150" w:after="15" w:line="240" w:lineRule="auto"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0959AB" w:rsidRPr="003F0FAB" w:rsidRDefault="000959AB" w:rsidP="000959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0FAB">
        <w:rPr>
          <w:rFonts w:ascii="Times New Roman" w:hAnsi="Times New Roman" w:cs="Times New Roman"/>
          <w:sz w:val="24"/>
          <w:szCs w:val="24"/>
        </w:rPr>
        <w:t xml:space="preserve">New language is </w:t>
      </w:r>
      <w:r w:rsidRPr="003F0FAB">
        <w:rPr>
          <w:rFonts w:ascii="Times New Roman" w:hAnsi="Times New Roman" w:cs="Times New Roman"/>
          <w:sz w:val="24"/>
          <w:szCs w:val="24"/>
          <w:u w:val="single"/>
        </w:rPr>
        <w:t>underlined</w:t>
      </w:r>
      <w:r w:rsidRPr="003F0FAB">
        <w:rPr>
          <w:rFonts w:ascii="Times New Roman" w:hAnsi="Times New Roman" w:cs="Times New Roman"/>
          <w:sz w:val="24"/>
          <w:szCs w:val="24"/>
        </w:rPr>
        <w:t>.</w:t>
      </w:r>
    </w:p>
    <w:p w:rsidR="000959AB" w:rsidRPr="003F0FAB" w:rsidRDefault="000959AB" w:rsidP="000959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0FAB">
        <w:rPr>
          <w:rFonts w:ascii="Times New Roman" w:eastAsia="Times New Roman" w:hAnsi="Times New Roman" w:cs="Times New Roman"/>
          <w:b/>
          <w:bCs/>
          <w:sz w:val="24"/>
          <w:szCs w:val="24"/>
        </w:rPr>
        <w:t>Rulebook Appendix A - Listed Contracts</w:t>
      </w:r>
    </w:p>
    <w:p w:rsidR="000959AB" w:rsidRPr="003F0FAB" w:rsidRDefault="000959AB" w:rsidP="000959A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sx-policymanual-phlx-philabot_Aintro"/>
      <w:bookmarkStart w:id="1" w:name="chp_1_1_1_9_1"/>
      <w:bookmarkEnd w:id="0"/>
      <w:bookmarkEnd w:id="1"/>
      <w:r w:rsidRPr="003F0FAB">
        <w:rPr>
          <w:rFonts w:ascii="Times New Roman" w:eastAsia="Times New Roman" w:hAnsi="Times New Roman" w:cs="Times New Roman"/>
          <w:bCs/>
          <w:sz w:val="24"/>
          <w:szCs w:val="24"/>
        </w:rPr>
        <w:t>* * * * *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390"/>
        <w:gridCol w:w="8032"/>
      </w:tblGrid>
      <w:tr w:rsidR="000959AB" w:rsidRPr="003F0FAB" w:rsidTr="000F299C">
        <w:tc>
          <w:tcPr>
            <w:tcW w:w="1390" w:type="dxa"/>
          </w:tcPr>
          <w:p w:rsidR="000959AB" w:rsidRPr="003F0FAB" w:rsidRDefault="000959AB" w:rsidP="000959A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F0FAB">
              <w:rPr>
                <w:b/>
                <w:sz w:val="24"/>
                <w:szCs w:val="24"/>
              </w:rPr>
              <w:t>CHAPTER</w:t>
            </w:r>
          </w:p>
        </w:tc>
        <w:tc>
          <w:tcPr>
            <w:tcW w:w="8032" w:type="dxa"/>
          </w:tcPr>
          <w:p w:rsidR="000959AB" w:rsidRPr="003F0FAB" w:rsidRDefault="000959AB" w:rsidP="000959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F0FAB">
              <w:rPr>
                <w:b/>
                <w:sz w:val="24"/>
                <w:szCs w:val="24"/>
              </w:rPr>
              <w:t>PRODUCT NAME AND SYMBOL</w:t>
            </w:r>
          </w:p>
        </w:tc>
      </w:tr>
      <w:tr w:rsidR="000959AB" w:rsidRPr="003F0FAB" w:rsidTr="000F299C">
        <w:tc>
          <w:tcPr>
            <w:tcW w:w="1390" w:type="dxa"/>
          </w:tcPr>
          <w:p w:rsidR="000959AB" w:rsidRPr="003F0FAB" w:rsidRDefault="000959AB" w:rsidP="000959A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032" w:type="dxa"/>
          </w:tcPr>
          <w:p w:rsidR="000959AB" w:rsidRPr="003F0FAB" w:rsidRDefault="000959AB" w:rsidP="000959A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0959AB" w:rsidRPr="003F0FAB" w:rsidTr="000F299C">
        <w:tc>
          <w:tcPr>
            <w:tcW w:w="1390" w:type="dxa"/>
          </w:tcPr>
          <w:p w:rsidR="000959AB" w:rsidRPr="003F0FAB" w:rsidRDefault="000959AB" w:rsidP="000959A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032" w:type="dxa"/>
          </w:tcPr>
          <w:p w:rsidR="000959AB" w:rsidRPr="003F0FAB" w:rsidRDefault="000959AB" w:rsidP="000959A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F0FAB">
              <w:rPr>
                <w:b/>
                <w:sz w:val="24"/>
                <w:szCs w:val="24"/>
              </w:rPr>
              <w:t xml:space="preserve">OIL AND REFINED PRODUCTS </w:t>
            </w:r>
          </w:p>
        </w:tc>
      </w:tr>
      <w:tr w:rsidR="000959AB" w:rsidRPr="003F0FAB" w:rsidTr="000F299C">
        <w:tc>
          <w:tcPr>
            <w:tcW w:w="1390" w:type="dxa"/>
          </w:tcPr>
          <w:p w:rsidR="000959AB" w:rsidRPr="003F0FAB" w:rsidRDefault="000959AB" w:rsidP="000959AB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BA46FD">
              <w:rPr>
                <w:bCs/>
                <w:color w:val="000000"/>
                <w:sz w:val="24"/>
                <w:szCs w:val="24"/>
                <w:u w:val="single"/>
              </w:rPr>
              <w:t>135</w:t>
            </w:r>
          </w:p>
        </w:tc>
        <w:tc>
          <w:tcPr>
            <w:tcW w:w="8032" w:type="dxa"/>
          </w:tcPr>
          <w:p w:rsidR="000959AB" w:rsidRPr="003F0FAB" w:rsidRDefault="000959AB" w:rsidP="000959AB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BA46FD">
              <w:rPr>
                <w:color w:val="000000"/>
                <w:sz w:val="24"/>
                <w:szCs w:val="24"/>
                <w:u w:val="single"/>
              </w:rPr>
              <w:t>NFX (C.C.I.) Canadian Condensate (C5) Basis Futures (NC5)</w:t>
            </w:r>
          </w:p>
        </w:tc>
      </w:tr>
      <w:tr w:rsidR="000959AB" w:rsidRPr="003F0FAB" w:rsidTr="000F299C">
        <w:tc>
          <w:tcPr>
            <w:tcW w:w="1390" w:type="dxa"/>
          </w:tcPr>
          <w:p w:rsidR="000959AB" w:rsidRPr="003F0FAB" w:rsidRDefault="000959AB" w:rsidP="000959AB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BA46FD">
              <w:rPr>
                <w:bCs/>
                <w:color w:val="000000"/>
                <w:sz w:val="24"/>
                <w:szCs w:val="24"/>
                <w:u w:val="single"/>
              </w:rPr>
              <w:t>136</w:t>
            </w:r>
          </w:p>
        </w:tc>
        <w:tc>
          <w:tcPr>
            <w:tcW w:w="8032" w:type="dxa"/>
          </w:tcPr>
          <w:p w:rsidR="000959AB" w:rsidRPr="003F0FAB" w:rsidRDefault="000959AB" w:rsidP="000959AB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BA46FD">
              <w:rPr>
                <w:color w:val="000000"/>
                <w:sz w:val="24"/>
                <w:szCs w:val="24"/>
                <w:u w:val="single"/>
              </w:rPr>
              <w:t>NFX (C.C.I.) Canadian Condensate (C5) Financial Futures (CCFQ)</w:t>
            </w:r>
          </w:p>
        </w:tc>
      </w:tr>
      <w:tr w:rsidR="000959AB" w:rsidRPr="003F0FAB" w:rsidTr="000F299C">
        <w:tc>
          <w:tcPr>
            <w:tcW w:w="1390" w:type="dxa"/>
          </w:tcPr>
          <w:p w:rsidR="000959AB" w:rsidRPr="003F0FAB" w:rsidRDefault="000959AB" w:rsidP="000959AB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BA46FD">
              <w:rPr>
                <w:bCs/>
                <w:color w:val="000000"/>
                <w:sz w:val="24"/>
                <w:szCs w:val="24"/>
                <w:u w:val="single"/>
              </w:rPr>
              <w:t>137</w:t>
            </w:r>
          </w:p>
        </w:tc>
        <w:tc>
          <w:tcPr>
            <w:tcW w:w="8032" w:type="dxa"/>
          </w:tcPr>
          <w:p w:rsidR="000959AB" w:rsidRPr="003F0FAB" w:rsidRDefault="000959AB" w:rsidP="000959AB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BA46FD">
              <w:rPr>
                <w:color w:val="000000"/>
                <w:sz w:val="24"/>
                <w:szCs w:val="24"/>
                <w:u w:val="single"/>
              </w:rPr>
              <w:t>NFX (C.C.I.) Canadian Light Sweet Crude Oil Basis Futures (NSW)</w:t>
            </w:r>
          </w:p>
        </w:tc>
      </w:tr>
      <w:tr w:rsidR="000959AB" w:rsidRPr="003F0FAB" w:rsidTr="000F299C">
        <w:tc>
          <w:tcPr>
            <w:tcW w:w="1390" w:type="dxa"/>
          </w:tcPr>
          <w:p w:rsidR="000959AB" w:rsidRPr="003F0FAB" w:rsidRDefault="000959AB" w:rsidP="000959AB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BA46FD">
              <w:rPr>
                <w:bCs/>
                <w:color w:val="000000"/>
                <w:sz w:val="24"/>
                <w:szCs w:val="24"/>
                <w:u w:val="single"/>
              </w:rPr>
              <w:t>138</w:t>
            </w:r>
          </w:p>
        </w:tc>
        <w:tc>
          <w:tcPr>
            <w:tcW w:w="8032" w:type="dxa"/>
          </w:tcPr>
          <w:p w:rsidR="000959AB" w:rsidRPr="003F0FAB" w:rsidRDefault="000959AB" w:rsidP="000959AB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BA46FD">
              <w:rPr>
                <w:color w:val="000000"/>
                <w:sz w:val="24"/>
                <w:szCs w:val="24"/>
                <w:u w:val="single"/>
              </w:rPr>
              <w:t>NFX (C.C.I.) Canadian Light Sweet Crude Oil Financial Futures (CSWQ)</w:t>
            </w:r>
          </w:p>
        </w:tc>
      </w:tr>
      <w:tr w:rsidR="000959AB" w:rsidRPr="003F0FAB" w:rsidTr="000F299C">
        <w:tc>
          <w:tcPr>
            <w:tcW w:w="1390" w:type="dxa"/>
          </w:tcPr>
          <w:p w:rsidR="000959AB" w:rsidRPr="003F0FAB" w:rsidRDefault="000959AB" w:rsidP="000959AB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BA46FD">
              <w:rPr>
                <w:bCs/>
                <w:color w:val="000000"/>
                <w:sz w:val="24"/>
                <w:szCs w:val="24"/>
                <w:u w:val="single"/>
              </w:rPr>
              <w:t>139</w:t>
            </w:r>
          </w:p>
        </w:tc>
        <w:tc>
          <w:tcPr>
            <w:tcW w:w="8032" w:type="dxa"/>
          </w:tcPr>
          <w:p w:rsidR="000959AB" w:rsidRPr="003F0FAB" w:rsidRDefault="000959AB" w:rsidP="000959AB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BA46FD">
              <w:rPr>
                <w:color w:val="000000"/>
                <w:sz w:val="24"/>
                <w:szCs w:val="24"/>
                <w:u w:val="single"/>
              </w:rPr>
              <w:t>NFX (C.C.I.) Canadian Light Sour Blend Crude Oil Basis Futures (NSR)</w:t>
            </w:r>
          </w:p>
        </w:tc>
      </w:tr>
      <w:tr w:rsidR="000959AB" w:rsidRPr="003F0FAB" w:rsidTr="000F299C">
        <w:tc>
          <w:tcPr>
            <w:tcW w:w="1390" w:type="dxa"/>
          </w:tcPr>
          <w:p w:rsidR="000959AB" w:rsidRPr="003F0FAB" w:rsidRDefault="000959AB" w:rsidP="000959AB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BA46FD">
              <w:rPr>
                <w:bCs/>
                <w:color w:val="000000"/>
                <w:sz w:val="24"/>
                <w:szCs w:val="24"/>
                <w:u w:val="single"/>
              </w:rPr>
              <w:t>140</w:t>
            </w:r>
          </w:p>
        </w:tc>
        <w:tc>
          <w:tcPr>
            <w:tcW w:w="8032" w:type="dxa"/>
          </w:tcPr>
          <w:p w:rsidR="000959AB" w:rsidRPr="003F0FAB" w:rsidRDefault="000959AB" w:rsidP="000959AB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BA46FD">
              <w:rPr>
                <w:color w:val="000000"/>
                <w:sz w:val="24"/>
                <w:szCs w:val="24"/>
                <w:u w:val="single"/>
              </w:rPr>
              <w:t>NFX (C.C.I.) Canadian Light Sour Blend Crude Oil Financial Futures (CSDQ)</w:t>
            </w:r>
          </w:p>
        </w:tc>
      </w:tr>
      <w:tr w:rsidR="000959AB" w:rsidRPr="003F0FAB" w:rsidTr="000F299C">
        <w:tc>
          <w:tcPr>
            <w:tcW w:w="1390" w:type="dxa"/>
          </w:tcPr>
          <w:p w:rsidR="000959AB" w:rsidRPr="003F0FAB" w:rsidRDefault="000959AB" w:rsidP="000959AB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BA46FD">
              <w:rPr>
                <w:bCs/>
                <w:color w:val="000000"/>
                <w:sz w:val="24"/>
                <w:szCs w:val="24"/>
                <w:u w:val="single"/>
              </w:rPr>
              <w:t>141</w:t>
            </w:r>
          </w:p>
        </w:tc>
        <w:tc>
          <w:tcPr>
            <w:tcW w:w="8032" w:type="dxa"/>
          </w:tcPr>
          <w:p w:rsidR="000959AB" w:rsidRPr="003F0FAB" w:rsidRDefault="000959AB" w:rsidP="000959AB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BA46FD">
              <w:rPr>
                <w:color w:val="000000"/>
                <w:sz w:val="24"/>
                <w:szCs w:val="24"/>
                <w:u w:val="single"/>
              </w:rPr>
              <w:t>NFX (C.C.I.) Canadian Synthetic Sweet Crude Oil Basis Futures (NSP)</w:t>
            </w:r>
          </w:p>
        </w:tc>
      </w:tr>
      <w:tr w:rsidR="000959AB" w:rsidRPr="00BA46FD" w:rsidTr="000F299C">
        <w:trPr>
          <w:trHeight w:val="332"/>
        </w:trPr>
        <w:tc>
          <w:tcPr>
            <w:tcW w:w="1390" w:type="dxa"/>
            <w:hideMark/>
          </w:tcPr>
          <w:p w:rsidR="000959AB" w:rsidRPr="00BA46FD" w:rsidRDefault="000959AB" w:rsidP="000959AB">
            <w:p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u w:val="single"/>
              </w:rPr>
            </w:pPr>
            <w:r w:rsidRPr="00BA46FD">
              <w:rPr>
                <w:bCs/>
                <w:color w:val="000000"/>
                <w:sz w:val="24"/>
                <w:szCs w:val="24"/>
                <w:u w:val="single"/>
              </w:rPr>
              <w:t>142</w:t>
            </w:r>
          </w:p>
        </w:tc>
        <w:tc>
          <w:tcPr>
            <w:tcW w:w="8032" w:type="dxa"/>
            <w:noWrap/>
            <w:hideMark/>
          </w:tcPr>
          <w:p w:rsidR="000959AB" w:rsidRPr="00BA46FD" w:rsidRDefault="000959AB" w:rsidP="000959AB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BA46FD">
              <w:rPr>
                <w:color w:val="000000"/>
                <w:sz w:val="24"/>
                <w:szCs w:val="24"/>
                <w:u w:val="single"/>
              </w:rPr>
              <w:t>NFX (C.C.I.) Canadian Synthetic Sweet Crude Oil Financial Futures (CSNQ)</w:t>
            </w:r>
          </w:p>
        </w:tc>
      </w:tr>
      <w:tr w:rsidR="000959AB" w:rsidRPr="00BA46FD" w:rsidTr="000F299C">
        <w:trPr>
          <w:trHeight w:val="341"/>
        </w:trPr>
        <w:tc>
          <w:tcPr>
            <w:tcW w:w="1390" w:type="dxa"/>
            <w:hideMark/>
          </w:tcPr>
          <w:p w:rsidR="000959AB" w:rsidRPr="00BA46FD" w:rsidRDefault="000959AB" w:rsidP="000959AB">
            <w:pPr>
              <w:spacing w:after="0" w:line="240" w:lineRule="auto"/>
              <w:rPr>
                <w:bCs/>
                <w:color w:val="000000"/>
                <w:sz w:val="24"/>
                <w:szCs w:val="24"/>
                <w:u w:val="single"/>
              </w:rPr>
            </w:pPr>
            <w:r w:rsidRPr="00BA46FD">
              <w:rPr>
                <w:bCs/>
                <w:color w:val="000000"/>
                <w:sz w:val="24"/>
                <w:szCs w:val="24"/>
                <w:u w:val="single"/>
              </w:rPr>
              <w:t>143</w:t>
            </w:r>
          </w:p>
        </w:tc>
        <w:tc>
          <w:tcPr>
            <w:tcW w:w="8032" w:type="dxa"/>
            <w:noWrap/>
            <w:hideMark/>
          </w:tcPr>
          <w:p w:rsidR="000959AB" w:rsidRPr="00BA46FD" w:rsidRDefault="000959AB" w:rsidP="000959AB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BA46FD">
              <w:rPr>
                <w:color w:val="000000"/>
                <w:sz w:val="24"/>
                <w:szCs w:val="24"/>
                <w:u w:val="single"/>
              </w:rPr>
              <w:t>NFX (C.C.I.) Western Canadian Select Crude Oil Basis Futures (NWC)</w:t>
            </w:r>
          </w:p>
        </w:tc>
      </w:tr>
      <w:tr w:rsidR="000959AB" w:rsidRPr="00BA46FD" w:rsidTr="000F299C">
        <w:trPr>
          <w:trHeight w:val="359"/>
        </w:trPr>
        <w:tc>
          <w:tcPr>
            <w:tcW w:w="1390" w:type="dxa"/>
            <w:hideMark/>
          </w:tcPr>
          <w:p w:rsidR="000959AB" w:rsidRPr="00BA46FD" w:rsidRDefault="000959AB" w:rsidP="000959AB">
            <w:pPr>
              <w:spacing w:after="0" w:line="240" w:lineRule="auto"/>
              <w:rPr>
                <w:bCs/>
                <w:color w:val="000000"/>
                <w:sz w:val="24"/>
                <w:szCs w:val="24"/>
                <w:u w:val="single"/>
              </w:rPr>
            </w:pPr>
            <w:r w:rsidRPr="00BA46FD">
              <w:rPr>
                <w:bCs/>
                <w:color w:val="000000"/>
                <w:sz w:val="24"/>
                <w:szCs w:val="24"/>
                <w:u w:val="single"/>
              </w:rPr>
              <w:t>144</w:t>
            </w:r>
          </w:p>
        </w:tc>
        <w:tc>
          <w:tcPr>
            <w:tcW w:w="8032" w:type="dxa"/>
            <w:noWrap/>
            <w:hideMark/>
          </w:tcPr>
          <w:p w:rsidR="000959AB" w:rsidRPr="00BA46FD" w:rsidRDefault="000959AB" w:rsidP="000959AB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BA46FD">
              <w:rPr>
                <w:color w:val="000000"/>
                <w:sz w:val="24"/>
                <w:szCs w:val="24"/>
                <w:u w:val="single"/>
              </w:rPr>
              <w:t>NFX (C.C.I.) Western Canadian Select Crude Oil Financial Futures (CHYQ)</w:t>
            </w:r>
          </w:p>
        </w:tc>
      </w:tr>
      <w:tr w:rsidR="000959AB" w:rsidRPr="003F0FAB" w:rsidTr="000F299C">
        <w:trPr>
          <w:trHeight w:val="359"/>
        </w:trPr>
        <w:tc>
          <w:tcPr>
            <w:tcW w:w="1390" w:type="dxa"/>
          </w:tcPr>
          <w:p w:rsidR="000959AB" w:rsidRPr="003F0FAB" w:rsidRDefault="000959AB" w:rsidP="000959AB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32" w:type="dxa"/>
            <w:noWrap/>
          </w:tcPr>
          <w:p w:rsidR="000959AB" w:rsidRPr="003F0FAB" w:rsidRDefault="000959AB" w:rsidP="000959A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0959AB" w:rsidRPr="003F0FAB" w:rsidTr="000F299C">
        <w:trPr>
          <w:trHeight w:val="359"/>
        </w:trPr>
        <w:tc>
          <w:tcPr>
            <w:tcW w:w="1390" w:type="dxa"/>
          </w:tcPr>
          <w:p w:rsidR="000959AB" w:rsidRPr="003F0FAB" w:rsidRDefault="000959AB" w:rsidP="000959AB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32" w:type="dxa"/>
            <w:noWrap/>
          </w:tcPr>
          <w:p w:rsidR="000959AB" w:rsidRPr="003F0FAB" w:rsidRDefault="000959AB" w:rsidP="000959AB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3F0FAB">
              <w:rPr>
                <w:b/>
                <w:color w:val="000000"/>
                <w:sz w:val="24"/>
                <w:szCs w:val="24"/>
              </w:rPr>
              <w:t>NATURAL GAR PRODUCTS – No Change</w:t>
            </w:r>
          </w:p>
        </w:tc>
      </w:tr>
      <w:tr w:rsidR="000959AB" w:rsidRPr="003F0FAB" w:rsidTr="000F299C">
        <w:trPr>
          <w:trHeight w:val="359"/>
        </w:trPr>
        <w:tc>
          <w:tcPr>
            <w:tcW w:w="1390" w:type="dxa"/>
          </w:tcPr>
          <w:p w:rsidR="000959AB" w:rsidRPr="003F0FAB" w:rsidRDefault="000959AB" w:rsidP="000959AB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32" w:type="dxa"/>
            <w:noWrap/>
          </w:tcPr>
          <w:p w:rsidR="000959AB" w:rsidRPr="003F0FAB" w:rsidRDefault="000959AB" w:rsidP="000959AB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0959AB" w:rsidRPr="003F0FAB" w:rsidTr="000F299C">
        <w:trPr>
          <w:trHeight w:val="359"/>
        </w:trPr>
        <w:tc>
          <w:tcPr>
            <w:tcW w:w="1390" w:type="dxa"/>
          </w:tcPr>
          <w:p w:rsidR="000959AB" w:rsidRPr="003F0FAB" w:rsidRDefault="000959AB" w:rsidP="000959AB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32" w:type="dxa"/>
            <w:noWrap/>
          </w:tcPr>
          <w:p w:rsidR="000959AB" w:rsidRPr="003F0FAB" w:rsidRDefault="000959AB" w:rsidP="000959AB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3F0FAB">
              <w:rPr>
                <w:b/>
                <w:color w:val="000000"/>
                <w:sz w:val="24"/>
                <w:szCs w:val="24"/>
              </w:rPr>
              <w:t>POWER CONTRACTS – No Change</w:t>
            </w:r>
          </w:p>
        </w:tc>
      </w:tr>
      <w:tr w:rsidR="000959AB" w:rsidRPr="003F0FAB" w:rsidTr="000F299C">
        <w:trPr>
          <w:trHeight w:val="359"/>
        </w:trPr>
        <w:tc>
          <w:tcPr>
            <w:tcW w:w="1390" w:type="dxa"/>
          </w:tcPr>
          <w:p w:rsidR="000959AB" w:rsidRPr="003F0FAB" w:rsidRDefault="000959AB" w:rsidP="000959AB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32" w:type="dxa"/>
            <w:noWrap/>
          </w:tcPr>
          <w:p w:rsidR="000959AB" w:rsidRPr="003F0FAB" w:rsidRDefault="000959AB" w:rsidP="000959AB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0959AB" w:rsidRPr="003F0FAB" w:rsidTr="000F299C">
        <w:trPr>
          <w:trHeight w:val="359"/>
        </w:trPr>
        <w:tc>
          <w:tcPr>
            <w:tcW w:w="1390" w:type="dxa"/>
          </w:tcPr>
          <w:p w:rsidR="000959AB" w:rsidRPr="003F0FAB" w:rsidRDefault="000959AB" w:rsidP="000959AB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32" w:type="dxa"/>
            <w:noWrap/>
          </w:tcPr>
          <w:p w:rsidR="000959AB" w:rsidRPr="003F0FAB" w:rsidRDefault="000959AB" w:rsidP="000959AB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3F0FAB">
              <w:rPr>
                <w:b/>
                <w:color w:val="000000"/>
                <w:sz w:val="24"/>
                <w:szCs w:val="24"/>
              </w:rPr>
              <w:t>PETROCHEMICLE PRODUCTS – No Change</w:t>
            </w:r>
          </w:p>
        </w:tc>
      </w:tr>
      <w:tr w:rsidR="000959AB" w:rsidRPr="003F0FAB" w:rsidTr="000F299C">
        <w:trPr>
          <w:trHeight w:val="359"/>
        </w:trPr>
        <w:tc>
          <w:tcPr>
            <w:tcW w:w="1390" w:type="dxa"/>
          </w:tcPr>
          <w:p w:rsidR="000959AB" w:rsidRPr="003F0FAB" w:rsidRDefault="000959AB" w:rsidP="000959AB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32" w:type="dxa"/>
            <w:noWrap/>
          </w:tcPr>
          <w:p w:rsidR="000959AB" w:rsidRPr="003F0FAB" w:rsidRDefault="000959AB" w:rsidP="000959AB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0959AB" w:rsidRPr="003F0FAB" w:rsidTr="000F299C">
        <w:trPr>
          <w:trHeight w:val="359"/>
        </w:trPr>
        <w:tc>
          <w:tcPr>
            <w:tcW w:w="1390" w:type="dxa"/>
          </w:tcPr>
          <w:p w:rsidR="000959AB" w:rsidRPr="003F0FAB" w:rsidRDefault="000959AB" w:rsidP="000959AB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32" w:type="dxa"/>
            <w:noWrap/>
          </w:tcPr>
          <w:p w:rsidR="000959AB" w:rsidRPr="003F0FAB" w:rsidRDefault="000959AB" w:rsidP="000959AB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3F0FAB">
              <w:rPr>
                <w:b/>
                <w:color w:val="000000"/>
                <w:sz w:val="24"/>
                <w:szCs w:val="24"/>
              </w:rPr>
              <w:t>FERROUS METALS – No Change</w:t>
            </w:r>
          </w:p>
        </w:tc>
      </w:tr>
      <w:tr w:rsidR="000959AB" w:rsidRPr="003F0FAB" w:rsidTr="000F299C">
        <w:trPr>
          <w:trHeight w:val="359"/>
        </w:trPr>
        <w:tc>
          <w:tcPr>
            <w:tcW w:w="1390" w:type="dxa"/>
          </w:tcPr>
          <w:p w:rsidR="000959AB" w:rsidRPr="003F0FAB" w:rsidRDefault="000959AB" w:rsidP="000959AB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32" w:type="dxa"/>
            <w:noWrap/>
          </w:tcPr>
          <w:p w:rsidR="000959AB" w:rsidRPr="003F0FAB" w:rsidRDefault="000959AB" w:rsidP="000959AB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0959AB" w:rsidRPr="003F0FAB" w:rsidTr="000F299C">
        <w:trPr>
          <w:trHeight w:val="359"/>
        </w:trPr>
        <w:tc>
          <w:tcPr>
            <w:tcW w:w="1390" w:type="dxa"/>
          </w:tcPr>
          <w:p w:rsidR="000959AB" w:rsidRPr="003F0FAB" w:rsidRDefault="000959AB" w:rsidP="000959AB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32" w:type="dxa"/>
            <w:noWrap/>
          </w:tcPr>
          <w:p w:rsidR="000959AB" w:rsidRPr="003F0FAB" w:rsidRDefault="000959AB" w:rsidP="000959AB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3F0FAB">
              <w:rPr>
                <w:b/>
                <w:color w:val="000000"/>
                <w:sz w:val="24"/>
                <w:szCs w:val="24"/>
              </w:rPr>
              <w:t>TANKER FREIGHT – No Change</w:t>
            </w:r>
          </w:p>
        </w:tc>
      </w:tr>
      <w:tr w:rsidR="000959AB" w:rsidRPr="003F0FAB" w:rsidTr="000F299C">
        <w:trPr>
          <w:trHeight w:val="359"/>
        </w:trPr>
        <w:tc>
          <w:tcPr>
            <w:tcW w:w="1390" w:type="dxa"/>
          </w:tcPr>
          <w:p w:rsidR="000959AB" w:rsidRPr="003F0FAB" w:rsidRDefault="000959AB" w:rsidP="000959AB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32" w:type="dxa"/>
            <w:noWrap/>
          </w:tcPr>
          <w:p w:rsidR="000959AB" w:rsidRPr="003F0FAB" w:rsidRDefault="000959AB" w:rsidP="000959AB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0959AB" w:rsidRPr="003F0FAB" w:rsidTr="000F299C">
        <w:trPr>
          <w:trHeight w:val="359"/>
        </w:trPr>
        <w:tc>
          <w:tcPr>
            <w:tcW w:w="1390" w:type="dxa"/>
          </w:tcPr>
          <w:p w:rsidR="000959AB" w:rsidRPr="003F0FAB" w:rsidRDefault="000959AB" w:rsidP="000959AB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32" w:type="dxa"/>
            <w:noWrap/>
          </w:tcPr>
          <w:p w:rsidR="000959AB" w:rsidRPr="003F0FAB" w:rsidRDefault="000959AB" w:rsidP="000959AB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3F0FAB">
              <w:rPr>
                <w:b/>
                <w:color w:val="000000"/>
                <w:sz w:val="24"/>
                <w:szCs w:val="24"/>
              </w:rPr>
              <w:t>DRY FREIGHT – No Change</w:t>
            </w:r>
          </w:p>
        </w:tc>
      </w:tr>
      <w:tr w:rsidR="000959AB" w:rsidRPr="003F0FAB" w:rsidTr="000F299C">
        <w:trPr>
          <w:trHeight w:val="431"/>
        </w:trPr>
        <w:tc>
          <w:tcPr>
            <w:tcW w:w="1390" w:type="dxa"/>
          </w:tcPr>
          <w:p w:rsidR="000959AB" w:rsidRPr="003F0FAB" w:rsidRDefault="000959AB" w:rsidP="000959AB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32" w:type="dxa"/>
            <w:noWrap/>
          </w:tcPr>
          <w:p w:rsidR="000959AB" w:rsidRPr="003F0FAB" w:rsidRDefault="000959AB" w:rsidP="000959A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0959AB" w:rsidRPr="003F0FAB" w:rsidTr="000F299C">
        <w:trPr>
          <w:trHeight w:val="359"/>
        </w:trPr>
        <w:tc>
          <w:tcPr>
            <w:tcW w:w="1390" w:type="dxa"/>
          </w:tcPr>
          <w:p w:rsidR="000959AB" w:rsidRPr="003F0FAB" w:rsidRDefault="000959AB" w:rsidP="000959AB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32" w:type="dxa"/>
            <w:noWrap/>
          </w:tcPr>
          <w:p w:rsidR="000959AB" w:rsidRPr="003F0FAB" w:rsidRDefault="000959AB" w:rsidP="000959AB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3F0FAB">
              <w:rPr>
                <w:b/>
                <w:color w:val="000000"/>
                <w:sz w:val="24"/>
                <w:szCs w:val="24"/>
              </w:rPr>
              <w:t>TREASURY FUTURES – No Change</w:t>
            </w:r>
          </w:p>
        </w:tc>
      </w:tr>
    </w:tbl>
    <w:p w:rsidR="000959AB" w:rsidRPr="003F0FAB" w:rsidRDefault="000959AB" w:rsidP="000959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59AB" w:rsidRPr="003F0FAB" w:rsidRDefault="000959AB" w:rsidP="000959A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0FAB">
        <w:rPr>
          <w:rFonts w:ascii="Times New Roman" w:hAnsi="Times New Roman" w:cs="Times New Roman"/>
          <w:sz w:val="24"/>
          <w:szCs w:val="24"/>
        </w:rPr>
        <w:t>*****</w:t>
      </w:r>
    </w:p>
    <w:p w:rsidR="007E5DBE" w:rsidRPr="003F0FAB" w:rsidRDefault="007E5DBE" w:rsidP="003D77AB">
      <w:pPr>
        <w:keepNext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3F0FA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 xml:space="preserve">Chapter </w:t>
      </w:r>
      <w:r w:rsidRPr="00C301E8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</w:rPr>
        <w:t>135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C301E8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</w:rPr>
        <w:t>NFX (C.C.I.) Canadian Condensate (C5) Basis Futures (NC5)</w:t>
      </w:r>
    </w:p>
    <w:p w:rsidR="007E5DBE" w:rsidRPr="001A3882" w:rsidRDefault="001A3882" w:rsidP="003D77AB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1A3882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*****</w:t>
      </w:r>
    </w:p>
    <w:p w:rsidR="007E5DBE" w:rsidRPr="003F0FAB" w:rsidRDefault="007E5DBE" w:rsidP="003D77AB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01E8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t>135</w:t>
      </w:r>
      <w:r w:rsidRPr="003F0FAB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7E5DBE" w:rsidRPr="003F0FAB" w:rsidRDefault="007E5DBE" w:rsidP="003D77AB">
      <w:pPr>
        <w:spacing w:after="24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F0FAB">
        <w:rPr>
          <w:rFonts w:ascii="Times New Roman" w:hAnsi="Times New Roman" w:cs="Times New Roman"/>
          <w:sz w:val="24"/>
          <w:szCs w:val="24"/>
          <w:u w:val="single"/>
        </w:rPr>
        <w:t>Pursuant to Chapter IV, Section 10, block trades shall be permitted with a minimum quantity threshold of 5 Contracts and the Reporting Window shall be 15 Minutes.</w:t>
      </w:r>
    </w:p>
    <w:p w:rsidR="001A3882" w:rsidRPr="001A3882" w:rsidRDefault="001A3882" w:rsidP="001A3882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1A3882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*****</w:t>
      </w:r>
    </w:p>
    <w:p w:rsidR="007E5DBE" w:rsidRPr="003F0FAB" w:rsidRDefault="007E5DBE" w:rsidP="003D77AB">
      <w:pPr>
        <w:keepNext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3F0FA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Chapter </w:t>
      </w:r>
      <w:r w:rsidRPr="00C301E8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</w:rPr>
        <w:t>136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C301E8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</w:rPr>
        <w:t>NFX (C.C.I.) Canadian Condensate (C5) Financial Futures (CCFQ)</w:t>
      </w:r>
    </w:p>
    <w:p w:rsidR="003D588E" w:rsidRPr="001A3882" w:rsidRDefault="003D588E" w:rsidP="003D588E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1A3882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*****</w:t>
      </w:r>
    </w:p>
    <w:p w:rsidR="007E5DBE" w:rsidRPr="003F0FAB" w:rsidRDefault="007E5DBE" w:rsidP="003D77AB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01E8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t>136</w:t>
      </w:r>
      <w:r w:rsidRPr="003F0FAB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7E5DBE" w:rsidRPr="003F0FAB" w:rsidRDefault="007E5DBE" w:rsidP="003D77AB">
      <w:pPr>
        <w:spacing w:after="24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F0FAB">
        <w:rPr>
          <w:rFonts w:ascii="Times New Roman" w:hAnsi="Times New Roman" w:cs="Times New Roman"/>
          <w:sz w:val="24"/>
          <w:szCs w:val="24"/>
          <w:u w:val="single"/>
        </w:rPr>
        <w:t>Pursuant to Chapter IV, Section 10, block trades shall be permitted with a minimum quantity threshold of 5 Contracts and the Reporting Window shall be 15 Minutes.</w:t>
      </w:r>
    </w:p>
    <w:p w:rsidR="003D588E" w:rsidRPr="001A3882" w:rsidRDefault="003D588E" w:rsidP="003D588E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1A3882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*****</w:t>
      </w:r>
    </w:p>
    <w:p w:rsidR="007E5DBE" w:rsidRPr="003F0FAB" w:rsidRDefault="007E5DBE" w:rsidP="003D77AB">
      <w:pPr>
        <w:keepNext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3F0FA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Chapter </w:t>
      </w:r>
      <w:r w:rsidRPr="00C301E8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</w:rPr>
        <w:t>137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C301E8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</w:rPr>
        <w:t>NFX (C.C.I.) Canadian Light Sweet Crude Oil Basis Futures (NSW)</w:t>
      </w:r>
    </w:p>
    <w:p w:rsidR="003D588E" w:rsidRPr="001A3882" w:rsidRDefault="003D588E" w:rsidP="003D588E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1A3882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*****</w:t>
      </w:r>
    </w:p>
    <w:p w:rsidR="007E5DBE" w:rsidRPr="003F0FAB" w:rsidRDefault="007E5DBE" w:rsidP="003D77AB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01E8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t>137</w:t>
      </w:r>
      <w:r w:rsidRPr="003F0FAB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7E5DBE" w:rsidRPr="003F0FAB" w:rsidRDefault="007E5DBE" w:rsidP="003D77AB">
      <w:pPr>
        <w:spacing w:after="24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F0FAB">
        <w:rPr>
          <w:rFonts w:ascii="Times New Roman" w:hAnsi="Times New Roman" w:cs="Times New Roman"/>
          <w:sz w:val="24"/>
          <w:szCs w:val="24"/>
          <w:u w:val="single"/>
        </w:rPr>
        <w:t>Pursuant to Chapter IV, Section 10, block trades shall be permitted with a minimum quantity threshold of 5 Contracts and the Reporting Window shall be 15 Minutes.</w:t>
      </w:r>
    </w:p>
    <w:p w:rsidR="003D588E" w:rsidRPr="001A3882" w:rsidRDefault="003D588E" w:rsidP="003D588E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1A3882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*****</w:t>
      </w:r>
    </w:p>
    <w:p w:rsidR="007E5DBE" w:rsidRPr="003F0FAB" w:rsidRDefault="007E5DBE" w:rsidP="003D77AB">
      <w:pPr>
        <w:keepNext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3F0FA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Chapter </w:t>
      </w:r>
      <w:r w:rsidRPr="00C301E8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</w:rPr>
        <w:t>138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C301E8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</w:rPr>
        <w:t>NFX (C.C.I.) Canadian Light Sweet Crude Oil Financial Futures (CSWQ)</w:t>
      </w:r>
    </w:p>
    <w:p w:rsidR="003D588E" w:rsidRPr="001A3882" w:rsidRDefault="003D588E" w:rsidP="003D588E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1A3882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*****</w:t>
      </w:r>
    </w:p>
    <w:p w:rsidR="007E5DBE" w:rsidRPr="003F0FAB" w:rsidRDefault="007E5DBE" w:rsidP="003D77AB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01E8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t>138</w:t>
      </w:r>
      <w:r w:rsidRPr="003F0FAB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7E5DBE" w:rsidRPr="003F0FAB" w:rsidRDefault="007E5DBE" w:rsidP="003D77AB">
      <w:pPr>
        <w:spacing w:after="24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F0FAB">
        <w:rPr>
          <w:rFonts w:ascii="Times New Roman" w:hAnsi="Times New Roman" w:cs="Times New Roman"/>
          <w:sz w:val="24"/>
          <w:szCs w:val="24"/>
          <w:u w:val="single"/>
        </w:rPr>
        <w:t>Pursuant to Chapter IV, Section 10, block trades shall be permitted with a minimum quantity threshold of 5 Contracts and the Reporting Window shall be 15 Minutes.</w:t>
      </w:r>
    </w:p>
    <w:p w:rsidR="003D588E" w:rsidRPr="001A3882" w:rsidRDefault="003D588E" w:rsidP="003D588E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1A3882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*****</w:t>
      </w:r>
    </w:p>
    <w:p w:rsidR="007E5DBE" w:rsidRPr="003F0FAB" w:rsidRDefault="007E5DBE" w:rsidP="003D77AB">
      <w:pPr>
        <w:keepNext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3F0FA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Chapter </w:t>
      </w:r>
      <w:r w:rsidRPr="00C301E8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</w:rPr>
        <w:t>139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C301E8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</w:rPr>
        <w:t>NFX (C.C.I.) Canadian Light Sour Blend Crude Oil Basis Futures (NSR)</w:t>
      </w:r>
    </w:p>
    <w:p w:rsidR="003D588E" w:rsidRPr="001A3882" w:rsidRDefault="003D588E" w:rsidP="003D588E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1A3882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*****</w:t>
      </w:r>
    </w:p>
    <w:p w:rsidR="007E5DBE" w:rsidRPr="003F0FAB" w:rsidRDefault="007E5DBE" w:rsidP="003D77AB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01E8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t>139</w:t>
      </w:r>
      <w:r w:rsidRPr="003F0FAB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7E5DBE" w:rsidRPr="003F0FAB" w:rsidRDefault="007E5DBE" w:rsidP="003D77AB">
      <w:pPr>
        <w:spacing w:after="24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F0FAB">
        <w:rPr>
          <w:rFonts w:ascii="Times New Roman" w:hAnsi="Times New Roman" w:cs="Times New Roman"/>
          <w:sz w:val="24"/>
          <w:szCs w:val="24"/>
          <w:u w:val="single"/>
        </w:rPr>
        <w:t>Pursuant to Chapter IV, Section 10, block trades shall be permitted with a minimum quantity threshold of 5 Contracts and the Reporting Window shall be 15 Minutes.</w:t>
      </w:r>
    </w:p>
    <w:p w:rsidR="003D588E" w:rsidRPr="001A3882" w:rsidRDefault="003D588E" w:rsidP="003D588E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1A3882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*****</w:t>
      </w:r>
    </w:p>
    <w:p w:rsidR="007E5DBE" w:rsidRDefault="007E5DBE" w:rsidP="003D77AB">
      <w:pPr>
        <w:spacing w:after="240" w:line="240" w:lineRule="auto"/>
        <w:rPr>
          <w:rFonts w:ascii="Times New Roman" w:hAnsi="Times New Roman" w:cs="Times New Roman"/>
          <w:sz w:val="24"/>
          <w:szCs w:val="24"/>
          <w:u w:val="single"/>
        </w:rPr>
        <w:sectPr w:rsidR="007E5DBE">
          <w:head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E5DBE" w:rsidRPr="003F0FAB" w:rsidRDefault="007E5DBE" w:rsidP="003D77AB">
      <w:pPr>
        <w:keepNext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3F0FA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 xml:space="preserve">Chapter </w:t>
      </w:r>
      <w:r w:rsidRPr="00C301E8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</w:rPr>
        <w:t>140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C301E8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</w:rPr>
        <w:t>NFX (C.C.I.) Canadian Light Sour Blend Crude Oil Financial Futures (CSDQ)</w:t>
      </w:r>
    </w:p>
    <w:p w:rsidR="003D588E" w:rsidRPr="001A3882" w:rsidRDefault="003D588E" w:rsidP="003D588E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1A3882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*****</w:t>
      </w:r>
    </w:p>
    <w:p w:rsidR="007E5DBE" w:rsidRPr="003F0FAB" w:rsidRDefault="007E5DBE" w:rsidP="003D77AB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01E8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t>140</w:t>
      </w:r>
      <w:r w:rsidRPr="003F0FAB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7E5DBE" w:rsidRPr="003F0FAB" w:rsidRDefault="007E5DBE" w:rsidP="003D77AB">
      <w:pPr>
        <w:spacing w:after="24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F0FAB">
        <w:rPr>
          <w:rFonts w:ascii="Times New Roman" w:hAnsi="Times New Roman" w:cs="Times New Roman"/>
          <w:sz w:val="24"/>
          <w:szCs w:val="24"/>
          <w:u w:val="single"/>
        </w:rPr>
        <w:t>Pursuant to Chapter IV, Section 10, block trades shall be permitted with a minimum quantity threshold of 5 Contracts and the Reporting Window shall be 15 Minutes.</w:t>
      </w:r>
    </w:p>
    <w:p w:rsidR="003D588E" w:rsidRPr="001A3882" w:rsidRDefault="003D588E" w:rsidP="003D588E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1A3882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*****</w:t>
      </w:r>
    </w:p>
    <w:p w:rsidR="007E5DBE" w:rsidRPr="003F0FAB" w:rsidRDefault="007E5DBE" w:rsidP="003D77AB">
      <w:pPr>
        <w:keepNext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3F0FA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Chapter </w:t>
      </w:r>
      <w:r w:rsidRPr="00C301E8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</w:rPr>
        <w:t>141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C301E8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</w:rPr>
        <w:t>NFX (C.C.I.) Canadian Synthetic Sweet Crude Oil Basis Futures (NSP)</w:t>
      </w:r>
    </w:p>
    <w:p w:rsidR="003D588E" w:rsidRPr="001A3882" w:rsidRDefault="003D588E" w:rsidP="003D588E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1A3882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*****</w:t>
      </w:r>
    </w:p>
    <w:p w:rsidR="007E5DBE" w:rsidRPr="003F0FAB" w:rsidRDefault="007E5DBE" w:rsidP="003D77AB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01E8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t>141</w:t>
      </w:r>
      <w:r w:rsidRPr="003F0FAB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7E5DBE" w:rsidRPr="003F0FAB" w:rsidRDefault="007E5DBE" w:rsidP="003D77AB">
      <w:pPr>
        <w:spacing w:after="24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F0FAB">
        <w:rPr>
          <w:rFonts w:ascii="Times New Roman" w:hAnsi="Times New Roman" w:cs="Times New Roman"/>
          <w:sz w:val="24"/>
          <w:szCs w:val="24"/>
          <w:u w:val="single"/>
        </w:rPr>
        <w:t>Pursuant to Chapter IV, Section 10, block trades shall be permitted with a minimum quantity threshold of 5 Contracts and the Reporting Window shall be 15 Minutes.</w:t>
      </w:r>
    </w:p>
    <w:p w:rsidR="003D588E" w:rsidRPr="001A3882" w:rsidRDefault="003D588E" w:rsidP="003D588E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1A3882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*****</w:t>
      </w:r>
    </w:p>
    <w:p w:rsidR="007E5DBE" w:rsidRPr="003F0FAB" w:rsidRDefault="007E5DBE" w:rsidP="003D77AB">
      <w:pPr>
        <w:keepNext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3F0FA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Chapter </w:t>
      </w:r>
      <w:r w:rsidRPr="00C301E8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</w:rPr>
        <w:t>142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C301E8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</w:rPr>
        <w:t>NFX (C.C.I.) Canadian Synthetic Sweet Crude Oil Financial Futures (CSNQ)</w:t>
      </w:r>
    </w:p>
    <w:p w:rsidR="003D588E" w:rsidRPr="001A3882" w:rsidRDefault="003D588E" w:rsidP="003D588E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1A3882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*****</w:t>
      </w:r>
    </w:p>
    <w:p w:rsidR="007E5DBE" w:rsidRPr="003F0FAB" w:rsidRDefault="007E5DBE" w:rsidP="003D77AB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01E8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t>142</w:t>
      </w:r>
      <w:r w:rsidRPr="003F0FAB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7E5DBE" w:rsidRPr="003F0FAB" w:rsidRDefault="007E5DBE" w:rsidP="003D77AB">
      <w:pPr>
        <w:spacing w:after="24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F0FAB">
        <w:rPr>
          <w:rFonts w:ascii="Times New Roman" w:hAnsi="Times New Roman" w:cs="Times New Roman"/>
          <w:sz w:val="24"/>
          <w:szCs w:val="24"/>
          <w:u w:val="single"/>
        </w:rPr>
        <w:t>Pursuant to Chapter IV, Section 10, block trades shall be permitted with a minimum quantity threshold of 5 Contracts and the Reporting Window shall be 15 Minutes.</w:t>
      </w:r>
    </w:p>
    <w:p w:rsidR="003D588E" w:rsidRPr="001A3882" w:rsidRDefault="003D588E" w:rsidP="003D588E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1A3882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*****</w:t>
      </w:r>
    </w:p>
    <w:p w:rsidR="007E5DBE" w:rsidRPr="003F0FAB" w:rsidRDefault="007E5DBE" w:rsidP="003D77AB">
      <w:pPr>
        <w:keepNext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3F0FA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Chapter </w:t>
      </w:r>
      <w:r w:rsidRPr="00C301E8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</w:rPr>
        <w:t>143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C301E8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</w:rPr>
        <w:t>NFX (C.C.I.) Western Canadian Select Crude Oil Basis Futures (NWC)</w:t>
      </w:r>
    </w:p>
    <w:p w:rsidR="003D588E" w:rsidRPr="001A3882" w:rsidRDefault="003D588E" w:rsidP="003D588E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1A3882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*****</w:t>
      </w:r>
    </w:p>
    <w:p w:rsidR="007E5DBE" w:rsidRPr="003F0FAB" w:rsidRDefault="007E5DBE" w:rsidP="003D77AB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01E8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t>143</w:t>
      </w:r>
      <w:r w:rsidRPr="003F0FAB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7E5DBE" w:rsidRPr="003F0FAB" w:rsidRDefault="007E5DBE" w:rsidP="003D77AB">
      <w:pPr>
        <w:spacing w:after="24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F0FAB">
        <w:rPr>
          <w:rFonts w:ascii="Times New Roman" w:hAnsi="Times New Roman" w:cs="Times New Roman"/>
          <w:sz w:val="24"/>
          <w:szCs w:val="24"/>
          <w:u w:val="single"/>
        </w:rPr>
        <w:t>Pursuant to Chapter IV, Section 10, block trades shall be permitted with a minimum quantity threshold of 5 Contracts and the Reporting Window shall be 15 Minutes.</w:t>
      </w:r>
    </w:p>
    <w:p w:rsidR="003D588E" w:rsidRPr="001A3882" w:rsidRDefault="003D588E" w:rsidP="003D588E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1A3882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*****</w:t>
      </w:r>
    </w:p>
    <w:p w:rsidR="007E5DBE" w:rsidRPr="003F0FAB" w:rsidRDefault="007E5DBE" w:rsidP="003D77AB">
      <w:pPr>
        <w:keepNext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3F0FA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Chapter </w:t>
      </w:r>
      <w:r w:rsidRPr="00C301E8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</w:rPr>
        <w:t>144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C301E8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</w:rPr>
        <w:t>NFX (C.C.I.) Western Canadian Select Crude Oil Financial Futures (CHYQ)</w:t>
      </w:r>
    </w:p>
    <w:p w:rsidR="003D588E" w:rsidRPr="001A3882" w:rsidRDefault="003D588E" w:rsidP="003D588E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1A3882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*****</w:t>
      </w:r>
    </w:p>
    <w:p w:rsidR="007E5DBE" w:rsidRPr="003F0FAB" w:rsidRDefault="007E5DBE" w:rsidP="003D77AB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01E8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t>144</w:t>
      </w:r>
      <w:r w:rsidRPr="003F0FAB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1E29F0" w:rsidRDefault="007E5DBE" w:rsidP="008B416C">
      <w:pPr>
        <w:spacing w:after="24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F0FAB">
        <w:rPr>
          <w:rFonts w:ascii="Times New Roman" w:hAnsi="Times New Roman" w:cs="Times New Roman"/>
          <w:sz w:val="24"/>
          <w:szCs w:val="24"/>
          <w:u w:val="single"/>
        </w:rPr>
        <w:t>Pursuant to Chapter IV, Section 10, block trades shall be permitted with a minimum quantity threshold of 5 Contracts and the Repor</w:t>
      </w:r>
      <w:r w:rsidR="001E29F0">
        <w:rPr>
          <w:rFonts w:ascii="Times New Roman" w:hAnsi="Times New Roman" w:cs="Times New Roman"/>
          <w:sz w:val="24"/>
          <w:szCs w:val="24"/>
          <w:u w:val="single"/>
        </w:rPr>
        <w:t>ting Window shall be 15 Minutes.</w:t>
      </w:r>
    </w:p>
    <w:p w:rsidR="007E5DBE" w:rsidRDefault="003D588E" w:rsidP="008B416C">
      <w:pPr>
        <w:spacing w:after="24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1A3882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*****</w:t>
      </w:r>
    </w:p>
    <w:p w:rsidR="0088758E" w:rsidRPr="00825FCC" w:rsidRDefault="0088758E" w:rsidP="0088758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25F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FEE SCHEDULE</w:t>
      </w:r>
    </w:p>
    <w:p w:rsidR="0088758E" w:rsidRDefault="0088758E" w:rsidP="008B416C">
      <w:pPr>
        <w:spacing w:after="24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8"/>
        <w:gridCol w:w="5375"/>
        <w:gridCol w:w="1509"/>
        <w:gridCol w:w="1628"/>
      </w:tblGrid>
      <w:tr w:rsidR="0088758E" w:rsidRPr="0088758E" w:rsidTr="0088758E">
        <w:trPr>
          <w:trHeight w:val="255"/>
        </w:trPr>
        <w:tc>
          <w:tcPr>
            <w:tcW w:w="1340" w:type="dxa"/>
          </w:tcPr>
          <w:p w:rsidR="0088758E" w:rsidRPr="0088758E" w:rsidRDefault="0088758E" w:rsidP="0088758E">
            <w:pPr>
              <w:spacing w:after="240" w:line="240" w:lineRule="auto"/>
              <w:rPr>
                <w:sz w:val="22"/>
                <w:szCs w:val="22"/>
              </w:rPr>
            </w:pPr>
            <w:r w:rsidRPr="0088758E">
              <w:rPr>
                <w:sz w:val="22"/>
                <w:szCs w:val="22"/>
              </w:rPr>
              <w:t>Rule</w:t>
            </w:r>
          </w:p>
        </w:tc>
        <w:tc>
          <w:tcPr>
            <w:tcW w:w="15220" w:type="dxa"/>
          </w:tcPr>
          <w:p w:rsidR="0088758E" w:rsidRPr="0088758E" w:rsidRDefault="0088758E" w:rsidP="0088758E">
            <w:pPr>
              <w:spacing w:after="240" w:line="240" w:lineRule="auto"/>
              <w:rPr>
                <w:sz w:val="22"/>
                <w:szCs w:val="22"/>
              </w:rPr>
            </w:pPr>
            <w:r w:rsidRPr="0088758E">
              <w:rPr>
                <w:sz w:val="22"/>
                <w:szCs w:val="22"/>
              </w:rPr>
              <w:t>Oil Products</w:t>
            </w:r>
          </w:p>
        </w:tc>
        <w:tc>
          <w:tcPr>
            <w:tcW w:w="1740" w:type="dxa"/>
          </w:tcPr>
          <w:p w:rsidR="0088758E" w:rsidRPr="0088758E" w:rsidRDefault="0088758E" w:rsidP="0088758E">
            <w:pPr>
              <w:spacing w:after="240" w:line="240" w:lineRule="auto"/>
              <w:rPr>
                <w:sz w:val="22"/>
                <w:szCs w:val="22"/>
              </w:rPr>
            </w:pPr>
            <w:r w:rsidRPr="0088758E">
              <w:rPr>
                <w:sz w:val="22"/>
                <w:szCs w:val="22"/>
              </w:rPr>
              <w:t>STANDARD SCREEN         FEE</w:t>
            </w:r>
          </w:p>
        </w:tc>
        <w:tc>
          <w:tcPr>
            <w:tcW w:w="1820" w:type="dxa"/>
          </w:tcPr>
          <w:p w:rsidR="0088758E" w:rsidRPr="0088758E" w:rsidRDefault="0088758E" w:rsidP="0088758E">
            <w:pPr>
              <w:spacing w:after="240" w:line="240" w:lineRule="auto"/>
              <w:rPr>
                <w:sz w:val="22"/>
                <w:szCs w:val="22"/>
              </w:rPr>
            </w:pPr>
            <w:r w:rsidRPr="0088758E">
              <w:rPr>
                <w:sz w:val="22"/>
                <w:szCs w:val="22"/>
              </w:rPr>
              <w:t>STANDARD BLOCK/EFRP FEE</w:t>
            </w:r>
          </w:p>
        </w:tc>
      </w:tr>
      <w:tr w:rsidR="0088758E" w:rsidRPr="0088758E" w:rsidTr="0088758E">
        <w:trPr>
          <w:trHeight w:val="255"/>
        </w:trPr>
        <w:tc>
          <w:tcPr>
            <w:tcW w:w="1340" w:type="dxa"/>
            <w:hideMark/>
          </w:tcPr>
          <w:p w:rsidR="0088758E" w:rsidRPr="0088758E" w:rsidRDefault="0088758E" w:rsidP="0088758E">
            <w:pPr>
              <w:spacing w:after="240" w:line="240" w:lineRule="auto"/>
              <w:rPr>
                <w:sz w:val="24"/>
                <w:szCs w:val="24"/>
              </w:rPr>
            </w:pPr>
            <w:r w:rsidRPr="0088758E">
              <w:rPr>
                <w:sz w:val="24"/>
                <w:szCs w:val="24"/>
              </w:rPr>
              <w:t>135</w:t>
            </w:r>
          </w:p>
        </w:tc>
        <w:tc>
          <w:tcPr>
            <w:tcW w:w="15220" w:type="dxa"/>
            <w:hideMark/>
          </w:tcPr>
          <w:p w:rsidR="0088758E" w:rsidRPr="0088758E" w:rsidRDefault="0088758E" w:rsidP="0088758E">
            <w:pPr>
              <w:spacing w:after="240" w:line="240" w:lineRule="auto"/>
              <w:rPr>
                <w:sz w:val="24"/>
                <w:szCs w:val="24"/>
              </w:rPr>
            </w:pPr>
            <w:r w:rsidRPr="0088758E">
              <w:rPr>
                <w:sz w:val="24"/>
                <w:szCs w:val="24"/>
              </w:rPr>
              <w:t>NFX (C.C.I.) Canadian Condensate (C5) Basis Futures (NC5)</w:t>
            </w:r>
          </w:p>
        </w:tc>
        <w:tc>
          <w:tcPr>
            <w:tcW w:w="1740" w:type="dxa"/>
            <w:hideMark/>
          </w:tcPr>
          <w:p w:rsidR="0088758E" w:rsidRPr="0088758E" w:rsidRDefault="0088758E" w:rsidP="0088758E">
            <w:pPr>
              <w:spacing w:after="240" w:line="240" w:lineRule="auto"/>
              <w:rPr>
                <w:sz w:val="24"/>
                <w:szCs w:val="24"/>
              </w:rPr>
            </w:pPr>
            <w:r w:rsidRPr="0088758E">
              <w:rPr>
                <w:sz w:val="24"/>
                <w:szCs w:val="24"/>
              </w:rPr>
              <w:t>$1.00</w:t>
            </w:r>
          </w:p>
        </w:tc>
        <w:tc>
          <w:tcPr>
            <w:tcW w:w="1820" w:type="dxa"/>
            <w:hideMark/>
          </w:tcPr>
          <w:p w:rsidR="0088758E" w:rsidRPr="0088758E" w:rsidRDefault="0088758E" w:rsidP="0088758E">
            <w:pPr>
              <w:spacing w:after="240" w:line="240" w:lineRule="auto"/>
              <w:rPr>
                <w:sz w:val="24"/>
                <w:szCs w:val="24"/>
              </w:rPr>
            </w:pPr>
            <w:r w:rsidRPr="0088758E">
              <w:rPr>
                <w:sz w:val="24"/>
                <w:szCs w:val="24"/>
              </w:rPr>
              <w:t>$1.00</w:t>
            </w:r>
          </w:p>
        </w:tc>
      </w:tr>
      <w:tr w:rsidR="0088758E" w:rsidRPr="0088758E" w:rsidTr="0088758E">
        <w:trPr>
          <w:trHeight w:val="255"/>
        </w:trPr>
        <w:tc>
          <w:tcPr>
            <w:tcW w:w="1340" w:type="dxa"/>
            <w:hideMark/>
          </w:tcPr>
          <w:p w:rsidR="0088758E" w:rsidRPr="0088758E" w:rsidRDefault="0088758E" w:rsidP="0088758E">
            <w:pPr>
              <w:spacing w:after="240" w:line="240" w:lineRule="auto"/>
              <w:rPr>
                <w:sz w:val="24"/>
                <w:szCs w:val="24"/>
              </w:rPr>
            </w:pPr>
            <w:r w:rsidRPr="0088758E">
              <w:rPr>
                <w:sz w:val="24"/>
                <w:szCs w:val="24"/>
              </w:rPr>
              <w:t>136</w:t>
            </w:r>
          </w:p>
        </w:tc>
        <w:tc>
          <w:tcPr>
            <w:tcW w:w="15220" w:type="dxa"/>
            <w:hideMark/>
          </w:tcPr>
          <w:p w:rsidR="00D27BBC" w:rsidRPr="00D27BBC" w:rsidRDefault="00D27BBC" w:rsidP="00D27BBC">
            <w:pPr>
              <w:spacing w:after="240" w:line="240" w:lineRule="auto"/>
              <w:rPr>
                <w:sz w:val="24"/>
                <w:szCs w:val="24"/>
              </w:rPr>
            </w:pPr>
            <w:r w:rsidRPr="00D27BBC">
              <w:rPr>
                <w:sz w:val="24"/>
                <w:szCs w:val="24"/>
              </w:rPr>
              <w:t>NFX (C.C.I.) Canadian Condensate (C5) Financial Futures (CCFQ)</w:t>
            </w:r>
          </w:p>
          <w:p w:rsidR="0088758E" w:rsidRPr="0088758E" w:rsidRDefault="0088758E" w:rsidP="0088758E">
            <w:pPr>
              <w:spacing w:after="240" w:line="240" w:lineRule="auto"/>
              <w:rPr>
                <w:sz w:val="24"/>
                <w:szCs w:val="24"/>
              </w:rPr>
            </w:pPr>
          </w:p>
        </w:tc>
        <w:tc>
          <w:tcPr>
            <w:tcW w:w="1740" w:type="dxa"/>
            <w:hideMark/>
          </w:tcPr>
          <w:p w:rsidR="0088758E" w:rsidRPr="0088758E" w:rsidRDefault="0088758E" w:rsidP="0088758E">
            <w:pPr>
              <w:spacing w:after="240" w:line="240" w:lineRule="auto"/>
              <w:rPr>
                <w:sz w:val="24"/>
                <w:szCs w:val="24"/>
              </w:rPr>
            </w:pPr>
            <w:r w:rsidRPr="0088758E">
              <w:rPr>
                <w:sz w:val="24"/>
                <w:szCs w:val="24"/>
              </w:rPr>
              <w:t>$1.00</w:t>
            </w:r>
          </w:p>
        </w:tc>
        <w:tc>
          <w:tcPr>
            <w:tcW w:w="1820" w:type="dxa"/>
            <w:hideMark/>
          </w:tcPr>
          <w:p w:rsidR="0088758E" w:rsidRPr="0088758E" w:rsidRDefault="0088758E" w:rsidP="0088758E">
            <w:pPr>
              <w:spacing w:after="240" w:line="240" w:lineRule="auto"/>
              <w:rPr>
                <w:sz w:val="24"/>
                <w:szCs w:val="24"/>
              </w:rPr>
            </w:pPr>
            <w:r w:rsidRPr="0088758E">
              <w:rPr>
                <w:sz w:val="24"/>
                <w:szCs w:val="24"/>
              </w:rPr>
              <w:t>$1.00</w:t>
            </w:r>
          </w:p>
        </w:tc>
      </w:tr>
      <w:tr w:rsidR="0088758E" w:rsidRPr="0088758E" w:rsidTr="0088758E">
        <w:trPr>
          <w:trHeight w:val="255"/>
        </w:trPr>
        <w:tc>
          <w:tcPr>
            <w:tcW w:w="1340" w:type="dxa"/>
            <w:hideMark/>
          </w:tcPr>
          <w:p w:rsidR="0088758E" w:rsidRPr="0088758E" w:rsidRDefault="0088758E" w:rsidP="0088758E">
            <w:pPr>
              <w:spacing w:after="240" w:line="240" w:lineRule="auto"/>
              <w:rPr>
                <w:sz w:val="24"/>
                <w:szCs w:val="24"/>
              </w:rPr>
            </w:pPr>
            <w:r w:rsidRPr="0088758E">
              <w:rPr>
                <w:sz w:val="24"/>
                <w:szCs w:val="24"/>
              </w:rPr>
              <w:t>137</w:t>
            </w:r>
          </w:p>
        </w:tc>
        <w:tc>
          <w:tcPr>
            <w:tcW w:w="15220" w:type="dxa"/>
            <w:hideMark/>
          </w:tcPr>
          <w:p w:rsidR="00D27BBC" w:rsidRPr="00D27BBC" w:rsidRDefault="00D27BBC" w:rsidP="00D27BBC">
            <w:pPr>
              <w:spacing w:after="240" w:line="240" w:lineRule="auto"/>
              <w:rPr>
                <w:sz w:val="24"/>
                <w:szCs w:val="24"/>
              </w:rPr>
            </w:pPr>
            <w:r w:rsidRPr="00D27BBC">
              <w:rPr>
                <w:sz w:val="24"/>
                <w:szCs w:val="24"/>
              </w:rPr>
              <w:t>NFX (C.C.I.) Canadian Light Sweet Crude Oil Basis Futures (NSW)</w:t>
            </w:r>
          </w:p>
          <w:p w:rsidR="0088758E" w:rsidRPr="0088758E" w:rsidRDefault="0088758E" w:rsidP="0088758E">
            <w:pPr>
              <w:spacing w:after="240" w:line="240" w:lineRule="auto"/>
              <w:rPr>
                <w:sz w:val="24"/>
                <w:szCs w:val="24"/>
              </w:rPr>
            </w:pPr>
          </w:p>
        </w:tc>
        <w:tc>
          <w:tcPr>
            <w:tcW w:w="1740" w:type="dxa"/>
            <w:hideMark/>
          </w:tcPr>
          <w:p w:rsidR="0088758E" w:rsidRPr="0088758E" w:rsidRDefault="0088758E" w:rsidP="0088758E">
            <w:pPr>
              <w:spacing w:after="240" w:line="240" w:lineRule="auto"/>
              <w:rPr>
                <w:sz w:val="24"/>
                <w:szCs w:val="24"/>
              </w:rPr>
            </w:pPr>
            <w:r w:rsidRPr="0088758E">
              <w:rPr>
                <w:sz w:val="24"/>
                <w:szCs w:val="24"/>
              </w:rPr>
              <w:t>$1.00</w:t>
            </w:r>
          </w:p>
        </w:tc>
        <w:tc>
          <w:tcPr>
            <w:tcW w:w="1820" w:type="dxa"/>
            <w:hideMark/>
          </w:tcPr>
          <w:p w:rsidR="0088758E" w:rsidRPr="0088758E" w:rsidRDefault="0088758E" w:rsidP="0088758E">
            <w:pPr>
              <w:spacing w:after="240" w:line="240" w:lineRule="auto"/>
              <w:rPr>
                <w:sz w:val="24"/>
                <w:szCs w:val="24"/>
              </w:rPr>
            </w:pPr>
            <w:r w:rsidRPr="0088758E">
              <w:rPr>
                <w:sz w:val="24"/>
                <w:szCs w:val="24"/>
              </w:rPr>
              <w:t>$1.00</w:t>
            </w:r>
          </w:p>
        </w:tc>
      </w:tr>
      <w:tr w:rsidR="0088758E" w:rsidRPr="0088758E" w:rsidTr="0088758E">
        <w:trPr>
          <w:trHeight w:val="255"/>
        </w:trPr>
        <w:tc>
          <w:tcPr>
            <w:tcW w:w="1340" w:type="dxa"/>
            <w:hideMark/>
          </w:tcPr>
          <w:p w:rsidR="0088758E" w:rsidRPr="0088758E" w:rsidRDefault="0088758E" w:rsidP="0088758E">
            <w:pPr>
              <w:spacing w:after="240" w:line="240" w:lineRule="auto"/>
              <w:rPr>
                <w:sz w:val="24"/>
                <w:szCs w:val="24"/>
              </w:rPr>
            </w:pPr>
            <w:r w:rsidRPr="0088758E">
              <w:rPr>
                <w:sz w:val="24"/>
                <w:szCs w:val="24"/>
              </w:rPr>
              <w:t>138</w:t>
            </w:r>
          </w:p>
        </w:tc>
        <w:tc>
          <w:tcPr>
            <w:tcW w:w="15220" w:type="dxa"/>
            <w:hideMark/>
          </w:tcPr>
          <w:p w:rsidR="00D27BBC" w:rsidRPr="00D27BBC" w:rsidRDefault="00D27BBC" w:rsidP="00D27BBC">
            <w:pPr>
              <w:spacing w:after="240" w:line="240" w:lineRule="auto"/>
              <w:rPr>
                <w:sz w:val="24"/>
                <w:szCs w:val="24"/>
              </w:rPr>
            </w:pPr>
            <w:r w:rsidRPr="00D27BBC">
              <w:rPr>
                <w:sz w:val="24"/>
                <w:szCs w:val="24"/>
              </w:rPr>
              <w:t>NFX (C.C.I.) Canadian Light Sweet Crude Oil Financial Futures (CSWQ)</w:t>
            </w:r>
          </w:p>
          <w:p w:rsidR="0088758E" w:rsidRPr="0088758E" w:rsidRDefault="0088758E" w:rsidP="0088758E">
            <w:pPr>
              <w:spacing w:after="240" w:line="240" w:lineRule="auto"/>
              <w:rPr>
                <w:sz w:val="24"/>
                <w:szCs w:val="24"/>
              </w:rPr>
            </w:pPr>
          </w:p>
        </w:tc>
        <w:tc>
          <w:tcPr>
            <w:tcW w:w="1740" w:type="dxa"/>
            <w:hideMark/>
          </w:tcPr>
          <w:p w:rsidR="0088758E" w:rsidRPr="0088758E" w:rsidRDefault="0088758E" w:rsidP="0088758E">
            <w:pPr>
              <w:spacing w:after="240" w:line="240" w:lineRule="auto"/>
              <w:rPr>
                <w:sz w:val="24"/>
                <w:szCs w:val="24"/>
              </w:rPr>
            </w:pPr>
            <w:r w:rsidRPr="0088758E">
              <w:rPr>
                <w:sz w:val="24"/>
                <w:szCs w:val="24"/>
              </w:rPr>
              <w:t>$1.00</w:t>
            </w:r>
          </w:p>
        </w:tc>
        <w:tc>
          <w:tcPr>
            <w:tcW w:w="1820" w:type="dxa"/>
            <w:hideMark/>
          </w:tcPr>
          <w:p w:rsidR="0088758E" w:rsidRPr="0088758E" w:rsidRDefault="0088758E" w:rsidP="0088758E">
            <w:pPr>
              <w:spacing w:after="240" w:line="240" w:lineRule="auto"/>
              <w:rPr>
                <w:sz w:val="24"/>
                <w:szCs w:val="24"/>
              </w:rPr>
            </w:pPr>
            <w:r w:rsidRPr="0088758E">
              <w:rPr>
                <w:sz w:val="24"/>
                <w:szCs w:val="24"/>
              </w:rPr>
              <w:t>$1.00</w:t>
            </w:r>
          </w:p>
        </w:tc>
      </w:tr>
      <w:tr w:rsidR="0088758E" w:rsidRPr="0088758E" w:rsidTr="0088758E">
        <w:trPr>
          <w:trHeight w:val="255"/>
        </w:trPr>
        <w:tc>
          <w:tcPr>
            <w:tcW w:w="1340" w:type="dxa"/>
            <w:hideMark/>
          </w:tcPr>
          <w:p w:rsidR="0088758E" w:rsidRPr="0088758E" w:rsidRDefault="0088758E" w:rsidP="0088758E">
            <w:pPr>
              <w:spacing w:after="240" w:line="240" w:lineRule="auto"/>
              <w:rPr>
                <w:sz w:val="24"/>
                <w:szCs w:val="24"/>
              </w:rPr>
            </w:pPr>
            <w:r w:rsidRPr="0088758E">
              <w:rPr>
                <w:sz w:val="24"/>
                <w:szCs w:val="24"/>
              </w:rPr>
              <w:t>139</w:t>
            </w:r>
          </w:p>
        </w:tc>
        <w:tc>
          <w:tcPr>
            <w:tcW w:w="15220" w:type="dxa"/>
            <w:hideMark/>
          </w:tcPr>
          <w:p w:rsidR="00D27BBC" w:rsidRPr="00D27BBC" w:rsidRDefault="00D27BBC" w:rsidP="00D27BBC">
            <w:pPr>
              <w:spacing w:after="240" w:line="240" w:lineRule="auto"/>
              <w:rPr>
                <w:sz w:val="24"/>
                <w:szCs w:val="24"/>
              </w:rPr>
            </w:pPr>
            <w:r w:rsidRPr="00D27BBC">
              <w:rPr>
                <w:sz w:val="24"/>
                <w:szCs w:val="24"/>
              </w:rPr>
              <w:t>NFX (C.C.I.) Canadian Light Sour Blend Crude Oil Basis Futures (NSR)</w:t>
            </w:r>
          </w:p>
          <w:p w:rsidR="0088758E" w:rsidRPr="0088758E" w:rsidRDefault="0088758E" w:rsidP="0088758E">
            <w:pPr>
              <w:spacing w:after="240" w:line="240" w:lineRule="auto"/>
              <w:rPr>
                <w:sz w:val="24"/>
                <w:szCs w:val="24"/>
              </w:rPr>
            </w:pPr>
          </w:p>
        </w:tc>
        <w:tc>
          <w:tcPr>
            <w:tcW w:w="1740" w:type="dxa"/>
            <w:hideMark/>
          </w:tcPr>
          <w:p w:rsidR="0088758E" w:rsidRPr="0088758E" w:rsidRDefault="0088758E" w:rsidP="0088758E">
            <w:pPr>
              <w:spacing w:after="240" w:line="240" w:lineRule="auto"/>
              <w:rPr>
                <w:sz w:val="24"/>
                <w:szCs w:val="24"/>
              </w:rPr>
            </w:pPr>
            <w:r w:rsidRPr="0088758E">
              <w:rPr>
                <w:sz w:val="24"/>
                <w:szCs w:val="24"/>
              </w:rPr>
              <w:t>$1.00</w:t>
            </w:r>
          </w:p>
        </w:tc>
        <w:tc>
          <w:tcPr>
            <w:tcW w:w="1820" w:type="dxa"/>
            <w:hideMark/>
          </w:tcPr>
          <w:p w:rsidR="0088758E" w:rsidRPr="0088758E" w:rsidRDefault="0088758E" w:rsidP="0088758E">
            <w:pPr>
              <w:spacing w:after="240" w:line="240" w:lineRule="auto"/>
              <w:rPr>
                <w:sz w:val="24"/>
                <w:szCs w:val="24"/>
              </w:rPr>
            </w:pPr>
            <w:r w:rsidRPr="0088758E">
              <w:rPr>
                <w:sz w:val="24"/>
                <w:szCs w:val="24"/>
              </w:rPr>
              <w:t>$1.00</w:t>
            </w:r>
          </w:p>
        </w:tc>
      </w:tr>
      <w:tr w:rsidR="0088758E" w:rsidRPr="0088758E" w:rsidTr="0088758E">
        <w:trPr>
          <w:trHeight w:val="255"/>
        </w:trPr>
        <w:tc>
          <w:tcPr>
            <w:tcW w:w="1340" w:type="dxa"/>
            <w:hideMark/>
          </w:tcPr>
          <w:p w:rsidR="0088758E" w:rsidRPr="0088758E" w:rsidRDefault="0088758E" w:rsidP="0088758E">
            <w:pPr>
              <w:spacing w:after="240" w:line="240" w:lineRule="auto"/>
              <w:rPr>
                <w:sz w:val="24"/>
                <w:szCs w:val="24"/>
              </w:rPr>
            </w:pPr>
            <w:r w:rsidRPr="0088758E">
              <w:rPr>
                <w:sz w:val="24"/>
                <w:szCs w:val="24"/>
              </w:rPr>
              <w:t>140</w:t>
            </w:r>
          </w:p>
        </w:tc>
        <w:tc>
          <w:tcPr>
            <w:tcW w:w="15220" w:type="dxa"/>
            <w:hideMark/>
          </w:tcPr>
          <w:p w:rsidR="00D27BBC" w:rsidRPr="00D27BBC" w:rsidRDefault="00D27BBC" w:rsidP="00D27BBC">
            <w:pPr>
              <w:spacing w:after="240" w:line="240" w:lineRule="auto"/>
              <w:rPr>
                <w:sz w:val="24"/>
                <w:szCs w:val="24"/>
              </w:rPr>
            </w:pPr>
            <w:r w:rsidRPr="00D27BBC">
              <w:rPr>
                <w:sz w:val="24"/>
                <w:szCs w:val="24"/>
              </w:rPr>
              <w:t>NFX (C.C.I.) Canadian Light Sour Blend Crude Oil Financial Futures (CSDQ)</w:t>
            </w:r>
          </w:p>
          <w:p w:rsidR="0088758E" w:rsidRPr="0088758E" w:rsidRDefault="0088758E" w:rsidP="0088758E">
            <w:pPr>
              <w:spacing w:after="240" w:line="240" w:lineRule="auto"/>
              <w:rPr>
                <w:sz w:val="24"/>
                <w:szCs w:val="24"/>
              </w:rPr>
            </w:pPr>
          </w:p>
        </w:tc>
        <w:tc>
          <w:tcPr>
            <w:tcW w:w="1740" w:type="dxa"/>
            <w:hideMark/>
          </w:tcPr>
          <w:p w:rsidR="0088758E" w:rsidRPr="0088758E" w:rsidRDefault="0088758E" w:rsidP="0088758E">
            <w:pPr>
              <w:spacing w:after="240" w:line="240" w:lineRule="auto"/>
              <w:rPr>
                <w:sz w:val="24"/>
                <w:szCs w:val="24"/>
              </w:rPr>
            </w:pPr>
            <w:r w:rsidRPr="0088758E">
              <w:rPr>
                <w:sz w:val="24"/>
                <w:szCs w:val="24"/>
              </w:rPr>
              <w:t>$1.00</w:t>
            </w:r>
          </w:p>
        </w:tc>
        <w:tc>
          <w:tcPr>
            <w:tcW w:w="1820" w:type="dxa"/>
            <w:hideMark/>
          </w:tcPr>
          <w:p w:rsidR="0088758E" w:rsidRPr="0088758E" w:rsidRDefault="0088758E" w:rsidP="0088758E">
            <w:pPr>
              <w:spacing w:after="240" w:line="240" w:lineRule="auto"/>
              <w:rPr>
                <w:sz w:val="24"/>
                <w:szCs w:val="24"/>
              </w:rPr>
            </w:pPr>
            <w:r w:rsidRPr="0088758E">
              <w:rPr>
                <w:sz w:val="24"/>
                <w:szCs w:val="24"/>
              </w:rPr>
              <w:t>$1.00</w:t>
            </w:r>
          </w:p>
        </w:tc>
      </w:tr>
      <w:tr w:rsidR="0088758E" w:rsidRPr="0088758E" w:rsidTr="0088758E">
        <w:trPr>
          <w:trHeight w:val="255"/>
        </w:trPr>
        <w:tc>
          <w:tcPr>
            <w:tcW w:w="1340" w:type="dxa"/>
            <w:hideMark/>
          </w:tcPr>
          <w:p w:rsidR="0088758E" w:rsidRPr="0088758E" w:rsidRDefault="0088758E" w:rsidP="0088758E">
            <w:pPr>
              <w:spacing w:after="240" w:line="240" w:lineRule="auto"/>
              <w:rPr>
                <w:sz w:val="24"/>
                <w:szCs w:val="24"/>
              </w:rPr>
            </w:pPr>
            <w:r w:rsidRPr="0088758E">
              <w:rPr>
                <w:sz w:val="24"/>
                <w:szCs w:val="24"/>
              </w:rPr>
              <w:t>141</w:t>
            </w:r>
          </w:p>
        </w:tc>
        <w:tc>
          <w:tcPr>
            <w:tcW w:w="15220" w:type="dxa"/>
            <w:hideMark/>
          </w:tcPr>
          <w:p w:rsidR="00D27BBC" w:rsidRPr="00D27BBC" w:rsidRDefault="00D27BBC" w:rsidP="00D27BBC">
            <w:pPr>
              <w:spacing w:after="240" w:line="240" w:lineRule="auto"/>
              <w:rPr>
                <w:sz w:val="24"/>
                <w:szCs w:val="24"/>
              </w:rPr>
            </w:pPr>
            <w:r w:rsidRPr="00D27BBC">
              <w:rPr>
                <w:sz w:val="24"/>
                <w:szCs w:val="24"/>
              </w:rPr>
              <w:t>NFX (C.C.I.) Canadian Synthetic Sweet Crude Oil Basis Futures (NSP)</w:t>
            </w:r>
          </w:p>
          <w:p w:rsidR="0088758E" w:rsidRPr="0088758E" w:rsidRDefault="0088758E" w:rsidP="0088758E">
            <w:pPr>
              <w:spacing w:after="240" w:line="240" w:lineRule="auto"/>
              <w:rPr>
                <w:sz w:val="24"/>
                <w:szCs w:val="24"/>
              </w:rPr>
            </w:pPr>
          </w:p>
        </w:tc>
        <w:tc>
          <w:tcPr>
            <w:tcW w:w="1740" w:type="dxa"/>
            <w:hideMark/>
          </w:tcPr>
          <w:p w:rsidR="0088758E" w:rsidRPr="0088758E" w:rsidRDefault="0088758E" w:rsidP="0088758E">
            <w:pPr>
              <w:spacing w:after="240" w:line="240" w:lineRule="auto"/>
              <w:rPr>
                <w:sz w:val="24"/>
                <w:szCs w:val="24"/>
              </w:rPr>
            </w:pPr>
            <w:r w:rsidRPr="0088758E">
              <w:rPr>
                <w:sz w:val="24"/>
                <w:szCs w:val="24"/>
              </w:rPr>
              <w:t>$1.00</w:t>
            </w:r>
          </w:p>
        </w:tc>
        <w:tc>
          <w:tcPr>
            <w:tcW w:w="1820" w:type="dxa"/>
            <w:hideMark/>
          </w:tcPr>
          <w:p w:rsidR="0088758E" w:rsidRPr="0088758E" w:rsidRDefault="0088758E" w:rsidP="0088758E">
            <w:pPr>
              <w:spacing w:after="240" w:line="240" w:lineRule="auto"/>
              <w:rPr>
                <w:sz w:val="24"/>
                <w:szCs w:val="24"/>
              </w:rPr>
            </w:pPr>
            <w:r w:rsidRPr="0088758E">
              <w:rPr>
                <w:sz w:val="24"/>
                <w:szCs w:val="24"/>
              </w:rPr>
              <w:t>$1.00</w:t>
            </w:r>
          </w:p>
        </w:tc>
      </w:tr>
      <w:tr w:rsidR="0088758E" w:rsidRPr="0088758E" w:rsidTr="0088758E">
        <w:trPr>
          <w:trHeight w:val="255"/>
        </w:trPr>
        <w:tc>
          <w:tcPr>
            <w:tcW w:w="1340" w:type="dxa"/>
            <w:hideMark/>
          </w:tcPr>
          <w:p w:rsidR="0088758E" w:rsidRPr="0088758E" w:rsidRDefault="0088758E" w:rsidP="0088758E">
            <w:pPr>
              <w:spacing w:after="240" w:line="240" w:lineRule="auto"/>
              <w:rPr>
                <w:sz w:val="24"/>
                <w:szCs w:val="24"/>
              </w:rPr>
            </w:pPr>
            <w:r w:rsidRPr="0088758E">
              <w:rPr>
                <w:sz w:val="24"/>
                <w:szCs w:val="24"/>
              </w:rPr>
              <w:t>142</w:t>
            </w:r>
          </w:p>
        </w:tc>
        <w:tc>
          <w:tcPr>
            <w:tcW w:w="15220" w:type="dxa"/>
            <w:hideMark/>
          </w:tcPr>
          <w:p w:rsidR="00D27BBC" w:rsidRPr="00D27BBC" w:rsidRDefault="00D27BBC" w:rsidP="00D27BBC">
            <w:pPr>
              <w:spacing w:after="240" w:line="240" w:lineRule="auto"/>
              <w:rPr>
                <w:sz w:val="24"/>
                <w:szCs w:val="24"/>
              </w:rPr>
            </w:pPr>
            <w:r w:rsidRPr="00D27BBC">
              <w:rPr>
                <w:sz w:val="24"/>
                <w:szCs w:val="24"/>
              </w:rPr>
              <w:t>NFX (C.C.I.) Canadian Synthetic Sweet Crude Oil Financial Futures (CSNQ)</w:t>
            </w:r>
          </w:p>
          <w:p w:rsidR="0088758E" w:rsidRPr="0088758E" w:rsidRDefault="0088758E" w:rsidP="0088758E">
            <w:pPr>
              <w:spacing w:after="240" w:line="240" w:lineRule="auto"/>
              <w:rPr>
                <w:sz w:val="24"/>
                <w:szCs w:val="24"/>
              </w:rPr>
            </w:pPr>
          </w:p>
        </w:tc>
        <w:tc>
          <w:tcPr>
            <w:tcW w:w="1740" w:type="dxa"/>
            <w:hideMark/>
          </w:tcPr>
          <w:p w:rsidR="0088758E" w:rsidRPr="0088758E" w:rsidRDefault="0088758E" w:rsidP="0088758E">
            <w:pPr>
              <w:spacing w:after="240" w:line="240" w:lineRule="auto"/>
              <w:rPr>
                <w:sz w:val="24"/>
                <w:szCs w:val="24"/>
              </w:rPr>
            </w:pPr>
            <w:r w:rsidRPr="0088758E">
              <w:rPr>
                <w:sz w:val="24"/>
                <w:szCs w:val="24"/>
              </w:rPr>
              <w:t>$1.00</w:t>
            </w:r>
          </w:p>
        </w:tc>
        <w:tc>
          <w:tcPr>
            <w:tcW w:w="1820" w:type="dxa"/>
            <w:hideMark/>
          </w:tcPr>
          <w:p w:rsidR="0088758E" w:rsidRPr="0088758E" w:rsidRDefault="0088758E" w:rsidP="0088758E">
            <w:pPr>
              <w:spacing w:after="240" w:line="240" w:lineRule="auto"/>
              <w:rPr>
                <w:sz w:val="24"/>
                <w:szCs w:val="24"/>
              </w:rPr>
            </w:pPr>
            <w:r w:rsidRPr="0088758E">
              <w:rPr>
                <w:sz w:val="24"/>
                <w:szCs w:val="24"/>
              </w:rPr>
              <w:t>$1.00</w:t>
            </w:r>
          </w:p>
        </w:tc>
      </w:tr>
      <w:tr w:rsidR="0088758E" w:rsidRPr="0088758E" w:rsidTr="0088758E">
        <w:trPr>
          <w:trHeight w:val="255"/>
        </w:trPr>
        <w:tc>
          <w:tcPr>
            <w:tcW w:w="1340" w:type="dxa"/>
            <w:hideMark/>
          </w:tcPr>
          <w:p w:rsidR="0088758E" w:rsidRPr="0088758E" w:rsidRDefault="0088758E" w:rsidP="0088758E">
            <w:pPr>
              <w:spacing w:after="240" w:line="240" w:lineRule="auto"/>
              <w:rPr>
                <w:sz w:val="24"/>
                <w:szCs w:val="24"/>
              </w:rPr>
            </w:pPr>
            <w:r w:rsidRPr="0088758E">
              <w:rPr>
                <w:sz w:val="24"/>
                <w:szCs w:val="24"/>
              </w:rPr>
              <w:lastRenderedPageBreak/>
              <w:t>143</w:t>
            </w:r>
          </w:p>
        </w:tc>
        <w:tc>
          <w:tcPr>
            <w:tcW w:w="15220" w:type="dxa"/>
            <w:hideMark/>
          </w:tcPr>
          <w:p w:rsidR="00D27BBC" w:rsidRPr="00D27BBC" w:rsidRDefault="00D27BBC" w:rsidP="00D27BBC">
            <w:pPr>
              <w:spacing w:after="240" w:line="240" w:lineRule="auto"/>
              <w:rPr>
                <w:sz w:val="24"/>
                <w:szCs w:val="24"/>
              </w:rPr>
            </w:pPr>
            <w:r w:rsidRPr="00D27BBC">
              <w:rPr>
                <w:sz w:val="24"/>
                <w:szCs w:val="24"/>
              </w:rPr>
              <w:t>NFX (C.C.I.) Western Canadian Select Crude Oil Basis Futures (NWC)</w:t>
            </w:r>
          </w:p>
          <w:p w:rsidR="0088758E" w:rsidRPr="0088758E" w:rsidRDefault="0088758E" w:rsidP="0088758E">
            <w:pPr>
              <w:spacing w:after="240" w:line="240" w:lineRule="auto"/>
              <w:rPr>
                <w:sz w:val="24"/>
                <w:szCs w:val="24"/>
              </w:rPr>
            </w:pPr>
          </w:p>
        </w:tc>
        <w:tc>
          <w:tcPr>
            <w:tcW w:w="1740" w:type="dxa"/>
            <w:hideMark/>
          </w:tcPr>
          <w:p w:rsidR="0088758E" w:rsidRPr="0088758E" w:rsidRDefault="0088758E" w:rsidP="0088758E">
            <w:pPr>
              <w:spacing w:after="240" w:line="240" w:lineRule="auto"/>
              <w:rPr>
                <w:sz w:val="24"/>
                <w:szCs w:val="24"/>
              </w:rPr>
            </w:pPr>
            <w:r w:rsidRPr="0088758E">
              <w:rPr>
                <w:sz w:val="24"/>
                <w:szCs w:val="24"/>
              </w:rPr>
              <w:t>$1.00</w:t>
            </w:r>
          </w:p>
        </w:tc>
        <w:tc>
          <w:tcPr>
            <w:tcW w:w="1820" w:type="dxa"/>
            <w:hideMark/>
          </w:tcPr>
          <w:p w:rsidR="0088758E" w:rsidRPr="0088758E" w:rsidRDefault="0088758E" w:rsidP="0088758E">
            <w:pPr>
              <w:spacing w:after="240" w:line="240" w:lineRule="auto"/>
              <w:rPr>
                <w:sz w:val="24"/>
                <w:szCs w:val="24"/>
              </w:rPr>
            </w:pPr>
            <w:r w:rsidRPr="0088758E">
              <w:rPr>
                <w:sz w:val="24"/>
                <w:szCs w:val="24"/>
              </w:rPr>
              <w:t>$1.00</w:t>
            </w:r>
          </w:p>
        </w:tc>
      </w:tr>
      <w:tr w:rsidR="0088758E" w:rsidRPr="0088758E" w:rsidTr="0088758E">
        <w:trPr>
          <w:trHeight w:val="255"/>
        </w:trPr>
        <w:tc>
          <w:tcPr>
            <w:tcW w:w="1340" w:type="dxa"/>
            <w:hideMark/>
          </w:tcPr>
          <w:p w:rsidR="0088758E" w:rsidRPr="0088758E" w:rsidRDefault="0088758E" w:rsidP="0088758E">
            <w:pPr>
              <w:spacing w:after="240" w:line="240" w:lineRule="auto"/>
              <w:rPr>
                <w:sz w:val="24"/>
                <w:szCs w:val="24"/>
              </w:rPr>
            </w:pPr>
            <w:r w:rsidRPr="0088758E">
              <w:rPr>
                <w:sz w:val="24"/>
                <w:szCs w:val="24"/>
              </w:rPr>
              <w:t>144</w:t>
            </w:r>
          </w:p>
        </w:tc>
        <w:tc>
          <w:tcPr>
            <w:tcW w:w="15220" w:type="dxa"/>
            <w:hideMark/>
          </w:tcPr>
          <w:p w:rsidR="00D27BBC" w:rsidRPr="00D27BBC" w:rsidRDefault="00D27BBC" w:rsidP="00D27BBC">
            <w:pPr>
              <w:spacing w:after="240" w:line="240" w:lineRule="auto"/>
              <w:rPr>
                <w:sz w:val="24"/>
                <w:szCs w:val="24"/>
              </w:rPr>
            </w:pPr>
            <w:r w:rsidRPr="00D27BBC">
              <w:rPr>
                <w:sz w:val="24"/>
                <w:szCs w:val="24"/>
              </w:rPr>
              <w:t>NFX (C.C.I.) Western Canadian Select Crude Oil Financial Futures (CHYQ)</w:t>
            </w:r>
          </w:p>
          <w:p w:rsidR="0088758E" w:rsidRPr="0088758E" w:rsidRDefault="0088758E" w:rsidP="0088758E">
            <w:pPr>
              <w:spacing w:after="240" w:line="240" w:lineRule="auto"/>
              <w:rPr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1740" w:type="dxa"/>
            <w:hideMark/>
          </w:tcPr>
          <w:p w:rsidR="0088758E" w:rsidRPr="0088758E" w:rsidRDefault="0088758E" w:rsidP="0088758E">
            <w:pPr>
              <w:spacing w:after="240" w:line="240" w:lineRule="auto"/>
              <w:rPr>
                <w:sz w:val="24"/>
                <w:szCs w:val="24"/>
              </w:rPr>
            </w:pPr>
            <w:r w:rsidRPr="0088758E">
              <w:rPr>
                <w:sz w:val="24"/>
                <w:szCs w:val="24"/>
              </w:rPr>
              <w:t>$1.00</w:t>
            </w:r>
          </w:p>
        </w:tc>
        <w:tc>
          <w:tcPr>
            <w:tcW w:w="1820" w:type="dxa"/>
            <w:hideMark/>
          </w:tcPr>
          <w:p w:rsidR="0088758E" w:rsidRPr="0088758E" w:rsidRDefault="0088758E" w:rsidP="0088758E">
            <w:pPr>
              <w:spacing w:after="240" w:line="240" w:lineRule="auto"/>
              <w:rPr>
                <w:sz w:val="24"/>
                <w:szCs w:val="24"/>
              </w:rPr>
            </w:pPr>
            <w:r w:rsidRPr="0088758E">
              <w:rPr>
                <w:sz w:val="24"/>
                <w:szCs w:val="24"/>
              </w:rPr>
              <w:t>$1.00</w:t>
            </w:r>
          </w:p>
        </w:tc>
      </w:tr>
    </w:tbl>
    <w:p w:rsidR="0088758E" w:rsidRPr="003D588E" w:rsidRDefault="0088758E" w:rsidP="008B416C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sectPr w:rsidR="0088758E" w:rsidRPr="003D5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1C0" w:rsidRDefault="006F51C0" w:rsidP="00154462">
      <w:pPr>
        <w:spacing w:after="0" w:line="240" w:lineRule="auto"/>
      </w:pPr>
      <w:r>
        <w:separator/>
      </w:r>
    </w:p>
  </w:endnote>
  <w:endnote w:type="continuationSeparator" w:id="0">
    <w:p w:rsidR="006F51C0" w:rsidRDefault="006F51C0" w:rsidP="00154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1C0" w:rsidRDefault="006F51C0" w:rsidP="00154462">
      <w:pPr>
        <w:spacing w:after="0" w:line="240" w:lineRule="auto"/>
      </w:pPr>
      <w:r>
        <w:separator/>
      </w:r>
    </w:p>
  </w:footnote>
  <w:footnote w:type="continuationSeparator" w:id="0">
    <w:p w:rsidR="006F51C0" w:rsidRDefault="006F51C0" w:rsidP="00154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9AB" w:rsidRPr="00161E66" w:rsidRDefault="000959AB" w:rsidP="000959AB">
    <w:pPr>
      <w:pStyle w:val="Header"/>
      <w:spacing w:before="0" w:line="240" w:lineRule="auto"/>
      <w:ind w:right="0"/>
      <w:rPr>
        <w:rFonts w:ascii="Times New Roman" w:hAnsi="Times New Roman"/>
        <w:sz w:val="24"/>
        <w:szCs w:val="24"/>
      </w:rPr>
    </w:pPr>
    <w:r w:rsidRPr="00161E66">
      <w:rPr>
        <w:rFonts w:ascii="Times New Roman" w:hAnsi="Times New Roman"/>
        <w:sz w:val="24"/>
        <w:szCs w:val="24"/>
      </w:rPr>
      <w:t>SR-NFX-2018-</w:t>
    </w:r>
    <w:r w:rsidR="00387BE6">
      <w:rPr>
        <w:rFonts w:ascii="Times New Roman" w:hAnsi="Times New Roman"/>
        <w:sz w:val="24"/>
        <w:szCs w:val="24"/>
      </w:rPr>
      <w:t>52</w:t>
    </w:r>
    <w:r w:rsidRPr="00161E66">
      <w:rPr>
        <w:rFonts w:ascii="Times New Roman" w:hAnsi="Times New Roman"/>
        <w:sz w:val="24"/>
        <w:szCs w:val="24"/>
      </w:rPr>
      <w:t xml:space="preserve"> Exhibit A</w:t>
    </w:r>
  </w:p>
  <w:p w:rsidR="000959AB" w:rsidRPr="00161E66" w:rsidRDefault="000959AB" w:rsidP="000959AB">
    <w:pPr>
      <w:pStyle w:val="Header"/>
      <w:spacing w:before="0" w:line="240" w:lineRule="auto"/>
      <w:ind w:right="0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B4CF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7AEB8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80C9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8292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2E88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2E85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182A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EA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545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82E8BA"/>
    <w:lvl w:ilvl="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</w:abstractNum>
  <w:abstractNum w:abstractNumId="10" w15:restartNumberingAfterBreak="0">
    <w:nsid w:val="23FD4CE7"/>
    <w:multiLevelType w:val="hybridMultilevel"/>
    <w:tmpl w:val="D430CF0A"/>
    <w:lvl w:ilvl="0" w:tplc="2744AE76">
      <w:start w:val="1"/>
      <w:numFmt w:val="bullet"/>
      <w:pStyle w:val="TableBulletlis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968E48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0059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C6E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24A1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E643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F243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DAA0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901D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9297E"/>
    <w:multiLevelType w:val="hybridMultilevel"/>
    <w:tmpl w:val="08B8C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12F3C"/>
    <w:multiLevelType w:val="hybridMultilevel"/>
    <w:tmpl w:val="D054DE18"/>
    <w:lvl w:ilvl="0" w:tplc="C1B827F4">
      <w:start w:val="1"/>
      <w:numFmt w:val="decimal"/>
      <w:pStyle w:val="TableNumberlist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1180B5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0AEB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AED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823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DE81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ACC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DAC5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42C6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3D3681"/>
    <w:multiLevelType w:val="multilevel"/>
    <w:tmpl w:val="202445AA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AA115A"/>
    <w:multiLevelType w:val="multilevel"/>
    <w:tmpl w:val="E0F25DB4"/>
    <w:lvl w:ilvl="0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113548"/>
    <w:multiLevelType w:val="multilevel"/>
    <w:tmpl w:val="4F3AB414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D832AE"/>
    <w:multiLevelType w:val="hybridMultilevel"/>
    <w:tmpl w:val="D806D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2D0048"/>
    <w:multiLevelType w:val="hybridMultilevel"/>
    <w:tmpl w:val="20A2717A"/>
    <w:lvl w:ilvl="0" w:tplc="7CEE564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2A22C9"/>
    <w:multiLevelType w:val="hybridMultilevel"/>
    <w:tmpl w:val="31A278F2"/>
    <w:lvl w:ilvl="0" w:tplc="71CE46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8E32A7"/>
    <w:multiLevelType w:val="singleLevel"/>
    <w:tmpl w:val="26364A84"/>
    <w:lvl w:ilvl="0">
      <w:start w:val="1"/>
      <w:numFmt w:val="bullet"/>
      <w:pStyle w:val="List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</w:abstractNum>
  <w:abstractNum w:abstractNumId="20" w15:restartNumberingAfterBreak="0">
    <w:nsid w:val="721D1FF7"/>
    <w:multiLevelType w:val="hybridMultilevel"/>
    <w:tmpl w:val="51327A2A"/>
    <w:lvl w:ilvl="0" w:tplc="040822AA">
      <w:numFmt w:val="bullet"/>
      <w:lvlText w:val=""/>
      <w:lvlJc w:val="left"/>
      <w:pPr>
        <w:ind w:left="153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1" w15:restartNumberingAfterBreak="0">
    <w:nsid w:val="7505087F"/>
    <w:multiLevelType w:val="hybridMultilevel"/>
    <w:tmpl w:val="A71C790C"/>
    <w:lvl w:ilvl="0" w:tplc="578622CE">
      <w:start w:val="1"/>
      <w:numFmt w:val="decimal"/>
      <w:pStyle w:val="ListNumber"/>
      <w:lvlText w:val="%1.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b w:val="0"/>
        <w:i w:val="0"/>
        <w:sz w:val="18"/>
        <w:szCs w:val="18"/>
      </w:rPr>
    </w:lvl>
    <w:lvl w:ilvl="1" w:tplc="8446E1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6EA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6C1F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A29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5A9F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E69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5A27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C43C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835EC7"/>
    <w:multiLevelType w:val="hybridMultilevel"/>
    <w:tmpl w:val="8A569372"/>
    <w:lvl w:ilvl="0" w:tplc="AB5211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21"/>
  </w:num>
  <w:num w:numId="5">
    <w:abstractNumId w:val="15"/>
  </w:num>
  <w:num w:numId="6">
    <w:abstractNumId w:val="14"/>
  </w:num>
  <w:num w:numId="7">
    <w:abstractNumId w:val="13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19"/>
  </w:num>
  <w:num w:numId="18">
    <w:abstractNumId w:val="18"/>
  </w:num>
  <w:num w:numId="19">
    <w:abstractNumId w:val="20"/>
  </w:num>
  <w:num w:numId="20">
    <w:abstractNumId w:val="16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62"/>
    <w:rsid w:val="00014945"/>
    <w:rsid w:val="000959AB"/>
    <w:rsid w:val="000D2872"/>
    <w:rsid w:val="00107618"/>
    <w:rsid w:val="0012529D"/>
    <w:rsid w:val="00154462"/>
    <w:rsid w:val="00166978"/>
    <w:rsid w:val="001A3882"/>
    <w:rsid w:val="001A62F0"/>
    <w:rsid w:val="001E29F0"/>
    <w:rsid w:val="001E4D23"/>
    <w:rsid w:val="00230133"/>
    <w:rsid w:val="00250777"/>
    <w:rsid w:val="002648E7"/>
    <w:rsid w:val="00385E01"/>
    <w:rsid w:val="00387BE6"/>
    <w:rsid w:val="003A0353"/>
    <w:rsid w:val="003D588E"/>
    <w:rsid w:val="003D77AB"/>
    <w:rsid w:val="003F0FAB"/>
    <w:rsid w:val="004F2969"/>
    <w:rsid w:val="005041FF"/>
    <w:rsid w:val="00530CE6"/>
    <w:rsid w:val="005B30E4"/>
    <w:rsid w:val="005F1CAD"/>
    <w:rsid w:val="00636675"/>
    <w:rsid w:val="006B4933"/>
    <w:rsid w:val="006C0418"/>
    <w:rsid w:val="006F51C0"/>
    <w:rsid w:val="007215AE"/>
    <w:rsid w:val="00740E9B"/>
    <w:rsid w:val="007A3086"/>
    <w:rsid w:val="007D035E"/>
    <w:rsid w:val="007E5DBE"/>
    <w:rsid w:val="007F249E"/>
    <w:rsid w:val="007F5C08"/>
    <w:rsid w:val="008730C5"/>
    <w:rsid w:val="00883DC9"/>
    <w:rsid w:val="0088758E"/>
    <w:rsid w:val="00891DA6"/>
    <w:rsid w:val="00893E15"/>
    <w:rsid w:val="008B416C"/>
    <w:rsid w:val="008C3F5C"/>
    <w:rsid w:val="00905AEA"/>
    <w:rsid w:val="00943A7F"/>
    <w:rsid w:val="009D0EAF"/>
    <w:rsid w:val="009D1192"/>
    <w:rsid w:val="00A33019"/>
    <w:rsid w:val="00A714FC"/>
    <w:rsid w:val="00AB76F5"/>
    <w:rsid w:val="00AC72E4"/>
    <w:rsid w:val="00B71D0F"/>
    <w:rsid w:val="00B72C19"/>
    <w:rsid w:val="00BA46FD"/>
    <w:rsid w:val="00C1274C"/>
    <w:rsid w:val="00C23C4F"/>
    <w:rsid w:val="00C26335"/>
    <w:rsid w:val="00C4068B"/>
    <w:rsid w:val="00CB09F5"/>
    <w:rsid w:val="00CB6105"/>
    <w:rsid w:val="00D27BBC"/>
    <w:rsid w:val="00D93463"/>
    <w:rsid w:val="00DB7F3A"/>
    <w:rsid w:val="00E42807"/>
    <w:rsid w:val="00EA081C"/>
    <w:rsid w:val="00EA4F65"/>
    <w:rsid w:val="00EF1683"/>
    <w:rsid w:val="00F4621C"/>
    <w:rsid w:val="00F6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FCD11B-8DEF-4490-979E-74E163E7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462"/>
    <w:pPr>
      <w:spacing w:after="200" w:line="276" w:lineRule="auto"/>
    </w:pPr>
  </w:style>
  <w:style w:type="paragraph" w:styleId="Heading1">
    <w:name w:val="heading 1"/>
    <w:basedOn w:val="Normal"/>
    <w:next w:val="BodyText"/>
    <w:link w:val="Heading1Char"/>
    <w:qFormat/>
    <w:rsid w:val="00154462"/>
    <w:pPr>
      <w:keepNext/>
      <w:keepLines/>
      <w:spacing w:before="240" w:after="240" w:line="320" w:lineRule="exact"/>
      <w:outlineLvl w:val="0"/>
    </w:pPr>
    <w:rPr>
      <w:rFonts w:ascii="Verdana" w:eastAsia="Times New Roman" w:hAnsi="Verdana" w:cs="Times New Roman"/>
      <w:kern w:val="20"/>
      <w:sz w:val="32"/>
      <w:szCs w:val="20"/>
      <w:lang w:eastAsia="sv-SE"/>
    </w:rPr>
  </w:style>
  <w:style w:type="paragraph" w:styleId="Heading2">
    <w:name w:val="heading 2"/>
    <w:basedOn w:val="Normal"/>
    <w:next w:val="BodyText"/>
    <w:link w:val="Heading2Char"/>
    <w:qFormat/>
    <w:rsid w:val="00154462"/>
    <w:pPr>
      <w:keepNext/>
      <w:keepLines/>
      <w:spacing w:before="240" w:after="120" w:line="260" w:lineRule="atLeast"/>
      <w:outlineLvl w:val="1"/>
    </w:pPr>
    <w:rPr>
      <w:rFonts w:ascii="Verdana" w:eastAsia="Times New Roman" w:hAnsi="Verdana" w:cs="Times New Roman"/>
      <w:b/>
      <w:kern w:val="20"/>
      <w:szCs w:val="20"/>
      <w:lang w:eastAsia="sv-SE"/>
    </w:rPr>
  </w:style>
  <w:style w:type="paragraph" w:styleId="Heading3">
    <w:name w:val="heading 3"/>
    <w:basedOn w:val="Normal"/>
    <w:next w:val="BodyText"/>
    <w:link w:val="Heading3Char"/>
    <w:qFormat/>
    <w:rsid w:val="00154462"/>
    <w:pPr>
      <w:keepNext/>
      <w:keepLines/>
      <w:spacing w:before="240" w:after="60" w:line="220" w:lineRule="exact"/>
      <w:outlineLvl w:val="2"/>
    </w:pPr>
    <w:rPr>
      <w:rFonts w:ascii="Verdana" w:eastAsia="Times New Roman" w:hAnsi="Verdana" w:cs="Times New Roman"/>
      <w:b/>
      <w:kern w:val="20"/>
      <w:sz w:val="18"/>
      <w:szCs w:val="20"/>
      <w:lang w:eastAsia="sv-SE"/>
    </w:rPr>
  </w:style>
  <w:style w:type="paragraph" w:styleId="Heading4">
    <w:name w:val="heading 4"/>
    <w:basedOn w:val="Normal"/>
    <w:next w:val="BodyText"/>
    <w:link w:val="Heading4Char"/>
    <w:qFormat/>
    <w:rsid w:val="00154462"/>
    <w:pPr>
      <w:keepNext/>
      <w:keepLines/>
      <w:spacing w:before="240" w:after="60" w:line="220" w:lineRule="exact"/>
      <w:outlineLvl w:val="3"/>
    </w:pPr>
    <w:rPr>
      <w:rFonts w:ascii="Verdana" w:eastAsia="Times New Roman" w:hAnsi="Verdana" w:cs="Times New Roman"/>
      <w:kern w:val="20"/>
      <w:sz w:val="18"/>
      <w:szCs w:val="20"/>
      <w:lang w:eastAsia="sv-SE"/>
    </w:rPr>
  </w:style>
  <w:style w:type="paragraph" w:styleId="Heading5">
    <w:name w:val="heading 5"/>
    <w:basedOn w:val="Heading4"/>
    <w:next w:val="BodyText"/>
    <w:link w:val="Heading5Char"/>
    <w:qFormat/>
    <w:rsid w:val="00154462"/>
    <w:pPr>
      <w:spacing w:line="200" w:lineRule="exact"/>
      <w:outlineLvl w:val="4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4462"/>
    <w:rPr>
      <w:rFonts w:ascii="Verdana" w:eastAsia="Times New Roman" w:hAnsi="Verdana" w:cs="Times New Roman"/>
      <w:kern w:val="20"/>
      <w:sz w:val="32"/>
      <w:szCs w:val="20"/>
      <w:lang w:eastAsia="sv-SE"/>
    </w:rPr>
  </w:style>
  <w:style w:type="character" w:customStyle="1" w:styleId="Heading2Char">
    <w:name w:val="Heading 2 Char"/>
    <w:basedOn w:val="DefaultParagraphFont"/>
    <w:link w:val="Heading2"/>
    <w:rsid w:val="00154462"/>
    <w:rPr>
      <w:rFonts w:ascii="Verdana" w:eastAsia="Times New Roman" w:hAnsi="Verdana" w:cs="Times New Roman"/>
      <w:b/>
      <w:kern w:val="20"/>
      <w:szCs w:val="20"/>
      <w:lang w:eastAsia="sv-SE"/>
    </w:rPr>
  </w:style>
  <w:style w:type="character" w:customStyle="1" w:styleId="Heading3Char">
    <w:name w:val="Heading 3 Char"/>
    <w:basedOn w:val="DefaultParagraphFont"/>
    <w:link w:val="Heading3"/>
    <w:rsid w:val="00154462"/>
    <w:rPr>
      <w:rFonts w:ascii="Verdana" w:eastAsia="Times New Roman" w:hAnsi="Verdana" w:cs="Times New Roman"/>
      <w:b/>
      <w:kern w:val="20"/>
      <w:sz w:val="18"/>
      <w:szCs w:val="20"/>
      <w:lang w:eastAsia="sv-SE"/>
    </w:rPr>
  </w:style>
  <w:style w:type="character" w:customStyle="1" w:styleId="Heading4Char">
    <w:name w:val="Heading 4 Char"/>
    <w:basedOn w:val="DefaultParagraphFont"/>
    <w:link w:val="Heading4"/>
    <w:rsid w:val="00154462"/>
    <w:rPr>
      <w:rFonts w:ascii="Verdana" w:eastAsia="Times New Roman" w:hAnsi="Verdana" w:cs="Times New Roman"/>
      <w:kern w:val="20"/>
      <w:sz w:val="18"/>
      <w:szCs w:val="20"/>
      <w:lang w:eastAsia="sv-SE"/>
    </w:rPr>
  </w:style>
  <w:style w:type="character" w:customStyle="1" w:styleId="Heading5Char">
    <w:name w:val="Heading 5 Char"/>
    <w:basedOn w:val="DefaultParagraphFont"/>
    <w:link w:val="Heading5"/>
    <w:rsid w:val="00154462"/>
    <w:rPr>
      <w:rFonts w:ascii="Verdana" w:eastAsia="Times New Roman" w:hAnsi="Verdana" w:cs="Times New Roman"/>
      <w:i/>
      <w:kern w:val="20"/>
      <w:sz w:val="16"/>
      <w:szCs w:val="20"/>
      <w:lang w:eastAsia="sv-SE"/>
    </w:rPr>
  </w:style>
  <w:style w:type="paragraph" w:customStyle="1" w:styleId="Noparagraphstyle">
    <w:name w:val="[No paragraph style]"/>
    <w:rsid w:val="0015446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0"/>
      <w:lang w:eastAsia="sv-SE"/>
    </w:rPr>
  </w:style>
  <w:style w:type="paragraph" w:styleId="BodyText">
    <w:name w:val="Body Text"/>
    <w:basedOn w:val="Normal"/>
    <w:link w:val="BodyTextChar"/>
    <w:rsid w:val="001544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0" w:line="260" w:lineRule="atLeast"/>
    </w:pPr>
    <w:rPr>
      <w:rFonts w:ascii="Arial Narrow" w:eastAsia="Times New Roman" w:hAnsi="Arial Narrow" w:cs="Times New Roman"/>
      <w:szCs w:val="20"/>
      <w:lang w:eastAsia="sv-SE"/>
    </w:rPr>
  </w:style>
  <w:style w:type="character" w:customStyle="1" w:styleId="BodyTextChar">
    <w:name w:val="Body Text Char"/>
    <w:basedOn w:val="DefaultParagraphFont"/>
    <w:link w:val="BodyText"/>
    <w:rsid w:val="00154462"/>
    <w:rPr>
      <w:rFonts w:ascii="Arial Narrow" w:eastAsia="Times New Roman" w:hAnsi="Arial Narrow" w:cs="Times New Roman"/>
      <w:szCs w:val="20"/>
      <w:lang w:eastAsia="sv-SE"/>
    </w:rPr>
  </w:style>
  <w:style w:type="character" w:styleId="Hyperlink">
    <w:name w:val="Hyperlink"/>
    <w:basedOn w:val="DefaultParagraphFont"/>
    <w:uiPriority w:val="99"/>
    <w:rsid w:val="00154462"/>
    <w:rPr>
      <w:color w:val="808080"/>
      <w:spacing w:val="0"/>
      <w:u w:val="single"/>
    </w:rPr>
  </w:style>
  <w:style w:type="paragraph" w:customStyle="1" w:styleId="ImageText">
    <w:name w:val="Image Text"/>
    <w:basedOn w:val="BodyText"/>
    <w:rsid w:val="00154462"/>
    <w:pPr>
      <w:keepNext/>
      <w:spacing w:after="60" w:line="200" w:lineRule="exact"/>
    </w:pPr>
    <w:rPr>
      <w:rFonts w:ascii="Verdana" w:hAnsi="Verdana"/>
      <w:sz w:val="16"/>
    </w:rPr>
  </w:style>
  <w:style w:type="paragraph" w:styleId="Index1">
    <w:name w:val="index 1"/>
    <w:basedOn w:val="Normal"/>
    <w:next w:val="Normal"/>
    <w:autoRedefine/>
    <w:semiHidden/>
    <w:rsid w:val="00154462"/>
    <w:pPr>
      <w:spacing w:after="0" w:line="260" w:lineRule="atLeast"/>
      <w:ind w:left="2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2">
    <w:name w:val="index 2"/>
    <w:basedOn w:val="Normal"/>
    <w:next w:val="Normal"/>
    <w:autoRedefine/>
    <w:semiHidden/>
    <w:rsid w:val="00154462"/>
    <w:pPr>
      <w:spacing w:after="0" w:line="260" w:lineRule="atLeast"/>
      <w:ind w:left="4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3">
    <w:name w:val="index 3"/>
    <w:basedOn w:val="Normal"/>
    <w:next w:val="Normal"/>
    <w:autoRedefine/>
    <w:semiHidden/>
    <w:rsid w:val="00154462"/>
    <w:pPr>
      <w:spacing w:after="0" w:line="260" w:lineRule="atLeast"/>
      <w:ind w:left="6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4">
    <w:name w:val="index 4"/>
    <w:basedOn w:val="Normal"/>
    <w:next w:val="Normal"/>
    <w:autoRedefine/>
    <w:semiHidden/>
    <w:rsid w:val="00154462"/>
    <w:pPr>
      <w:spacing w:after="0" w:line="260" w:lineRule="atLeast"/>
      <w:ind w:left="8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5">
    <w:name w:val="index 5"/>
    <w:basedOn w:val="Normal"/>
    <w:next w:val="Normal"/>
    <w:autoRedefine/>
    <w:semiHidden/>
    <w:rsid w:val="00154462"/>
    <w:pPr>
      <w:spacing w:after="0" w:line="260" w:lineRule="atLeast"/>
      <w:ind w:left="10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Heading">
    <w:name w:val="index heading"/>
    <w:basedOn w:val="Heading2"/>
    <w:next w:val="Index1"/>
    <w:semiHidden/>
    <w:rsid w:val="00154462"/>
  </w:style>
  <w:style w:type="paragraph" w:styleId="TOC1">
    <w:name w:val="toc 1"/>
    <w:basedOn w:val="Normal"/>
    <w:next w:val="Normal"/>
    <w:autoRedefine/>
    <w:semiHidden/>
    <w:rsid w:val="00154462"/>
    <w:pPr>
      <w:spacing w:after="0" w:line="260" w:lineRule="atLeast"/>
    </w:pPr>
    <w:rPr>
      <w:rFonts w:ascii="Verdana" w:eastAsia="Times New Roman" w:hAnsi="Verdana" w:cs="Times New Roman"/>
      <w:sz w:val="18"/>
      <w:szCs w:val="20"/>
      <w:lang w:eastAsia="sv-SE"/>
    </w:rPr>
  </w:style>
  <w:style w:type="paragraph" w:styleId="TOC2">
    <w:name w:val="toc 2"/>
    <w:basedOn w:val="TOC1"/>
    <w:next w:val="Normal"/>
    <w:autoRedefine/>
    <w:semiHidden/>
    <w:rsid w:val="00154462"/>
    <w:pPr>
      <w:ind w:left="220"/>
    </w:pPr>
  </w:style>
  <w:style w:type="paragraph" w:styleId="TOC3">
    <w:name w:val="toc 3"/>
    <w:basedOn w:val="TOC1"/>
    <w:next w:val="Normal"/>
    <w:autoRedefine/>
    <w:semiHidden/>
    <w:rsid w:val="00154462"/>
    <w:pPr>
      <w:ind w:left="440"/>
    </w:pPr>
    <w:rPr>
      <w:sz w:val="16"/>
    </w:rPr>
  </w:style>
  <w:style w:type="paragraph" w:styleId="TOC4">
    <w:name w:val="toc 4"/>
    <w:basedOn w:val="TOC1"/>
    <w:next w:val="Normal"/>
    <w:autoRedefine/>
    <w:semiHidden/>
    <w:rsid w:val="00154462"/>
    <w:pPr>
      <w:ind w:left="660"/>
    </w:pPr>
    <w:rPr>
      <w:sz w:val="16"/>
    </w:rPr>
  </w:style>
  <w:style w:type="paragraph" w:styleId="TOC5">
    <w:name w:val="toc 5"/>
    <w:basedOn w:val="TOC1"/>
    <w:next w:val="Normal"/>
    <w:autoRedefine/>
    <w:semiHidden/>
    <w:rsid w:val="00154462"/>
    <w:pPr>
      <w:ind w:left="880"/>
    </w:pPr>
    <w:rPr>
      <w:sz w:val="16"/>
    </w:rPr>
  </w:style>
  <w:style w:type="paragraph" w:styleId="TOC6">
    <w:name w:val="toc 6"/>
    <w:basedOn w:val="TOC1"/>
    <w:next w:val="Normal"/>
    <w:autoRedefine/>
    <w:semiHidden/>
    <w:rsid w:val="00154462"/>
    <w:pPr>
      <w:ind w:left="1100"/>
    </w:pPr>
    <w:rPr>
      <w:sz w:val="16"/>
    </w:rPr>
  </w:style>
  <w:style w:type="paragraph" w:styleId="TOC7">
    <w:name w:val="toc 7"/>
    <w:basedOn w:val="TOC1"/>
    <w:next w:val="Normal"/>
    <w:autoRedefine/>
    <w:semiHidden/>
    <w:rsid w:val="00154462"/>
    <w:pPr>
      <w:ind w:left="1320"/>
    </w:pPr>
    <w:rPr>
      <w:sz w:val="16"/>
    </w:rPr>
  </w:style>
  <w:style w:type="paragraph" w:styleId="TOC8">
    <w:name w:val="toc 8"/>
    <w:basedOn w:val="TOC1"/>
    <w:next w:val="Normal"/>
    <w:autoRedefine/>
    <w:semiHidden/>
    <w:rsid w:val="00154462"/>
    <w:pPr>
      <w:ind w:left="1540"/>
    </w:pPr>
    <w:rPr>
      <w:sz w:val="16"/>
    </w:rPr>
  </w:style>
  <w:style w:type="paragraph" w:styleId="TOC9">
    <w:name w:val="toc 9"/>
    <w:basedOn w:val="TOC1"/>
    <w:next w:val="Normal"/>
    <w:autoRedefine/>
    <w:semiHidden/>
    <w:rsid w:val="00154462"/>
    <w:pPr>
      <w:ind w:left="1760"/>
    </w:pPr>
    <w:rPr>
      <w:sz w:val="16"/>
    </w:rPr>
  </w:style>
  <w:style w:type="paragraph" w:styleId="ListNumber">
    <w:name w:val="List Number"/>
    <w:basedOn w:val="BodyText"/>
    <w:rsid w:val="00154462"/>
    <w:pPr>
      <w:numPr>
        <w:numId w:val="4"/>
      </w:numPr>
      <w:tabs>
        <w:tab w:val="clear" w:pos="227"/>
        <w:tab w:val="clear" w:pos="567"/>
        <w:tab w:val="left" w:pos="280"/>
        <w:tab w:val="left" w:pos="585"/>
      </w:tabs>
      <w:spacing w:after="120" w:line="240" w:lineRule="atLeast"/>
      <w:ind w:left="280" w:hanging="280"/>
    </w:pPr>
  </w:style>
  <w:style w:type="paragraph" w:styleId="ListBullet">
    <w:name w:val="List Bullet"/>
    <w:basedOn w:val="ListNumber"/>
    <w:autoRedefine/>
    <w:rsid w:val="00154462"/>
    <w:pPr>
      <w:numPr>
        <w:numId w:val="17"/>
      </w:numPr>
      <w:tabs>
        <w:tab w:val="clear" w:pos="113"/>
        <w:tab w:val="num" w:pos="195"/>
      </w:tabs>
      <w:ind w:left="195" w:hanging="195"/>
    </w:pPr>
  </w:style>
  <w:style w:type="paragraph" w:styleId="Footer">
    <w:name w:val="footer"/>
    <w:basedOn w:val="Normal"/>
    <w:link w:val="FooterChar"/>
    <w:rsid w:val="00154462"/>
    <w:pPr>
      <w:tabs>
        <w:tab w:val="center" w:pos="4459"/>
        <w:tab w:val="right" w:pos="8901"/>
      </w:tabs>
      <w:spacing w:before="240" w:after="0" w:line="260" w:lineRule="atLeast"/>
    </w:pPr>
    <w:rPr>
      <w:rFonts w:ascii="Arial Narrow" w:eastAsia="Times New Roman" w:hAnsi="Arial Narrow" w:cs="Times New Roman"/>
      <w:szCs w:val="20"/>
      <w:lang w:eastAsia="sv-SE"/>
    </w:rPr>
  </w:style>
  <w:style w:type="character" w:customStyle="1" w:styleId="FooterChar">
    <w:name w:val="Footer Char"/>
    <w:basedOn w:val="DefaultParagraphFont"/>
    <w:link w:val="Footer"/>
    <w:rsid w:val="00154462"/>
    <w:rPr>
      <w:rFonts w:ascii="Arial Narrow" w:eastAsia="Times New Roman" w:hAnsi="Arial Narrow" w:cs="Times New Roman"/>
      <w:szCs w:val="20"/>
      <w:lang w:eastAsia="sv-SE"/>
    </w:rPr>
  </w:style>
  <w:style w:type="paragraph" w:styleId="Header">
    <w:name w:val="header"/>
    <w:basedOn w:val="Footer"/>
    <w:link w:val="HeaderChar"/>
    <w:uiPriority w:val="99"/>
    <w:rsid w:val="00154462"/>
    <w:pPr>
      <w:tabs>
        <w:tab w:val="center" w:pos="4536"/>
        <w:tab w:val="right" w:pos="9072"/>
      </w:tabs>
      <w:ind w:right="1134"/>
    </w:pPr>
    <w:rPr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154462"/>
    <w:rPr>
      <w:rFonts w:ascii="Arial Narrow" w:eastAsia="Times New Roman" w:hAnsi="Arial Narrow" w:cs="Times New Roman"/>
      <w:noProof/>
      <w:szCs w:val="20"/>
      <w:lang w:eastAsia="sv-SE"/>
    </w:rPr>
  </w:style>
  <w:style w:type="character" w:styleId="PageNumber">
    <w:name w:val="page number"/>
    <w:basedOn w:val="DefaultParagraphFont"/>
    <w:rsid w:val="00154462"/>
    <w:rPr>
      <w:rFonts w:ascii="Times New Roman" w:hAnsi="Times New Roman"/>
      <w:color w:val="000000"/>
      <w:spacing w:val="0"/>
      <w:sz w:val="22"/>
      <w:bdr w:val="none" w:sz="0" w:space="0" w:color="auto"/>
      <w:shd w:val="clear" w:color="auto" w:fill="auto"/>
    </w:rPr>
  </w:style>
  <w:style w:type="paragraph" w:customStyle="1" w:styleId="TableHeading1">
    <w:name w:val="Table Heading1"/>
    <w:next w:val="Normal"/>
    <w:rsid w:val="00154462"/>
    <w:pPr>
      <w:spacing w:before="240" w:after="120" w:line="200" w:lineRule="exact"/>
    </w:pPr>
    <w:rPr>
      <w:rFonts w:ascii="Verdana" w:eastAsia="Times New Roman" w:hAnsi="Verdana" w:cs="Times New Roman"/>
      <w:caps/>
      <w:sz w:val="16"/>
      <w:szCs w:val="20"/>
      <w:lang w:eastAsia="sv-SE"/>
    </w:rPr>
  </w:style>
  <w:style w:type="paragraph" w:customStyle="1" w:styleId="TableBodytext">
    <w:name w:val="Table Bodytext"/>
    <w:basedOn w:val="TableHeading1"/>
    <w:rsid w:val="00154462"/>
    <w:pPr>
      <w:spacing w:before="0" w:after="40"/>
    </w:pPr>
    <w:rPr>
      <w:caps w:val="0"/>
    </w:rPr>
  </w:style>
  <w:style w:type="paragraph" w:customStyle="1" w:styleId="TableNumberlist">
    <w:name w:val="Table Numberlist"/>
    <w:basedOn w:val="Normal"/>
    <w:rsid w:val="00154462"/>
    <w:pPr>
      <w:numPr>
        <w:numId w:val="3"/>
      </w:numPr>
      <w:tabs>
        <w:tab w:val="clear" w:pos="227"/>
        <w:tab w:val="left" w:pos="308"/>
      </w:tabs>
      <w:spacing w:after="80" w:line="200" w:lineRule="exact"/>
      <w:ind w:left="308" w:hanging="322"/>
    </w:pPr>
    <w:rPr>
      <w:rFonts w:ascii="Verdana" w:eastAsia="Times New Roman" w:hAnsi="Verdana" w:cs="Times New Roman"/>
      <w:sz w:val="16"/>
      <w:szCs w:val="20"/>
      <w:lang w:eastAsia="sv-SE"/>
    </w:rPr>
  </w:style>
  <w:style w:type="paragraph" w:customStyle="1" w:styleId="TableBulletlist">
    <w:name w:val="Table Bulletlist"/>
    <w:basedOn w:val="TableNumberlist"/>
    <w:rsid w:val="00154462"/>
    <w:pPr>
      <w:numPr>
        <w:numId w:val="2"/>
      </w:numPr>
      <w:tabs>
        <w:tab w:val="clear" w:pos="308"/>
        <w:tab w:val="clear" w:pos="360"/>
      </w:tabs>
      <w:ind w:left="308" w:hanging="294"/>
    </w:pPr>
  </w:style>
  <w:style w:type="paragraph" w:customStyle="1" w:styleId="TableFooter">
    <w:name w:val="Table Footer"/>
    <w:basedOn w:val="BodyText"/>
    <w:rsid w:val="00154462"/>
    <w:pPr>
      <w:spacing w:before="120" w:line="180" w:lineRule="exact"/>
    </w:pPr>
    <w:rPr>
      <w:rFonts w:ascii="Verdana" w:eastAsia="MS Mincho" w:hAnsi="Verdana"/>
      <w:sz w:val="16"/>
    </w:rPr>
  </w:style>
  <w:style w:type="paragraph" w:customStyle="1" w:styleId="TableHeading2">
    <w:name w:val="Table Heading2"/>
    <w:basedOn w:val="TableHeading1"/>
    <w:rsid w:val="00154462"/>
    <w:pPr>
      <w:spacing w:before="120" w:after="60" w:line="180" w:lineRule="exact"/>
    </w:pPr>
    <w:rPr>
      <w:sz w:val="14"/>
    </w:rPr>
  </w:style>
  <w:style w:type="paragraph" w:styleId="BalloonText">
    <w:name w:val="Balloon Text"/>
    <w:basedOn w:val="Normal"/>
    <w:link w:val="BalloonTextChar"/>
    <w:rsid w:val="00154462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eastAsia="sv-SE"/>
    </w:rPr>
  </w:style>
  <w:style w:type="character" w:customStyle="1" w:styleId="BalloonTextChar">
    <w:name w:val="Balloon Text Char"/>
    <w:basedOn w:val="DefaultParagraphFont"/>
    <w:link w:val="BalloonText"/>
    <w:rsid w:val="00154462"/>
    <w:rPr>
      <w:rFonts w:ascii="Lucida Grande" w:eastAsia="Times New Roman" w:hAnsi="Lucida Grande" w:cs="Lucida Grande"/>
      <w:sz w:val="18"/>
      <w:szCs w:val="18"/>
      <w:lang w:eastAsia="sv-SE"/>
    </w:rPr>
  </w:style>
  <w:style w:type="paragraph" w:styleId="NoSpacing">
    <w:name w:val="No Spacing"/>
    <w:uiPriority w:val="1"/>
    <w:qFormat/>
    <w:rsid w:val="0015446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54462"/>
    <w:pPr>
      <w:spacing w:before="15" w:after="100" w:afterAutospacing="1" w:line="240" w:lineRule="atLeast"/>
    </w:pPr>
    <w:rPr>
      <w:rFonts w:ascii="Verdana" w:eastAsia="Times New Roman" w:hAnsi="Verdana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15446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154462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154462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154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1544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54462"/>
    <w:rPr>
      <w:sz w:val="20"/>
      <w:szCs w:val="20"/>
    </w:rPr>
  </w:style>
  <w:style w:type="character" w:styleId="FootnoteReference">
    <w:name w:val="footnote reference"/>
    <w:basedOn w:val="DefaultParagraphFont"/>
    <w:rsid w:val="00154462"/>
    <w:rPr>
      <w:vertAlign w:val="superscript"/>
    </w:rPr>
  </w:style>
  <w:style w:type="character" w:styleId="CommentReference">
    <w:name w:val="annotation reference"/>
    <w:basedOn w:val="DefaultParagraphFont"/>
    <w:rsid w:val="001544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44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544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544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54462"/>
    <w:rPr>
      <w:b/>
      <w:bCs/>
      <w:sz w:val="20"/>
      <w:szCs w:val="20"/>
    </w:rPr>
  </w:style>
  <w:style w:type="paragraph" w:customStyle="1" w:styleId="LetterheadAddress">
    <w:name w:val="Letterhead Address"/>
    <w:basedOn w:val="Normal"/>
    <w:qFormat/>
    <w:rsid w:val="00154462"/>
    <w:pPr>
      <w:widowControl w:val="0"/>
      <w:autoSpaceDE w:val="0"/>
      <w:autoSpaceDN w:val="0"/>
      <w:adjustRightInd w:val="0"/>
      <w:spacing w:after="0" w:line="240" w:lineRule="auto"/>
    </w:pPr>
    <w:rPr>
      <w:rFonts w:asciiTheme="majorHAnsi" w:eastAsiaTheme="minorEastAsia" w:hAnsiTheme="majorHAnsi" w:cs="Times New Roman"/>
      <w:sz w:val="18"/>
      <w:szCs w:val="18"/>
      <w:lang w:eastAsia="ja-JP"/>
    </w:rPr>
  </w:style>
  <w:style w:type="paragraph" w:customStyle="1" w:styleId="Default">
    <w:name w:val="Default"/>
    <w:rsid w:val="001544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154462"/>
    <w:pPr>
      <w:spacing w:after="0" w:line="240" w:lineRule="auto"/>
    </w:pPr>
  </w:style>
  <w:style w:type="paragraph" w:customStyle="1" w:styleId="ol-1">
    <w:name w:val="ol-1"/>
    <w:basedOn w:val="Normal"/>
    <w:uiPriority w:val="99"/>
    <w:rsid w:val="001544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1544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CT xmlns="4b47aac5-4c46-444f-8595-ce09b406fc61">false</RCT>
    <DocGuid xmlns="4b47aac5-4c46-444f-8595-ce09b406fc61">5543ebdd-91cc-4ce7-b347-5209fbf0a744</DocGuid>
    <Published xmlns="4b47aac5-4c46-444f-8595-ce09b406fc61">false</Published>
    <Document_x0020_Type xmlns="4b47aac5-4c46-444f-8595-ce09b406fc61">Submission</Document_x0020_Type>
    <Amendment_x0020_No xmlns="4b47aac5-4c46-444f-8595-ce09b406fc61">0</Amendment_x0020_No>
    <Publication_x0020_Url xmlns="4b47aac5-4c46-444f-8595-ce09b406fc61">
      <Url xsi:nil="true"/>
      <Description xsi:nil="true"/>
    </Publication_x0020_Url>
    <Document_x0020_Date xmlns="4b47aac5-4c46-444f-8595-ce09b406fc61">2018-11-01T21:17:07+00:00</Document_x0020_Date>
    <Document_x0020_No xmlns="4b47aac5-4c46-444f-8595-ce09b406fc61">42656</Document_x0020_No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F62E73A1F670314296D6E6EFEA0FFF39" ma:contentTypeVersion="0" ma:contentTypeDescription="" ma:contentTypeScope="" ma:versionID="c98075efb68efcbdea0371e3905cca6b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cfab141f4ac74c12a3ce95ffcab93f41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Props1.xml><?xml version="1.0" encoding="utf-8"?>
<ds:datastoreItem xmlns:ds="http://schemas.openxmlformats.org/officeDocument/2006/customXml" ds:itemID="{5818EBDE-20BC-44E7-AC9B-3F749A3EBFD5}"/>
</file>

<file path=customXml/itemProps2.xml><?xml version="1.0" encoding="utf-8"?>
<ds:datastoreItem xmlns:ds="http://schemas.openxmlformats.org/officeDocument/2006/customXml" ds:itemID="{9A633595-7C09-4C7D-AF6E-5B89F9437A5A}"/>
</file>

<file path=customXml/itemProps3.xml><?xml version="1.0" encoding="utf-8"?>
<ds:datastoreItem xmlns:ds="http://schemas.openxmlformats.org/officeDocument/2006/customXml" ds:itemID="{79B7EFD1-6F8D-4B79-B865-2C63F61112E4}"/>
</file>

<file path=customXml/itemProps4.xml><?xml version="1.0" encoding="utf-8"?>
<ds:datastoreItem xmlns:ds="http://schemas.openxmlformats.org/officeDocument/2006/customXml" ds:itemID="{C6F836D7-67FF-4BA5-BE4B-3ACE768B86F6}"/>
</file>

<file path=customXml/itemProps5.xml><?xml version="1.0" encoding="utf-8"?>
<ds:datastoreItem xmlns:ds="http://schemas.openxmlformats.org/officeDocument/2006/customXml" ds:itemID="{861D9BF0-19C4-4313-8D17-FC2A60AA82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Nasdaq Omx Inc.</Company>
  <LinksUpToDate>false</LinksUpToDate>
  <CharactersWithSpaces>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A</dc:title>
  <dc:creator>Aravind Menon</dc:creator>
  <cp:lastModifiedBy>Aravind Menon</cp:lastModifiedBy>
  <cp:revision>2</cp:revision>
  <dcterms:created xsi:type="dcterms:W3CDTF">2018-11-01T17:46:00Z</dcterms:created>
  <dcterms:modified xsi:type="dcterms:W3CDTF">2018-11-01T17:46:00Z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0x01010045B0BEB1BCDC4B408D1662109AEB463800F62E73A1F670314296D6E6EFEA0FFF39</vt:lpwstr>
  </property>
  <property fmtid="{D5CDD505-2E9C-101B-9397-08002B2CF9AE}" pid="3" name="_CopySource">
    <vt:lpwstr>\Cftc.gov</vt:lpwstr>
  </property>
  <property fmtid="{D5CDD505-2E9C-101B-9397-08002B2CF9AE}" pid="4" name="Order">
    <vt:r8>6115400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