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6" w:rsidRPr="00E52B9C" w:rsidRDefault="00161E66" w:rsidP="00161E66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sz w:val="24"/>
          <w:szCs w:val="24"/>
          <w:u w:val="single"/>
        </w:rPr>
        <w:t>Rulebook Appendix A - Listed Contracts</w:t>
      </w:r>
    </w:p>
    <w:p w:rsidR="00C609E4" w:rsidRDefault="00C609E4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1E66" w:rsidRPr="00E52B9C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161E66" w:rsidRPr="00E52B9C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OIL AND REFINED PRODUCTS 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114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Argus WTI Trade Month Futures (VSAQ)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Midland (Argus) Trade Month Basis Futures (MIDQ)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116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Midland (Argus) Trade Month Futures (WTIQ)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117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Midland (Argus) Basis Futures (MIDC)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118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Midland (Argus) Financial Futures (XBAQ)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119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LLS (Argus) Trade Month Basis Futures (LLTQ)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LLS (Argus) Trade Month Futures (AFOQ)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121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LLS (Argus) Basis Futures (LLCQ)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122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LLS (Argus) Financial Futures (LLFQ)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123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Mars (Argus) Trade Month Basis Futures (MARQ)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124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Mars (Argus) Trade Month Futures (MOAQ)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125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Mars (Argus) Basis Futures (MARC)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126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Mars (Argus) Financial Futures (MXAQ)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127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Houston (Argus) Trade Month Basis Futures (MEHQ)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Houston (Argus) Trade Month Futures (HTAQ)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129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Houston (Argus) Basis Futures (MEHC)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130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WTI Houston (Argus) Financial Futures (HIAQ)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131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WTS (Argus) Trade Month Basis Futures (FHAQ)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132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WTS (Argus) Trade Month Futures (AYAQ)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133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WTS (Argus) Basis Futures (WTAQ)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134</w:t>
            </w: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NFX WTS (Argus) Financial Futures (WTSQ)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NATURAL GAS PRODUCTS – No Change 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 CONTRACTS – No Change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PETROCHEMICALS PRODUCTS – No Change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FERROUS METALS – No Change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TANKER FREIGHT – No Change</w:t>
            </w: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E52B9C" w:rsidTr="00CC47A5">
        <w:trPr>
          <w:cantSplit/>
        </w:trPr>
        <w:tc>
          <w:tcPr>
            <w:tcW w:w="1432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E52B9C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B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DRY FREIGHT – No Change</w:t>
            </w:r>
          </w:p>
        </w:tc>
      </w:tr>
    </w:tbl>
    <w:p w:rsidR="00161E66" w:rsidRPr="00E52B9C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1E66" w:rsidRPr="00E52B9C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161E66" w:rsidRPr="00E52B9C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114.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Argus WTI Trade Month Futures (VSAQ)</w:t>
      </w:r>
    </w:p>
    <w:p w:rsidR="00F87D04" w:rsidRPr="00915635" w:rsidRDefault="00915635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114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115.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Midland (Argus) Trade Month Basis Futures (MIDQ)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115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7D5137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116.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Midland (Argus) Trade Month Futures (WTIQ)</w:t>
      </w:r>
    </w:p>
    <w:p w:rsidR="00F87D04" w:rsidRPr="00E52B9C" w:rsidRDefault="00915635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116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EE738E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117.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Midland (Argus) Basis Futures (MIDC)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117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F91C68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915635" w:rsidRPr="00915635" w:rsidRDefault="00915635" w:rsidP="009156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118.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Midland (Argus) Financial Futures (XBAQ)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118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119.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LLS (Argus) Trade Month Basis Futures (LLTQ)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119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F91C68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LLS (Argus) Trade Month Futures (AFOQ)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121.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LLS (Argus) Basis Futures (LLCQ)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121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D508E1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122.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LLS (Argus) Financial Futures (LLFQ)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122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D609F3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123.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Mars (Argus) Trade Month Basis Futures (MARQ)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123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D609F3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124.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Mars (Argus) Trade Month Futures (MOAQ)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124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125.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Mars (Argus) Basis Futures (MARC)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125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2121CA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126.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Mars (Argus) Financial Futures (MXAQ)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126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127.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Houston (Argus) Trade Month Basis Futures (MEHQ)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127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B54F39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128.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Houston (Argus) Trade Month Futures (HTAQ)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128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EF3C21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129.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Houston (Argus) Basis Futures (MEHC)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129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EF3C21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130.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WTI Houston (Argus) Financial Futures (HIAQ)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130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EF3C21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131.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WTS (Argus) Trade Month Basis Futures (FHAQ)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131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EF3C21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132.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WTS (Argus) Trade Month Futures (AYAQ)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132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10 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133.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WTS (Argus) Basis Futures (WTAQ)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133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6C5BBF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Chapter </w:t>
      </w:r>
      <w:r w:rsidRPr="00E52B9C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134.</w:t>
      </w:r>
      <w:r w:rsidRPr="00E52B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WTS (Argus) Financial Futures (WTSQ)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E52B9C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2B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134</w:t>
      </w:r>
      <w:r w:rsidRPr="00E5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E52B9C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6C5BBF"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  <w:r w:rsidRPr="00E52B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6D4EF3" w:rsidRPr="00915635" w:rsidRDefault="006D4EF3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635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A729E1" w:rsidRPr="00825FCC" w:rsidRDefault="00A729E1" w:rsidP="00A729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FEE SCHEDULE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194"/>
        <w:gridCol w:w="5233"/>
        <w:gridCol w:w="1758"/>
        <w:gridCol w:w="1780"/>
      </w:tblGrid>
      <w:tr w:rsidR="00A729E1" w:rsidRPr="00A729E1" w:rsidTr="00A729E1">
        <w:trPr>
          <w:trHeight w:val="855"/>
        </w:trPr>
        <w:tc>
          <w:tcPr>
            <w:tcW w:w="1194" w:type="dxa"/>
            <w:noWrap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A72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CHAPTER</w:t>
            </w:r>
          </w:p>
        </w:tc>
        <w:tc>
          <w:tcPr>
            <w:tcW w:w="5233" w:type="dxa"/>
            <w:noWrap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A72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OIL PRODUCTS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A72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STANDARD SCREEN         FEE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A72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STANDARD BLOCK/EFRP FEE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114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Argus WTI Trade Month Futures (VSAQ)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115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Midland (Argus) Trade Month Basis Futures (MIDQ)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116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Midland (Argus) Trade Month Futures (WTIQ)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117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Midland (Argus) Basis Futures (MIDC)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118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Midland (Argus) Financial Futures (XBAQ)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119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LLS (Argus) Trade Month Basis Futures (LLTQ)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120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LLS (Argus) Trade Month Futures (AFOQ)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121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LLS (Argus) Basis Futures (LLCQ)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122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LLS (Argus) Financial Futures (LLFQ)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123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Mars (Argus) Trade Month Basis Futures (MARQ)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124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Mars (Argus) Trade Month Futures (MOAQ)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125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Mars (Argus) Basis Futures (MARC)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126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Mars (Argus) Financial Futures (MXAQ)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127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Houston (Argus) Trade Month Basis Futures (MEHQ)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128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Houston (Argus) Trade Month Futures (HTAQ)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129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Houston (Argus) Basis Futures (MEHC)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130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WTI Houston (Argus) Financial Futures (HIAQ)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131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WTS (Argus) Trade Month Basis Futures (FHAQ)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132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WTS (Argus) Trade Month Futures (AYAQ)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133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WTS (Argus) Basis Futures (WTAQ)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  <w:tr w:rsidR="00A729E1" w:rsidRPr="00A729E1" w:rsidTr="00A729E1">
        <w:trPr>
          <w:trHeight w:val="255"/>
        </w:trPr>
        <w:tc>
          <w:tcPr>
            <w:tcW w:w="1194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134</w:t>
            </w:r>
          </w:p>
        </w:tc>
        <w:tc>
          <w:tcPr>
            <w:tcW w:w="5233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WTS (Argus) Financial Futures (WTSQ)</w:t>
            </w:r>
          </w:p>
        </w:tc>
        <w:tc>
          <w:tcPr>
            <w:tcW w:w="1758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  <w:tc>
          <w:tcPr>
            <w:tcW w:w="1780" w:type="dxa"/>
            <w:hideMark/>
          </w:tcPr>
          <w:p w:rsidR="00A729E1" w:rsidRPr="00A729E1" w:rsidRDefault="00A729E1" w:rsidP="00A729E1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729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$1.00</w:t>
            </w:r>
          </w:p>
        </w:tc>
      </w:tr>
    </w:tbl>
    <w:p w:rsidR="00F87D04" w:rsidRPr="006C276F" w:rsidRDefault="00F87D04" w:rsidP="006D4EF3">
      <w:pPr>
        <w:keepNext/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sectPr w:rsidR="00F87D04" w:rsidRPr="006C276F" w:rsidSect="006207D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2E" w:rsidRDefault="00FC5C2E" w:rsidP="00A91E78">
      <w:pPr>
        <w:spacing w:after="0" w:line="240" w:lineRule="auto"/>
      </w:pPr>
      <w:r>
        <w:separator/>
      </w:r>
    </w:p>
  </w:endnote>
  <w:endnote w:type="continuationSeparator" w:id="0">
    <w:p w:rsidR="00FC5C2E" w:rsidRDefault="00FC5C2E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2E" w:rsidRDefault="00FC5C2E" w:rsidP="00A91E78">
      <w:pPr>
        <w:spacing w:after="0" w:line="240" w:lineRule="auto"/>
      </w:pPr>
      <w:r>
        <w:separator/>
      </w:r>
    </w:p>
  </w:footnote>
  <w:footnote w:type="continuationSeparator" w:id="0">
    <w:p w:rsidR="00FC5C2E" w:rsidRDefault="00FC5C2E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35" w:rsidRPr="00161E66" w:rsidRDefault="00915635">
    <w:pPr>
      <w:pStyle w:val="Header"/>
      <w:rPr>
        <w:rFonts w:ascii="Times New Roman" w:hAnsi="Times New Roman" w:cs="Times New Roman"/>
        <w:sz w:val="24"/>
        <w:szCs w:val="24"/>
      </w:rPr>
    </w:pPr>
    <w:r w:rsidRPr="00161E66">
      <w:rPr>
        <w:rFonts w:ascii="Times New Roman" w:hAnsi="Times New Roman" w:cs="Times New Roman"/>
        <w:sz w:val="24"/>
        <w:szCs w:val="24"/>
      </w:rPr>
      <w:t>SR-NFX-2018-</w:t>
    </w:r>
    <w:r w:rsidR="00C609E4">
      <w:rPr>
        <w:rFonts w:ascii="Times New Roman" w:hAnsi="Times New Roman" w:cs="Times New Roman"/>
        <w:sz w:val="24"/>
        <w:szCs w:val="24"/>
      </w:rPr>
      <w:t>50</w:t>
    </w:r>
    <w:r w:rsidRPr="00161E66">
      <w:rPr>
        <w:rFonts w:ascii="Times New Roman" w:hAnsi="Times New Roman" w:cs="Times New Roman"/>
        <w:sz w:val="24"/>
        <w:szCs w:val="24"/>
      </w:rPr>
      <w:t xml:space="preserve"> Exhibit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1220E"/>
    <w:rsid w:val="0005409C"/>
    <w:rsid w:val="00087CF5"/>
    <w:rsid w:val="000E2C31"/>
    <w:rsid w:val="000E3E8E"/>
    <w:rsid w:val="00111EBE"/>
    <w:rsid w:val="00146EDA"/>
    <w:rsid w:val="00161E66"/>
    <w:rsid w:val="001700A2"/>
    <w:rsid w:val="00184B0B"/>
    <w:rsid w:val="00190B2E"/>
    <w:rsid w:val="002121CA"/>
    <w:rsid w:val="002277AA"/>
    <w:rsid w:val="00256FA0"/>
    <w:rsid w:val="00275C20"/>
    <w:rsid w:val="00334709"/>
    <w:rsid w:val="00344335"/>
    <w:rsid w:val="00347744"/>
    <w:rsid w:val="00374A98"/>
    <w:rsid w:val="003B4CD5"/>
    <w:rsid w:val="00420F1E"/>
    <w:rsid w:val="004221B4"/>
    <w:rsid w:val="00464474"/>
    <w:rsid w:val="00477BC5"/>
    <w:rsid w:val="004B1AC0"/>
    <w:rsid w:val="004C05A0"/>
    <w:rsid w:val="004E4F20"/>
    <w:rsid w:val="004F5933"/>
    <w:rsid w:val="00522767"/>
    <w:rsid w:val="00532A24"/>
    <w:rsid w:val="00543DB2"/>
    <w:rsid w:val="005769CD"/>
    <w:rsid w:val="005A3482"/>
    <w:rsid w:val="005F7F85"/>
    <w:rsid w:val="006207D0"/>
    <w:rsid w:val="00630573"/>
    <w:rsid w:val="00642666"/>
    <w:rsid w:val="00661D18"/>
    <w:rsid w:val="0068261F"/>
    <w:rsid w:val="006C276F"/>
    <w:rsid w:val="006C5BBF"/>
    <w:rsid w:val="006D1C53"/>
    <w:rsid w:val="006D4EF3"/>
    <w:rsid w:val="006E31A1"/>
    <w:rsid w:val="006F54F8"/>
    <w:rsid w:val="006F7305"/>
    <w:rsid w:val="00722B6E"/>
    <w:rsid w:val="007260AC"/>
    <w:rsid w:val="00780C90"/>
    <w:rsid w:val="00780DC3"/>
    <w:rsid w:val="007D5137"/>
    <w:rsid w:val="00823F66"/>
    <w:rsid w:val="00844674"/>
    <w:rsid w:val="00894B7C"/>
    <w:rsid w:val="008A0731"/>
    <w:rsid w:val="008A0C47"/>
    <w:rsid w:val="008A65D1"/>
    <w:rsid w:val="008B01A0"/>
    <w:rsid w:val="008B0CC1"/>
    <w:rsid w:val="008C16EA"/>
    <w:rsid w:val="009049A7"/>
    <w:rsid w:val="00907399"/>
    <w:rsid w:val="00915635"/>
    <w:rsid w:val="00954900"/>
    <w:rsid w:val="0095737A"/>
    <w:rsid w:val="009B76D6"/>
    <w:rsid w:val="009C73E9"/>
    <w:rsid w:val="00A63A4B"/>
    <w:rsid w:val="00A729E1"/>
    <w:rsid w:val="00A91E78"/>
    <w:rsid w:val="00A93300"/>
    <w:rsid w:val="00AA6C2D"/>
    <w:rsid w:val="00AB4BF5"/>
    <w:rsid w:val="00AC2164"/>
    <w:rsid w:val="00B15244"/>
    <w:rsid w:val="00B17249"/>
    <w:rsid w:val="00B472C6"/>
    <w:rsid w:val="00B54F39"/>
    <w:rsid w:val="00B760A7"/>
    <w:rsid w:val="00B83F11"/>
    <w:rsid w:val="00BB5E45"/>
    <w:rsid w:val="00BC1DDD"/>
    <w:rsid w:val="00BD46A8"/>
    <w:rsid w:val="00C0629E"/>
    <w:rsid w:val="00C2791F"/>
    <w:rsid w:val="00C37AF0"/>
    <w:rsid w:val="00C440FB"/>
    <w:rsid w:val="00C53E55"/>
    <w:rsid w:val="00C60577"/>
    <w:rsid w:val="00C609E4"/>
    <w:rsid w:val="00C92E2B"/>
    <w:rsid w:val="00CC47A5"/>
    <w:rsid w:val="00D508E1"/>
    <w:rsid w:val="00D609F3"/>
    <w:rsid w:val="00D74000"/>
    <w:rsid w:val="00D82665"/>
    <w:rsid w:val="00DA2B33"/>
    <w:rsid w:val="00DE5F82"/>
    <w:rsid w:val="00DF4EDD"/>
    <w:rsid w:val="00E2642D"/>
    <w:rsid w:val="00E52B9C"/>
    <w:rsid w:val="00EA3E64"/>
    <w:rsid w:val="00EA5CB2"/>
    <w:rsid w:val="00EE3365"/>
    <w:rsid w:val="00EE64D7"/>
    <w:rsid w:val="00EE738E"/>
    <w:rsid w:val="00EF3C21"/>
    <w:rsid w:val="00F0080E"/>
    <w:rsid w:val="00F61ECE"/>
    <w:rsid w:val="00F81ECA"/>
    <w:rsid w:val="00F87D04"/>
    <w:rsid w:val="00F91C68"/>
    <w:rsid w:val="00FA544E"/>
    <w:rsid w:val="00FB6415"/>
    <w:rsid w:val="00FC5C2E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  <w:style w:type="character" w:styleId="CommentReference">
    <w:name w:val="annotation reference"/>
    <w:basedOn w:val="DefaultParagraphFont"/>
    <w:uiPriority w:val="99"/>
    <w:semiHidden/>
    <w:unhideWhenUsed/>
    <w:rsid w:val="00012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dd5914ce-be77-468f-ac5b-f0fda95e97e0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2018-11-01T21:23:30+00:00</Document_x0020_Date>
    <Document_x0020_No xmlns="4b47aac5-4c46-444f-8595-ce09b406fc61">42669</Document_x0020_No>
  </documentManagement>
</p:properties>
</file>

<file path=customXml/itemProps1.xml><?xml version="1.0" encoding="utf-8"?>
<ds:datastoreItem xmlns:ds="http://schemas.openxmlformats.org/officeDocument/2006/customXml" ds:itemID="{7DDA78D1-0156-4491-AE23-AB6A028C6DC8}"/>
</file>

<file path=customXml/itemProps2.xml><?xml version="1.0" encoding="utf-8"?>
<ds:datastoreItem xmlns:ds="http://schemas.openxmlformats.org/officeDocument/2006/customXml" ds:itemID="{15DB5812-9F03-4448-85B4-2875D08AEEA4}"/>
</file>

<file path=customXml/itemProps3.xml><?xml version="1.0" encoding="utf-8"?>
<ds:datastoreItem xmlns:ds="http://schemas.openxmlformats.org/officeDocument/2006/customXml" ds:itemID="{21ADC923-8533-40E1-AE82-CB4B3A6E1CE4}"/>
</file>

<file path=customXml/itemProps4.xml><?xml version="1.0" encoding="utf-8"?>
<ds:datastoreItem xmlns:ds="http://schemas.openxmlformats.org/officeDocument/2006/customXml" ds:itemID="{8F9BE600-A981-4605-ACC1-4B15B8EE26AF}"/>
</file>

<file path=customXml/itemProps5.xml><?xml version="1.0" encoding="utf-8"?>
<ds:datastoreItem xmlns:ds="http://schemas.openxmlformats.org/officeDocument/2006/customXml" ds:itemID="{0490A1E6-988A-4ABA-B8DE-216637461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Aravind Menon</cp:lastModifiedBy>
  <cp:revision>7</cp:revision>
  <dcterms:created xsi:type="dcterms:W3CDTF">2018-10-26T19:01:00Z</dcterms:created>
  <dcterms:modified xsi:type="dcterms:W3CDTF">2018-11-01T18:59:00Z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6118400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