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C0" w:rsidRPr="00D06205" w:rsidRDefault="004008C0" w:rsidP="004008C0">
      <w:pPr>
        <w:spacing w:before="120" w:after="0"/>
        <w:ind w:left="6550" w:hanging="6550"/>
        <w:rPr>
          <w:rFonts w:ascii="Times New Roman" w:hAnsi="Times New Roman" w:cs="Times New Roman"/>
          <w:sz w:val="24"/>
          <w:szCs w:val="24"/>
        </w:rPr>
      </w:pPr>
      <w:r w:rsidRPr="00D0620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1" layoutInCell="1" allowOverlap="1" wp14:anchorId="120D19FA" wp14:editId="1BAA59E6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20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06205"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 w:rsidRPr="00D0620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DD0C2D">
        <w:rPr>
          <w:rFonts w:ascii="Times New Roman" w:eastAsia="Calibri" w:hAnsi="Times New Roman" w:cs="Times New Roman"/>
          <w:noProof/>
          <w:sz w:val="24"/>
          <w:szCs w:val="24"/>
        </w:rPr>
        <w:t>November 1, 2018</w:t>
      </w:r>
      <w:r w:rsidRPr="00D0620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06205">
        <w:rPr>
          <w:rFonts w:ascii="Times New Roman" w:hAnsi="Times New Roman" w:cs="Times New Roman"/>
          <w:sz w:val="24"/>
          <w:szCs w:val="24"/>
        </w:rPr>
        <w:t>Nasdaq Futures, Inc.</w:t>
      </w:r>
      <w:proofErr w:type="gramEnd"/>
    </w:p>
    <w:p w:rsidR="004008C0" w:rsidRPr="00D06205" w:rsidRDefault="004008C0" w:rsidP="004008C0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 w:rsidRPr="00D06205">
        <w:rPr>
          <w:rFonts w:ascii="Times New Roman" w:eastAsia="Calibri" w:hAnsi="Times New Roman"/>
          <w:sz w:val="24"/>
          <w:szCs w:val="24"/>
        </w:rPr>
        <w:tab/>
      </w:r>
      <w:r w:rsidRPr="00D06205">
        <w:rPr>
          <w:rFonts w:ascii="Times New Roman" w:hAnsi="Times New Roman"/>
          <w:sz w:val="24"/>
          <w:szCs w:val="24"/>
        </w:rPr>
        <w:t xml:space="preserve">FMC Tower, Level 8, </w:t>
      </w:r>
    </w:p>
    <w:p w:rsidR="004008C0" w:rsidRPr="00D06205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D06205">
        <w:rPr>
          <w:rFonts w:ascii="Times New Roman" w:eastAsiaTheme="minorEastAsia" w:hAnsi="Times New Roman" w:cs="Times New Roman"/>
          <w:sz w:val="24"/>
          <w:szCs w:val="24"/>
          <w:lang w:eastAsia="ja-JP"/>
        </w:rPr>
        <w:t>2929 Walnut Street</w:t>
      </w:r>
    </w:p>
    <w:p w:rsidR="004008C0" w:rsidRPr="00D06205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D06205">
        <w:rPr>
          <w:rFonts w:ascii="Times New Roman" w:eastAsiaTheme="minorEastAsia" w:hAnsi="Times New Roman" w:cs="Times New Roman"/>
          <w:sz w:val="24"/>
          <w:szCs w:val="24"/>
          <w:lang w:eastAsia="ja-JP"/>
        </w:rPr>
        <w:t>Philadelphia, PA 19104 / USA</w:t>
      </w:r>
    </w:p>
    <w:p w:rsidR="004008C0" w:rsidRPr="00D06205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008C0" w:rsidRPr="00D06205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sz w:val="24"/>
          <w:szCs w:val="24"/>
        </w:rPr>
        <w:t>Three Lafayette Center</w:t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</w:r>
      <w:r w:rsidRPr="00D0620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D06205">
        <w:rPr>
          <w:rFonts w:ascii="Times New Roman" w:hAnsi="Times New Roman" w:cs="Times New Roman"/>
          <w:sz w:val="24"/>
          <w:szCs w:val="24"/>
        </w:rPr>
        <w:t>business.nasdaq.com/futures</w:t>
      </w:r>
    </w:p>
    <w:p w:rsidR="004008C0" w:rsidRPr="00D06205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sz w:val="24"/>
          <w:szCs w:val="24"/>
        </w:rPr>
        <w:t>1155 21</w:t>
      </w:r>
      <w:r w:rsidRPr="00D06205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D06205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4008C0" w:rsidRPr="00D06205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4008C0" w:rsidRPr="00D06205" w:rsidRDefault="004008C0" w:rsidP="004008C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72DB9" w:rsidRPr="00D06205" w:rsidRDefault="004008C0" w:rsidP="00572DB9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D06205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Self-Certification:</w:t>
      </w:r>
      <w:r w:rsidRPr="00D062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620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Rule Certification for </w:t>
      </w:r>
      <w:r w:rsidR="00572DB9" w:rsidRPr="00D06205">
        <w:rPr>
          <w:rFonts w:ascii="Times New Roman" w:eastAsia="Calibri" w:hAnsi="Times New Roman" w:cs="Times New Roman"/>
          <w:b/>
          <w:sz w:val="24"/>
          <w:szCs w:val="24"/>
        </w:rPr>
        <w:t>Amendment</w:t>
      </w:r>
      <w:r w:rsidR="00F31547">
        <w:rPr>
          <w:rFonts w:ascii="Times New Roman" w:eastAsia="Calibri" w:hAnsi="Times New Roman" w:cs="Times New Roman"/>
          <w:b/>
          <w:sz w:val="24"/>
          <w:szCs w:val="24"/>
        </w:rPr>
        <w:t>s to the</w:t>
      </w:r>
      <w:r w:rsidR="00572DB9" w:rsidRPr="00D062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72DB9" w:rsidRPr="00D06205" w:rsidRDefault="00F31547" w:rsidP="00572DB9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Energy Broker Incentive </w:t>
      </w:r>
      <w:r w:rsidR="00572DB9" w:rsidRPr="00D06205">
        <w:rPr>
          <w:rFonts w:ascii="Times New Roman" w:eastAsia="Calibri" w:hAnsi="Times New Roman" w:cs="Times New Roman"/>
          <w:b/>
          <w:sz w:val="24"/>
          <w:szCs w:val="24"/>
        </w:rPr>
        <w:t>Program</w:t>
      </w:r>
    </w:p>
    <w:p w:rsidR="004008C0" w:rsidRPr="00D06205" w:rsidRDefault="004008C0" w:rsidP="00572DB9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620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Reference File: </w:t>
      </w:r>
      <w:r w:rsidR="0095411C" w:rsidRPr="00D06205">
        <w:rPr>
          <w:rFonts w:ascii="Times New Roman" w:eastAsia="Calibri" w:hAnsi="Times New Roman" w:cs="Times New Roman"/>
          <w:b/>
          <w:sz w:val="24"/>
          <w:szCs w:val="24"/>
          <w:u w:val="single"/>
        </w:rPr>
        <w:t>SR-NFX-2018</w:t>
      </w:r>
      <w:r w:rsidRPr="00D06205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DC4762">
        <w:rPr>
          <w:rFonts w:ascii="Times New Roman" w:eastAsia="Calibri" w:hAnsi="Times New Roman" w:cs="Times New Roman"/>
          <w:b/>
          <w:sz w:val="24"/>
          <w:szCs w:val="24"/>
          <w:u w:val="single"/>
        </w:rPr>
        <w:t>55</w:t>
      </w:r>
    </w:p>
    <w:p w:rsidR="0008423C" w:rsidRPr="00D06205" w:rsidRDefault="0008423C" w:rsidP="0008423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547" w:rsidRPr="00F31547" w:rsidRDefault="00F31547" w:rsidP="00F3154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122"/>
        <w:rPr>
          <w:rFonts w:ascii="Times New Roman" w:eastAsiaTheme="minorEastAsia" w:hAnsi="Times New Roman" w:cs="Times New Roman"/>
          <w:sz w:val="24"/>
          <w:szCs w:val="24"/>
        </w:rPr>
      </w:pPr>
      <w:r w:rsidRPr="00F31547">
        <w:rPr>
          <w:rFonts w:ascii="Times New Roman" w:eastAsiaTheme="minorEastAsia" w:hAnsi="Times New Roman" w:cs="Times New Roman"/>
          <w:sz w:val="24"/>
          <w:szCs w:val="24"/>
        </w:rPr>
        <w:t>Dear Mr. Kirkpatrick:</w:t>
      </w:r>
    </w:p>
    <w:p w:rsidR="00F31547" w:rsidRPr="00F31547" w:rsidRDefault="00F31547" w:rsidP="00F3154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31547" w:rsidRPr="00F31547" w:rsidRDefault="00F31547" w:rsidP="00F3154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122" w:right="116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F31547">
        <w:rPr>
          <w:rFonts w:ascii="Times New Roman" w:eastAsiaTheme="minorEastAsia" w:hAnsi="Times New Roman" w:cs="Times New Roman"/>
          <w:sz w:val="24"/>
          <w:szCs w:val="24"/>
        </w:rPr>
        <w:t>Pursuant to Section 5c(c)(1) of the Commodity Exchange Act, as amended (“</w:t>
      </w:r>
      <w:r w:rsidRPr="00F31547">
        <w:rPr>
          <w:rFonts w:ascii="Times New Roman" w:eastAsiaTheme="minorEastAsia" w:hAnsi="Times New Roman" w:cs="Times New Roman"/>
          <w:sz w:val="24"/>
          <w:szCs w:val="24"/>
          <w:u w:val="single" w:color="000000"/>
        </w:rPr>
        <w:t>Act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”), and Sections 40.2 and 40.6 of the Commission’s regulations thereunder, NASDAQ Futures, Inc. (“</w:t>
      </w:r>
      <w:r w:rsidRPr="00F31547">
        <w:rPr>
          <w:rFonts w:ascii="Times New Roman" w:eastAsiaTheme="minorEastAsia" w:hAnsi="Times New Roman" w:cs="Times New Roman"/>
          <w:sz w:val="24"/>
          <w:szCs w:val="24"/>
          <w:u w:val="single" w:color="000000"/>
        </w:rPr>
        <w:t>NFX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” or “</w:t>
      </w:r>
      <w:r w:rsidRPr="00F31547">
        <w:rPr>
          <w:rFonts w:ascii="Times New Roman" w:eastAsiaTheme="minorEastAsia" w:hAnsi="Times New Roman" w:cs="Times New Roman"/>
          <w:sz w:val="24"/>
          <w:szCs w:val="24"/>
          <w:u w:val="single" w:color="000000"/>
        </w:rPr>
        <w:t>Exchange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”) submits this self-certification to amend the Exchange’s broker incentive program (the “</w:t>
      </w:r>
      <w:r w:rsidRPr="00F31547">
        <w:rPr>
          <w:rFonts w:ascii="Times New Roman" w:eastAsiaTheme="minorEastAsia" w:hAnsi="Times New Roman" w:cs="Times New Roman"/>
          <w:sz w:val="24"/>
          <w:szCs w:val="24"/>
          <w:u w:val="single" w:color="000000"/>
        </w:rPr>
        <w:t>Energy Broker Incentive Program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” or “</w:t>
      </w:r>
      <w:r w:rsidRPr="00F31547">
        <w:rPr>
          <w:rFonts w:ascii="Times New Roman" w:eastAsiaTheme="minorEastAsia" w:hAnsi="Times New Roman" w:cs="Times New Roman"/>
          <w:sz w:val="24"/>
          <w:szCs w:val="24"/>
          <w:u w:val="single" w:color="000000"/>
        </w:rPr>
        <w:t>Program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”) for certain energy contracts (the “</w:t>
      </w:r>
      <w:r w:rsidRPr="00F31547">
        <w:rPr>
          <w:rFonts w:ascii="Times New Roman" w:eastAsiaTheme="minorEastAsia" w:hAnsi="Times New Roman" w:cs="Times New Roman"/>
          <w:sz w:val="24"/>
          <w:szCs w:val="24"/>
          <w:u w:val="single" w:color="000000"/>
        </w:rPr>
        <w:t>Energy Contracts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”).</w:t>
      </w:r>
      <w:hyperlink w:anchor="bookmark0" w:history="1">
        <w:r w:rsidRPr="00F31547">
          <w:rPr>
            <w:rFonts w:ascii="Times New Roman" w:eastAsiaTheme="minorEastAsia" w:hAnsi="Times New Roman" w:cs="Times New Roman"/>
            <w:position w:val="11"/>
            <w:sz w:val="16"/>
            <w:szCs w:val="16"/>
          </w:rPr>
          <w:t>1</w:t>
        </w:r>
      </w:hyperlink>
      <w:r w:rsidRPr="00F31547">
        <w:rPr>
          <w:rFonts w:ascii="Times New Roman" w:eastAsiaTheme="minorEastAsia" w:hAnsi="Times New Roman" w:cs="Times New Roman"/>
          <w:position w:val="11"/>
          <w:sz w:val="16"/>
          <w:szCs w:val="16"/>
        </w:rPr>
        <w:t xml:space="preserve">  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This self-certification </w:t>
      </w:r>
      <w:r w:rsidR="005B74C1">
        <w:rPr>
          <w:rFonts w:ascii="Times New Roman" w:eastAsiaTheme="minorEastAsia" w:hAnsi="Times New Roman" w:cs="Times New Roman"/>
          <w:sz w:val="24"/>
          <w:szCs w:val="24"/>
        </w:rPr>
        <w:t xml:space="preserve">adds </w:t>
      </w:r>
      <w:r w:rsidR="004E79ED">
        <w:rPr>
          <w:rFonts w:ascii="Times New Roman" w:eastAsiaTheme="minorEastAsia" w:hAnsi="Times New Roman" w:cs="Times New Roman"/>
          <w:sz w:val="24"/>
          <w:szCs w:val="24"/>
        </w:rPr>
        <w:t xml:space="preserve">the newly listed Argus Crude Futures and simplifies the references to the OPIS </w:t>
      </w:r>
      <w:r w:rsidR="00DD0C2D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4E79ED">
        <w:rPr>
          <w:rFonts w:ascii="Times New Roman" w:eastAsiaTheme="minorEastAsia" w:hAnsi="Times New Roman" w:cs="Times New Roman"/>
          <w:sz w:val="24"/>
          <w:szCs w:val="24"/>
        </w:rPr>
        <w:t xml:space="preserve">etrochemical </w:t>
      </w:r>
      <w:r w:rsidR="00DD0C2D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4E79ED">
        <w:rPr>
          <w:rFonts w:ascii="Times New Roman" w:eastAsiaTheme="minorEastAsia" w:hAnsi="Times New Roman" w:cs="Times New Roman"/>
          <w:sz w:val="24"/>
          <w:szCs w:val="24"/>
        </w:rPr>
        <w:t>utures</w:t>
      </w:r>
      <w:r w:rsidR="005B74C1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E79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B74C1">
        <w:rPr>
          <w:rFonts w:ascii="Times New Roman" w:eastAsiaTheme="minorEastAsia" w:hAnsi="Times New Roman" w:cs="Times New Roman"/>
          <w:sz w:val="24"/>
          <w:szCs w:val="24"/>
        </w:rPr>
        <w:t xml:space="preserve">Furthermore, the amendment extends the Program until </w:t>
      </w:r>
      <w:r w:rsidR="004E79ED">
        <w:rPr>
          <w:rFonts w:ascii="Times New Roman" w:eastAsiaTheme="minorEastAsia" w:hAnsi="Times New Roman" w:cs="Times New Roman"/>
          <w:sz w:val="24"/>
          <w:szCs w:val="24"/>
        </w:rPr>
        <w:t>May</w:t>
      </w:r>
      <w:r w:rsidR="005B74C1">
        <w:rPr>
          <w:rFonts w:ascii="Times New Roman" w:eastAsiaTheme="minorEastAsia" w:hAnsi="Times New Roman" w:cs="Times New Roman"/>
          <w:sz w:val="24"/>
          <w:szCs w:val="24"/>
        </w:rPr>
        <w:t xml:space="preserve"> 31, 2019.  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The terms and conditions of the Energy Broker Incentive Program are attached hereto as </w:t>
      </w:r>
      <w:r w:rsidR="00075D5F">
        <w:rPr>
          <w:rFonts w:ascii="Times New Roman" w:eastAsiaTheme="minorEastAsia" w:hAnsi="Times New Roman" w:cs="Times New Roman"/>
          <w:sz w:val="24"/>
          <w:szCs w:val="24"/>
          <w:u w:val="single" w:color="000000"/>
        </w:rPr>
        <w:t>Exhibit A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447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The amendments in </w:t>
      </w:r>
      <w:r w:rsidR="00075D5F">
        <w:rPr>
          <w:rFonts w:ascii="Times New Roman" w:eastAsiaTheme="minorEastAsia" w:hAnsi="Times New Roman" w:cs="Times New Roman"/>
          <w:sz w:val="24"/>
          <w:szCs w:val="24"/>
          <w:u w:val="single" w:color="000000"/>
        </w:rPr>
        <w:t>Exhibit A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 will be implemented on </w:t>
      </w:r>
      <w:r w:rsidR="004E79ED">
        <w:rPr>
          <w:rFonts w:ascii="Times New Roman" w:eastAsiaTheme="minorEastAsia" w:hAnsi="Times New Roman" w:cs="Times New Roman"/>
          <w:sz w:val="24"/>
          <w:szCs w:val="24"/>
        </w:rPr>
        <w:t>November 15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F31547">
        <w:rPr>
          <w:rFonts w:ascii="Times New Roman" w:eastAsiaTheme="minorEastAsia" w:hAnsi="Times New Roman" w:cs="Times New Roman"/>
          <w:spacing w:val="-15"/>
          <w:sz w:val="24"/>
          <w:szCs w:val="24"/>
        </w:rPr>
        <w:t xml:space="preserve"> 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2018.</w:t>
      </w:r>
    </w:p>
    <w:p w:rsidR="00F31547" w:rsidRPr="00F31547" w:rsidRDefault="00F31547" w:rsidP="00F3154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5"/>
          <w:szCs w:val="15"/>
        </w:rPr>
      </w:pPr>
    </w:p>
    <w:p w:rsidR="00F31547" w:rsidRPr="00F31547" w:rsidRDefault="00F31547" w:rsidP="00F3154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122" w:right="156" w:firstLine="72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There were no opposing views among the NFX’s Board of Directors, members or market participants. </w:t>
      </w:r>
      <w:r w:rsidR="004447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The Exchange hereby certifies that the amendm</w:t>
      </w:r>
      <w:bookmarkStart w:id="0" w:name="_GoBack"/>
      <w:bookmarkEnd w:id="0"/>
      <w:r w:rsidRPr="00F31547">
        <w:rPr>
          <w:rFonts w:ascii="Times New Roman" w:eastAsiaTheme="minorEastAsia" w:hAnsi="Times New Roman" w:cs="Times New Roman"/>
          <w:sz w:val="24"/>
          <w:szCs w:val="24"/>
        </w:rPr>
        <w:t>ent</w:t>
      </w:r>
      <w:r w:rsidR="00DD0C2D">
        <w:rPr>
          <w:rFonts w:ascii="Times New Roman" w:eastAsiaTheme="minorEastAsia" w:hAnsi="Times New Roman" w:cs="Times New Roman"/>
          <w:sz w:val="24"/>
          <w:szCs w:val="24"/>
        </w:rPr>
        <w:t xml:space="preserve">s to the 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Energy Broker Incentive Program compl</w:t>
      </w:r>
      <w:r w:rsidR="00DD0C2D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 with the Commodity Exchange Act and regulations thereunder. </w:t>
      </w:r>
      <w:r w:rsidR="004447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The Exchange also certifies that notice of pending certification and a copy of this submission have been concurrently posted on the Exchange’s website at </w:t>
      </w:r>
      <w:r w:rsidRPr="00F31547">
        <w:rPr>
          <w:rFonts w:ascii="Times New Roman" w:eastAsiaTheme="minorEastAsia" w:hAnsi="Times New Roman" w:cs="Times New Roman"/>
          <w:color w:val="818181"/>
          <w:sz w:val="24"/>
          <w:szCs w:val="24"/>
          <w:u w:val="single"/>
        </w:rPr>
        <w:t>business.nasdaq.com/futures</w:t>
      </w:r>
      <w:r w:rsidRPr="00F31547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F31547" w:rsidRPr="00F31547" w:rsidRDefault="00F31547" w:rsidP="00F315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F31547" w:rsidRPr="00F31547" w:rsidRDefault="00F31547" w:rsidP="00F3154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102" w:right="396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If you require any additional information regarding the submission, please contact Stephen Matthews at +1 301 978 8456 or via e-mail at </w:t>
      </w:r>
      <w:hyperlink r:id="rId12" w:history="1">
        <w:r w:rsidRPr="00F31547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</w:rPr>
          <w:t>steve.matthews@nasdaq.com.</w:t>
        </w:r>
      </w:hyperlink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447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Please reference SR-NFX-2018-</w:t>
      </w:r>
      <w:r w:rsidR="004E79ED">
        <w:rPr>
          <w:rFonts w:ascii="Times New Roman" w:eastAsiaTheme="minorEastAsia" w:hAnsi="Times New Roman" w:cs="Times New Roman"/>
          <w:sz w:val="24"/>
          <w:szCs w:val="24"/>
        </w:rPr>
        <w:t>55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 in any related correspondence.</w:t>
      </w:r>
    </w:p>
    <w:p w:rsidR="0008423C" w:rsidRPr="00D06205" w:rsidRDefault="0008423C" w:rsidP="0008423C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08423C" w:rsidRPr="00D06205" w:rsidRDefault="0008423C" w:rsidP="0008423C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95411C" w:rsidRPr="00D06205" w:rsidRDefault="0095411C" w:rsidP="0095411C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95411C" w:rsidRPr="00D06205" w:rsidRDefault="0095411C" w:rsidP="0095411C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6F4C54D" wp14:editId="6741E287">
            <wp:extent cx="1959240" cy="544286"/>
            <wp:effectExtent l="0" t="0" r="3175" b="8255"/>
            <wp:docPr id="2" name="Picture 2" descr="C:\Users\aramen\AppData\Local\Microsoft\Windows\Temporary Internet Files\Content.Outlook\Z6BM50HW\Rick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en\AppData\Local\Microsoft\Windows\Temporary Internet Files\Content.Outlook\Z6BM50HW\Rick's Signatur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27" cy="58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11C" w:rsidRPr="00D06205" w:rsidRDefault="0095411C" w:rsidP="0095411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95411C" w:rsidRPr="00D06205" w:rsidRDefault="0095411C" w:rsidP="0095411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sz w:val="24"/>
          <w:szCs w:val="24"/>
        </w:rPr>
        <w:t xml:space="preserve">Rick </w:t>
      </w:r>
      <w:proofErr w:type="spellStart"/>
      <w:r w:rsidRPr="00D06205">
        <w:rPr>
          <w:rFonts w:ascii="Times New Roman" w:eastAsia="Calibri" w:hAnsi="Times New Roman" w:cs="Times New Roman"/>
          <w:sz w:val="24"/>
          <w:szCs w:val="24"/>
        </w:rPr>
        <w:t>Beaman</w:t>
      </w:r>
      <w:proofErr w:type="spellEnd"/>
    </w:p>
    <w:p w:rsidR="0008423C" w:rsidRPr="00D06205" w:rsidRDefault="0095411C" w:rsidP="0095411C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08423C" w:rsidRPr="00D06205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5411C" w:rsidRPr="00D06205" w:rsidRDefault="0095411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D06205" w:rsidRDefault="0008423C" w:rsidP="0008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205">
        <w:rPr>
          <w:rFonts w:ascii="Times New Roman" w:hAnsi="Times New Roman" w:cs="Times New Roman"/>
          <w:sz w:val="24"/>
          <w:szCs w:val="24"/>
        </w:rPr>
        <w:t xml:space="preserve">Attachments: </w:t>
      </w:r>
    </w:p>
    <w:p w:rsidR="0008423C" w:rsidRPr="00D06205" w:rsidRDefault="0008423C" w:rsidP="0008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547" w:rsidRPr="00F31547" w:rsidRDefault="0008423C" w:rsidP="00F31547">
      <w:pPr>
        <w:pStyle w:val="BodyText"/>
        <w:tabs>
          <w:tab w:val="left" w:pos="1472"/>
        </w:tabs>
        <w:kinsoku w:val="0"/>
        <w:overflowPunct w:val="0"/>
        <w:ind w:left="102"/>
        <w:rPr>
          <w:rFonts w:ascii="Times New Roman" w:eastAsiaTheme="minorEastAsia" w:hAnsi="Times New Roman" w:cs="Times New Roman"/>
          <w:sz w:val="24"/>
          <w:szCs w:val="24"/>
        </w:rPr>
      </w:pPr>
      <w:r w:rsidRPr="00D06205">
        <w:rPr>
          <w:rFonts w:ascii="Times New Roman" w:hAnsi="Times New Roman" w:cs="Times New Roman"/>
          <w:sz w:val="24"/>
          <w:szCs w:val="24"/>
          <w:u w:val="single"/>
        </w:rPr>
        <w:t xml:space="preserve">Exhibit </w:t>
      </w:r>
      <w:r w:rsidR="005A08AE" w:rsidRPr="00D0620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D06205">
        <w:rPr>
          <w:rFonts w:ascii="Times New Roman" w:hAnsi="Times New Roman" w:cs="Times New Roman"/>
          <w:sz w:val="24"/>
          <w:szCs w:val="24"/>
        </w:rPr>
        <w:t>:</w:t>
      </w:r>
      <w:r w:rsidRPr="00D062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1547" w:rsidRPr="00F31547">
        <w:rPr>
          <w:rFonts w:ascii="Times New Roman" w:eastAsiaTheme="minorEastAsia" w:hAnsi="Times New Roman" w:cs="Times New Roman"/>
          <w:sz w:val="24"/>
          <w:szCs w:val="24"/>
        </w:rPr>
        <w:t>Energy Broker Incentive</w:t>
      </w:r>
      <w:r w:rsidR="00F31547" w:rsidRPr="00F31547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="00F31547" w:rsidRPr="00F31547">
        <w:rPr>
          <w:rFonts w:ascii="Times New Roman" w:eastAsiaTheme="minorEastAsia" w:hAnsi="Times New Roman" w:cs="Times New Roman"/>
          <w:sz w:val="24"/>
          <w:szCs w:val="24"/>
        </w:rPr>
        <w:t>Program</w:t>
      </w:r>
    </w:p>
    <w:p w:rsidR="00D60246" w:rsidRPr="00D06205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46" w:rsidRPr="00D06205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46" w:rsidRPr="00D06205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46" w:rsidRPr="00D06205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EC5" w:rsidRPr="00D06205" w:rsidRDefault="00204EC5">
      <w:pPr>
        <w:rPr>
          <w:rFonts w:ascii="Times New Roman" w:hAnsi="Times New Roman" w:cs="Times New Roman"/>
          <w:sz w:val="24"/>
          <w:szCs w:val="24"/>
        </w:rPr>
      </w:pPr>
    </w:p>
    <w:sectPr w:rsidR="00204EC5" w:rsidRPr="00D06205" w:rsidSect="00E12802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0B" w:rsidRDefault="00AF360B" w:rsidP="0008423C">
      <w:pPr>
        <w:spacing w:after="0" w:line="240" w:lineRule="auto"/>
      </w:pPr>
      <w:r>
        <w:separator/>
      </w:r>
    </w:p>
  </w:endnote>
  <w:endnote w:type="continuationSeparator" w:id="0">
    <w:p w:rsidR="00AF360B" w:rsidRDefault="00AF360B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0B" w:rsidRDefault="00AF360B" w:rsidP="0008423C">
      <w:pPr>
        <w:spacing w:after="0" w:line="240" w:lineRule="auto"/>
      </w:pPr>
      <w:r>
        <w:separator/>
      </w:r>
    </w:p>
  </w:footnote>
  <w:footnote w:type="continuationSeparator" w:id="0">
    <w:p w:rsidR="00AF360B" w:rsidRDefault="00AF360B" w:rsidP="0008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02" w:rsidRPr="00B67098" w:rsidRDefault="00E12802" w:rsidP="00E12802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B53FAF" w:rsidRDefault="00B53FAF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D0C2D">
      <w:rPr>
        <w:rFonts w:ascii="Times New Roman" w:hAnsi="Times New Roman" w:cs="Times New Roman"/>
        <w:noProof/>
        <w:sz w:val="20"/>
        <w:szCs w:val="20"/>
      </w:rPr>
      <w:t>November 1, 2018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82421C" w:rsidRDefault="0095411C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SR-NFX-2018</w:t>
    </w:r>
    <w:r w:rsidR="00E12802" w:rsidRPr="00C54BB6">
      <w:rPr>
        <w:rFonts w:ascii="Times New Roman" w:hAnsi="Times New Roman" w:cs="Times New Roman"/>
        <w:sz w:val="20"/>
        <w:szCs w:val="20"/>
      </w:rPr>
      <w:t>-</w:t>
    </w:r>
    <w:r w:rsidR="004E79ED">
      <w:rPr>
        <w:rFonts w:ascii="Times New Roman" w:hAnsi="Times New Roman" w:cs="Times New Roman"/>
        <w:sz w:val="20"/>
        <w:szCs w:val="20"/>
      </w:rPr>
      <w:t>55</w:t>
    </w:r>
  </w:p>
  <w:p w:rsidR="00E12802" w:rsidRPr="00B67098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DD0C2D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08423C" w:rsidRDefault="0008423C" w:rsidP="00FB3245">
    <w:pPr>
      <w:spacing w:before="120" w:after="0"/>
      <w:ind w:left="65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02" w:rsidRDefault="00E12802" w:rsidP="00E12802">
    <w:pPr>
      <w:pStyle w:val="Header"/>
      <w:ind w:firstLine="6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8"/>
    <w:rsid w:val="00010CB6"/>
    <w:rsid w:val="00075D5F"/>
    <w:rsid w:val="0008423C"/>
    <w:rsid w:val="000A5577"/>
    <w:rsid w:val="000E26AE"/>
    <w:rsid w:val="000E415C"/>
    <w:rsid w:val="0012529D"/>
    <w:rsid w:val="001503D8"/>
    <w:rsid w:val="00154FD5"/>
    <w:rsid w:val="00172E83"/>
    <w:rsid w:val="00204EC5"/>
    <w:rsid w:val="00253701"/>
    <w:rsid w:val="002C0A34"/>
    <w:rsid w:val="00317C2C"/>
    <w:rsid w:val="003775E4"/>
    <w:rsid w:val="003B05E1"/>
    <w:rsid w:val="003B2C8A"/>
    <w:rsid w:val="003D40B8"/>
    <w:rsid w:val="004008C0"/>
    <w:rsid w:val="00434572"/>
    <w:rsid w:val="00443D38"/>
    <w:rsid w:val="0044478A"/>
    <w:rsid w:val="004965FA"/>
    <w:rsid w:val="004A53F9"/>
    <w:rsid w:val="004B0524"/>
    <w:rsid w:val="004D7E5D"/>
    <w:rsid w:val="004E79ED"/>
    <w:rsid w:val="00525B98"/>
    <w:rsid w:val="00543CA2"/>
    <w:rsid w:val="00572DB9"/>
    <w:rsid w:val="005A08AE"/>
    <w:rsid w:val="005B74C1"/>
    <w:rsid w:val="005E3020"/>
    <w:rsid w:val="005F3337"/>
    <w:rsid w:val="00672199"/>
    <w:rsid w:val="00682A97"/>
    <w:rsid w:val="006B3A2F"/>
    <w:rsid w:val="006C2A86"/>
    <w:rsid w:val="006D0255"/>
    <w:rsid w:val="006E7A2A"/>
    <w:rsid w:val="007076E9"/>
    <w:rsid w:val="007562EF"/>
    <w:rsid w:val="007958C5"/>
    <w:rsid w:val="007C7601"/>
    <w:rsid w:val="00821537"/>
    <w:rsid w:val="00821A79"/>
    <w:rsid w:val="0082421C"/>
    <w:rsid w:val="008321A8"/>
    <w:rsid w:val="0083533B"/>
    <w:rsid w:val="00846BAF"/>
    <w:rsid w:val="0087015D"/>
    <w:rsid w:val="00893E15"/>
    <w:rsid w:val="00895F7F"/>
    <w:rsid w:val="008B041F"/>
    <w:rsid w:val="008C3F5C"/>
    <w:rsid w:val="00941967"/>
    <w:rsid w:val="0095411C"/>
    <w:rsid w:val="0096726E"/>
    <w:rsid w:val="009C13BE"/>
    <w:rsid w:val="009D0582"/>
    <w:rsid w:val="00A33DA7"/>
    <w:rsid w:val="00A5669E"/>
    <w:rsid w:val="00AA0718"/>
    <w:rsid w:val="00AD7CB9"/>
    <w:rsid w:val="00AF360B"/>
    <w:rsid w:val="00B53FAF"/>
    <w:rsid w:val="00B6532A"/>
    <w:rsid w:val="00BF3AF0"/>
    <w:rsid w:val="00C21CE4"/>
    <w:rsid w:val="00C4068B"/>
    <w:rsid w:val="00C7593E"/>
    <w:rsid w:val="00CA52C3"/>
    <w:rsid w:val="00CA6E45"/>
    <w:rsid w:val="00CB53DA"/>
    <w:rsid w:val="00D0050D"/>
    <w:rsid w:val="00D06205"/>
    <w:rsid w:val="00D327C6"/>
    <w:rsid w:val="00D60246"/>
    <w:rsid w:val="00D6561E"/>
    <w:rsid w:val="00D70718"/>
    <w:rsid w:val="00D71481"/>
    <w:rsid w:val="00D84895"/>
    <w:rsid w:val="00DC4762"/>
    <w:rsid w:val="00DD0C2D"/>
    <w:rsid w:val="00DD40DA"/>
    <w:rsid w:val="00E1206A"/>
    <w:rsid w:val="00E12802"/>
    <w:rsid w:val="00E34482"/>
    <w:rsid w:val="00E37380"/>
    <w:rsid w:val="00E74C83"/>
    <w:rsid w:val="00EC432B"/>
    <w:rsid w:val="00F02F13"/>
    <w:rsid w:val="00F20044"/>
    <w:rsid w:val="00F20122"/>
    <w:rsid w:val="00F31547"/>
    <w:rsid w:val="00F452FD"/>
    <w:rsid w:val="00F86B2E"/>
    <w:rsid w:val="00F93853"/>
    <w:rsid w:val="00FB3245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B87398-7BF6-4E4C-8A9C-2A3B7E4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1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315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F315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ve.matthews@nasdaq.com.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30d5324f-aa36-466c-b253-17ca0ec0a729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2018-11-01T21:44:31+00:00</Document_x0020_Date>
    <Document_x0020_No xmlns="4b47aac5-4c46-444f-8595-ce09b406fc61">42700</Document_x0020_No>
  </documentManagement>
</p:properties>
</file>

<file path=customXml/itemProps1.xml><?xml version="1.0" encoding="utf-8"?>
<ds:datastoreItem xmlns:ds="http://schemas.openxmlformats.org/officeDocument/2006/customXml" ds:itemID="{77108876-2C98-46E0-9AAC-1ECF54F30898}"/>
</file>

<file path=customXml/itemProps2.xml><?xml version="1.0" encoding="utf-8"?>
<ds:datastoreItem xmlns:ds="http://schemas.openxmlformats.org/officeDocument/2006/customXml" ds:itemID="{052F7D44-FE25-49B1-B276-A38F4D0D47CA}"/>
</file>

<file path=customXml/itemProps3.xml><?xml version="1.0" encoding="utf-8"?>
<ds:datastoreItem xmlns:ds="http://schemas.openxmlformats.org/officeDocument/2006/customXml" ds:itemID="{1ECBB18B-C3D8-488D-8064-5B7F71B957B8}"/>
</file>

<file path=customXml/itemProps4.xml><?xml version="1.0" encoding="utf-8"?>
<ds:datastoreItem xmlns:ds="http://schemas.openxmlformats.org/officeDocument/2006/customXml" ds:itemID="{B588B6C6-A465-47A4-A7F6-6BF629C70B3A}"/>
</file>

<file path=customXml/itemProps5.xml><?xml version="1.0" encoding="utf-8"?>
<ds:datastoreItem xmlns:ds="http://schemas.openxmlformats.org/officeDocument/2006/customXml" ds:itemID="{742AE1E5-549E-435C-A1FE-DEDA0A418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Aravind Menon</dc:creator>
  <cp:keywords/>
  <dc:description/>
  <cp:lastModifiedBy>Steve Matthews</cp:lastModifiedBy>
  <cp:revision>2</cp:revision>
  <dcterms:created xsi:type="dcterms:W3CDTF">2018-11-01T19:44:00Z</dcterms:created>
  <dcterms:modified xsi:type="dcterms:W3CDTF">2018-11-01T19:44:00Z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6122800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