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9E73A3" w:rsidRDefault="00EC1F98" w:rsidP="003A2865">
      <w:pPr>
        <w:pStyle w:val="NoSpacing"/>
        <w:ind w:left="2620" w:firstLine="1310"/>
        <w:rPr>
          <w:rFonts w:ascii="Times New Roman" w:eastAsia="Calibri" w:hAnsi="Times New Roman" w:cs="Times New Roman"/>
          <w:b/>
          <w:bCs/>
          <w:sz w:val="24"/>
          <w:szCs w:val="24"/>
        </w:rPr>
      </w:pPr>
      <w:r w:rsidRPr="009E73A3">
        <w:rPr>
          <w:rFonts w:ascii="Times New Roman" w:eastAsia="Calibri" w:hAnsi="Times New Roman" w:cs="Times New Roman"/>
          <w:b/>
          <w:bCs/>
          <w:color w:val="333333"/>
          <w:sz w:val="24"/>
          <w:szCs w:val="24"/>
        </w:rPr>
        <w:t>Rule Self-Certification</w:t>
      </w:r>
    </w:p>
    <w:p w:rsidR="00EC1F98" w:rsidRPr="009E73A3" w:rsidRDefault="00EC1F98" w:rsidP="003A2865">
      <w:pPr>
        <w:pStyle w:val="NoSpacing"/>
        <w:rPr>
          <w:rFonts w:ascii="Times New Roman" w:eastAsia="Calibri" w:hAnsi="Times New Roman" w:cs="Times New Roman"/>
          <w:sz w:val="24"/>
          <w:szCs w:val="24"/>
          <w:u w:val="single"/>
        </w:rPr>
      </w:pPr>
    </w:p>
    <w:p w:rsidR="00EC1F98" w:rsidRPr="009E73A3" w:rsidRDefault="00EC1F98" w:rsidP="003A2865">
      <w:pPr>
        <w:pStyle w:val="NoSpacing"/>
        <w:rPr>
          <w:rFonts w:ascii="Times New Roman" w:hAnsi="Times New Roman" w:cs="Times New Roman"/>
          <w:sz w:val="24"/>
          <w:szCs w:val="24"/>
        </w:rPr>
      </w:pPr>
    </w:p>
    <w:p w:rsidR="00EC1F98" w:rsidRPr="009E73A3" w:rsidRDefault="00A03E26"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 xml:space="preserve">November </w:t>
      </w:r>
      <w:r w:rsidR="000A0B3A" w:rsidRPr="009E73A3">
        <w:rPr>
          <w:rFonts w:ascii="Times New Roman" w:eastAsia="Calibri" w:hAnsi="Times New Roman" w:cs="Times New Roman"/>
          <w:sz w:val="24"/>
          <w:szCs w:val="24"/>
        </w:rPr>
        <w:t>1</w:t>
      </w:r>
      <w:r w:rsidR="00EE0401">
        <w:rPr>
          <w:rFonts w:ascii="Times New Roman" w:eastAsia="Calibri" w:hAnsi="Times New Roman" w:cs="Times New Roman"/>
          <w:sz w:val="24"/>
          <w:szCs w:val="24"/>
        </w:rPr>
        <w:t>6</w:t>
      </w:r>
      <w:r w:rsidR="00352533" w:rsidRPr="009E73A3">
        <w:rPr>
          <w:rFonts w:ascii="Times New Roman" w:eastAsia="Calibri" w:hAnsi="Times New Roman" w:cs="Times New Roman"/>
          <w:sz w:val="24"/>
          <w:szCs w:val="24"/>
        </w:rPr>
        <w:t>, 2016</w:t>
      </w:r>
    </w:p>
    <w:p w:rsidR="00EC1F98" w:rsidRPr="009E73A3" w:rsidRDefault="00EC1F98" w:rsidP="003A2865">
      <w:pPr>
        <w:pStyle w:val="NoSpacing"/>
        <w:rPr>
          <w:rFonts w:ascii="Times New Roman" w:eastAsia="Calibri" w:hAnsi="Times New Roman" w:cs="Times New Roman"/>
          <w:sz w:val="24"/>
          <w:szCs w:val="24"/>
        </w:rPr>
      </w:pPr>
    </w:p>
    <w:p w:rsidR="00197F73" w:rsidRPr="009E73A3" w:rsidRDefault="00197F73"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Christopher J. Kirkpatrick</w:t>
      </w:r>
    </w:p>
    <w:p w:rsidR="00197F73" w:rsidRPr="009E73A3" w:rsidRDefault="00197F73"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Office of the Secretariat</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Commodity Futures Trading Commission</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Three Lafayette Center</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1155 21</w:t>
      </w:r>
      <w:r w:rsidRPr="009E73A3">
        <w:rPr>
          <w:rFonts w:ascii="Times New Roman" w:eastAsia="Calibri" w:hAnsi="Times New Roman" w:cs="Times New Roman"/>
          <w:sz w:val="24"/>
          <w:szCs w:val="24"/>
          <w:vertAlign w:val="superscript"/>
        </w:rPr>
        <w:t>st</w:t>
      </w:r>
      <w:r w:rsidRPr="009E73A3">
        <w:rPr>
          <w:rFonts w:ascii="Times New Roman" w:eastAsia="Calibri" w:hAnsi="Times New Roman" w:cs="Times New Roman"/>
          <w:sz w:val="24"/>
          <w:szCs w:val="24"/>
        </w:rPr>
        <w:t xml:space="preserve"> Street, NW</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Washington, DC  20581</w:t>
      </w:r>
    </w:p>
    <w:p w:rsidR="00EC1F98" w:rsidRPr="009E73A3" w:rsidRDefault="00EC1F98" w:rsidP="003A2865">
      <w:pPr>
        <w:pStyle w:val="NoSpacing"/>
        <w:rPr>
          <w:rFonts w:ascii="Times New Roman" w:eastAsia="Times New Roman" w:hAnsi="Times New Roman" w:cs="Times New Roman"/>
          <w:sz w:val="24"/>
          <w:szCs w:val="24"/>
        </w:rPr>
      </w:pPr>
    </w:p>
    <w:p w:rsidR="009E73A3" w:rsidRPr="009E73A3" w:rsidRDefault="00A03E26" w:rsidP="00EE0401">
      <w:pPr>
        <w:pStyle w:val="NoSpacing"/>
        <w:ind w:firstLine="540"/>
        <w:rPr>
          <w:rFonts w:ascii="Times New Roman" w:eastAsia="Calibri" w:hAnsi="Times New Roman" w:cs="Times New Roman"/>
          <w:b/>
          <w:sz w:val="24"/>
          <w:szCs w:val="24"/>
          <w:u w:val="single"/>
        </w:rPr>
      </w:pPr>
      <w:r w:rsidRPr="009E73A3">
        <w:rPr>
          <w:rFonts w:ascii="Times New Roman" w:eastAsia="Calibri" w:hAnsi="Times New Roman" w:cs="Times New Roman"/>
          <w:sz w:val="24"/>
          <w:szCs w:val="24"/>
        </w:rPr>
        <w:t>Re:</w:t>
      </w:r>
      <w:r w:rsidRPr="009E73A3">
        <w:rPr>
          <w:rFonts w:ascii="Times New Roman" w:eastAsia="Calibri" w:hAnsi="Times New Roman" w:cs="Times New Roman"/>
          <w:sz w:val="24"/>
          <w:szCs w:val="24"/>
        </w:rPr>
        <w:tab/>
      </w:r>
      <w:r w:rsidR="002458F1" w:rsidRPr="009E73A3">
        <w:rPr>
          <w:rFonts w:ascii="Times New Roman" w:eastAsia="Calibri" w:hAnsi="Times New Roman" w:cs="Times New Roman"/>
          <w:b/>
          <w:sz w:val="24"/>
          <w:szCs w:val="24"/>
          <w:u w:val="single"/>
        </w:rPr>
        <w:t>Certification</w:t>
      </w:r>
      <w:r w:rsidR="00EE0401">
        <w:rPr>
          <w:rFonts w:ascii="Times New Roman" w:eastAsia="Calibri" w:hAnsi="Times New Roman" w:cs="Times New Roman"/>
          <w:b/>
          <w:sz w:val="24"/>
          <w:szCs w:val="24"/>
          <w:u w:val="single"/>
        </w:rPr>
        <w:t xml:space="preserve"> of </w:t>
      </w:r>
      <w:r w:rsidR="009E73A3" w:rsidRPr="009E73A3">
        <w:rPr>
          <w:rFonts w:ascii="Times New Roman" w:eastAsia="Calibri" w:hAnsi="Times New Roman" w:cs="Times New Roman"/>
          <w:b/>
          <w:sz w:val="24"/>
          <w:szCs w:val="24"/>
          <w:u w:val="single"/>
        </w:rPr>
        <w:t>2017 Trading Calendar</w:t>
      </w:r>
    </w:p>
    <w:p w:rsidR="00197F73" w:rsidRPr="009E73A3" w:rsidRDefault="009E73A3" w:rsidP="009E73A3">
      <w:pPr>
        <w:pStyle w:val="NoSpacing"/>
        <w:ind w:left="1310"/>
        <w:rPr>
          <w:rFonts w:ascii="Times New Roman" w:eastAsia="Calibri" w:hAnsi="Times New Roman" w:cs="Times New Roman"/>
          <w:b/>
          <w:sz w:val="24"/>
          <w:szCs w:val="24"/>
          <w:u w:val="single"/>
        </w:rPr>
      </w:pPr>
      <w:r w:rsidRPr="009E73A3">
        <w:rPr>
          <w:rFonts w:ascii="Times New Roman" w:eastAsia="Calibri" w:hAnsi="Times New Roman" w:cs="Times New Roman"/>
          <w:b/>
          <w:sz w:val="24"/>
          <w:szCs w:val="24"/>
          <w:u w:val="single"/>
        </w:rPr>
        <w:t>Reference File</w:t>
      </w:r>
      <w:r w:rsidR="00197F73" w:rsidRPr="009E73A3">
        <w:rPr>
          <w:rFonts w:ascii="Times New Roman" w:eastAsia="Calibri" w:hAnsi="Times New Roman" w:cs="Times New Roman"/>
          <w:b/>
          <w:sz w:val="24"/>
          <w:szCs w:val="24"/>
          <w:u w:val="single"/>
        </w:rPr>
        <w:t>: SR-NFX-20</w:t>
      </w:r>
      <w:r w:rsidR="00F535EB" w:rsidRPr="009E73A3">
        <w:rPr>
          <w:rFonts w:ascii="Times New Roman" w:eastAsia="Calibri" w:hAnsi="Times New Roman" w:cs="Times New Roman"/>
          <w:b/>
          <w:sz w:val="24"/>
          <w:szCs w:val="24"/>
          <w:u w:val="single"/>
        </w:rPr>
        <w:t>1</w:t>
      </w:r>
      <w:r w:rsidR="00352533" w:rsidRPr="009E73A3">
        <w:rPr>
          <w:rFonts w:ascii="Times New Roman" w:eastAsia="Calibri" w:hAnsi="Times New Roman" w:cs="Times New Roman"/>
          <w:b/>
          <w:sz w:val="24"/>
          <w:szCs w:val="24"/>
          <w:u w:val="single"/>
        </w:rPr>
        <w:t>6</w:t>
      </w:r>
      <w:r w:rsidR="00F535EB" w:rsidRPr="009E73A3">
        <w:rPr>
          <w:rFonts w:ascii="Times New Roman" w:eastAsia="Calibri" w:hAnsi="Times New Roman" w:cs="Times New Roman"/>
          <w:b/>
          <w:sz w:val="24"/>
          <w:szCs w:val="24"/>
          <w:u w:val="single"/>
        </w:rPr>
        <w:t>-</w:t>
      </w:r>
      <w:r w:rsidR="00A03E26" w:rsidRPr="009E73A3">
        <w:rPr>
          <w:rFonts w:ascii="Times New Roman" w:eastAsia="Calibri" w:hAnsi="Times New Roman" w:cs="Times New Roman"/>
          <w:b/>
          <w:sz w:val="24"/>
          <w:szCs w:val="24"/>
          <w:u w:val="single"/>
        </w:rPr>
        <w:t>1</w:t>
      </w:r>
      <w:r w:rsidR="00D057E9" w:rsidRPr="009E73A3">
        <w:rPr>
          <w:rFonts w:ascii="Times New Roman" w:eastAsia="Calibri" w:hAnsi="Times New Roman" w:cs="Times New Roman"/>
          <w:b/>
          <w:sz w:val="24"/>
          <w:szCs w:val="24"/>
          <w:u w:val="single"/>
        </w:rPr>
        <w:t>0</w:t>
      </w:r>
      <w:r w:rsidRPr="009E73A3">
        <w:rPr>
          <w:rFonts w:ascii="Times New Roman" w:eastAsia="Calibri" w:hAnsi="Times New Roman" w:cs="Times New Roman"/>
          <w:b/>
          <w:sz w:val="24"/>
          <w:szCs w:val="24"/>
          <w:u w:val="single"/>
        </w:rPr>
        <w:t>7</w:t>
      </w:r>
    </w:p>
    <w:p w:rsidR="00EC1F98" w:rsidRPr="009E73A3" w:rsidRDefault="00EC1F98" w:rsidP="003A2865">
      <w:pPr>
        <w:pStyle w:val="NoSpacing"/>
        <w:ind w:left="720" w:hanging="720"/>
        <w:rPr>
          <w:rFonts w:ascii="Times New Roman" w:hAnsi="Times New Roman" w:cs="Times New Roman"/>
          <w:b/>
          <w:sz w:val="24"/>
          <w:szCs w:val="24"/>
          <w:u w:val="single"/>
        </w:rPr>
      </w:pPr>
    </w:p>
    <w:p w:rsidR="009E73A3" w:rsidRPr="009E73A3" w:rsidRDefault="009E73A3" w:rsidP="009E73A3">
      <w:pPr>
        <w:rPr>
          <w:rFonts w:ascii="Times New Roman" w:hAnsi="Times New Roman" w:cs="Times New Roman"/>
          <w:sz w:val="24"/>
          <w:szCs w:val="24"/>
        </w:rPr>
      </w:pPr>
      <w:r w:rsidRPr="009E73A3">
        <w:rPr>
          <w:rFonts w:ascii="Times New Roman" w:hAnsi="Times New Roman" w:cs="Times New Roman"/>
          <w:sz w:val="24"/>
          <w:szCs w:val="24"/>
        </w:rPr>
        <w:t>Dear Mr. Kirkpatrick:</w:t>
      </w:r>
    </w:p>
    <w:p w:rsidR="009E73A3" w:rsidRPr="009E73A3" w:rsidRDefault="009E73A3" w:rsidP="009E73A3">
      <w:pPr>
        <w:spacing w:before="100" w:after="100"/>
        <w:rPr>
          <w:rFonts w:ascii="Times New Roman" w:hAnsi="Times New Roman" w:cs="Times New Roman"/>
          <w:sz w:val="24"/>
          <w:szCs w:val="24"/>
        </w:rPr>
      </w:pPr>
      <w:r w:rsidRPr="009E73A3">
        <w:rPr>
          <w:rFonts w:ascii="Times New Roman" w:hAnsi="Times New Roman" w:cs="Times New Roman"/>
          <w:sz w:val="24"/>
          <w:szCs w:val="24"/>
        </w:rPr>
        <w:t>Pursuant to Section 5c(c)(1) of the Commodity Exchange Act, as amended (“</w:t>
      </w:r>
      <w:r w:rsidRPr="009E73A3">
        <w:rPr>
          <w:rFonts w:ascii="Times New Roman" w:hAnsi="Times New Roman" w:cs="Times New Roman"/>
          <w:sz w:val="24"/>
          <w:szCs w:val="24"/>
          <w:u w:val="single"/>
        </w:rPr>
        <w:t>Act</w:t>
      </w:r>
      <w:r w:rsidRPr="009E73A3">
        <w:rPr>
          <w:rFonts w:ascii="Times New Roman" w:hAnsi="Times New Roman" w:cs="Times New Roman"/>
          <w:sz w:val="24"/>
          <w:szCs w:val="24"/>
        </w:rPr>
        <w:t>”), and Section 40.6(a) of the regulations promulgated by the Commodity Futures Trading Commission (“</w:t>
      </w:r>
      <w:r w:rsidRPr="009E73A3">
        <w:rPr>
          <w:rFonts w:ascii="Times New Roman" w:hAnsi="Times New Roman" w:cs="Times New Roman"/>
          <w:sz w:val="24"/>
          <w:szCs w:val="24"/>
          <w:u w:val="single"/>
        </w:rPr>
        <w:t>Commission</w:t>
      </w:r>
      <w:r w:rsidRPr="009E73A3">
        <w:rPr>
          <w:rFonts w:ascii="Times New Roman" w:hAnsi="Times New Roman" w:cs="Times New Roman"/>
          <w:sz w:val="24"/>
          <w:szCs w:val="24"/>
        </w:rPr>
        <w:t>”) under the Act, NASDAQ Futures, Inc. (“</w:t>
      </w:r>
      <w:r w:rsidRPr="009E73A3">
        <w:rPr>
          <w:rFonts w:ascii="Times New Roman" w:hAnsi="Times New Roman" w:cs="Times New Roman"/>
          <w:sz w:val="24"/>
          <w:szCs w:val="24"/>
          <w:u w:val="single"/>
        </w:rPr>
        <w:t>NFX</w:t>
      </w:r>
      <w:r w:rsidRPr="009E73A3">
        <w:rPr>
          <w:rFonts w:ascii="Times New Roman" w:hAnsi="Times New Roman" w:cs="Times New Roman"/>
          <w:sz w:val="24"/>
          <w:szCs w:val="24"/>
        </w:rPr>
        <w:t>” or “</w:t>
      </w:r>
      <w:r w:rsidRPr="009E73A3">
        <w:rPr>
          <w:rFonts w:ascii="Times New Roman" w:hAnsi="Times New Roman" w:cs="Times New Roman"/>
          <w:sz w:val="24"/>
          <w:szCs w:val="24"/>
          <w:u w:val="single"/>
        </w:rPr>
        <w:t>Exchange</w:t>
      </w:r>
      <w:r w:rsidRPr="009E73A3">
        <w:rPr>
          <w:rFonts w:ascii="Times New Roman" w:hAnsi="Times New Roman" w:cs="Times New Roman"/>
          <w:sz w:val="24"/>
          <w:szCs w:val="24"/>
        </w:rPr>
        <w:t>”) submits this self-certification to specify the days and hours the Exchange will be open and closed for business in 2017 with respect to its listed energy Options and Futures products (“Energy Products”).  This filing wi</w:t>
      </w:r>
      <w:r w:rsidR="00EE0401">
        <w:rPr>
          <w:rFonts w:ascii="Times New Roman" w:hAnsi="Times New Roman" w:cs="Times New Roman"/>
          <w:sz w:val="24"/>
          <w:szCs w:val="24"/>
        </w:rPr>
        <w:t xml:space="preserve">ll be implemented on </w:t>
      </w:r>
      <w:r w:rsidR="00AD7E7B">
        <w:rPr>
          <w:rFonts w:ascii="Times New Roman" w:hAnsi="Times New Roman" w:cs="Times New Roman"/>
          <w:sz w:val="24"/>
          <w:szCs w:val="24"/>
        </w:rPr>
        <w:t>December 1</w:t>
      </w:r>
      <w:r w:rsidRPr="009E73A3">
        <w:rPr>
          <w:rFonts w:ascii="Times New Roman" w:hAnsi="Times New Roman" w:cs="Times New Roman"/>
          <w:sz w:val="24"/>
          <w:szCs w:val="24"/>
        </w:rPr>
        <w:t>, 201</w:t>
      </w:r>
      <w:r w:rsidR="00AD7E7B">
        <w:rPr>
          <w:rFonts w:ascii="Times New Roman" w:hAnsi="Times New Roman" w:cs="Times New Roman"/>
          <w:sz w:val="24"/>
          <w:szCs w:val="24"/>
        </w:rPr>
        <w:t>6</w:t>
      </w:r>
      <w:r w:rsidRPr="009E73A3">
        <w:rPr>
          <w:rFonts w:ascii="Times New Roman" w:hAnsi="Times New Roman" w:cs="Times New Roman"/>
          <w:sz w:val="24"/>
          <w:szCs w:val="24"/>
        </w:rPr>
        <w:t xml:space="preserve"> for trade date </w:t>
      </w:r>
      <w:r w:rsidR="00EE0401">
        <w:rPr>
          <w:rFonts w:ascii="Times New Roman" w:hAnsi="Times New Roman" w:cs="Times New Roman"/>
          <w:sz w:val="24"/>
          <w:szCs w:val="24"/>
        </w:rPr>
        <w:t>Dece</w:t>
      </w:r>
      <w:r w:rsidRPr="009E73A3">
        <w:rPr>
          <w:rFonts w:ascii="Times New Roman" w:hAnsi="Times New Roman" w:cs="Times New Roman"/>
          <w:sz w:val="24"/>
          <w:szCs w:val="24"/>
        </w:rPr>
        <w:t xml:space="preserve">mber </w:t>
      </w:r>
      <w:r w:rsidR="00AD7E7B">
        <w:rPr>
          <w:rFonts w:ascii="Times New Roman" w:hAnsi="Times New Roman" w:cs="Times New Roman"/>
          <w:sz w:val="24"/>
          <w:szCs w:val="24"/>
        </w:rPr>
        <w:t>2</w:t>
      </w:r>
      <w:bookmarkStart w:id="0" w:name="_GoBack"/>
      <w:bookmarkEnd w:id="0"/>
      <w:r w:rsidRPr="009E73A3">
        <w:rPr>
          <w:rFonts w:ascii="Times New Roman" w:hAnsi="Times New Roman" w:cs="Times New Roman"/>
          <w:sz w:val="24"/>
          <w:szCs w:val="24"/>
        </w:rPr>
        <w:t>, 2016.</w:t>
      </w:r>
    </w:p>
    <w:p w:rsidR="009E73A3" w:rsidRPr="009E73A3" w:rsidRDefault="009E73A3" w:rsidP="009E73A3">
      <w:pPr>
        <w:rPr>
          <w:rFonts w:ascii="Times New Roman" w:hAnsi="Times New Roman" w:cs="Times New Roman"/>
          <w:color w:val="000000"/>
          <w:sz w:val="24"/>
          <w:szCs w:val="24"/>
        </w:rPr>
      </w:pPr>
      <w:r w:rsidRPr="009E73A3">
        <w:rPr>
          <w:rFonts w:ascii="Times New Roman" w:hAnsi="Times New Roman" w:cs="Times New Roman"/>
          <w:sz w:val="24"/>
          <w:szCs w:val="24"/>
        </w:rPr>
        <w:t xml:space="preserve">Pursuant to Chapter IV, Section 2 (Trading Days and Hours) of the NFX rules, the Exchange shall </w:t>
      </w:r>
      <w:r w:rsidRPr="009E73A3">
        <w:rPr>
          <w:rFonts w:ascii="Times New Roman" w:hAnsi="Times New Roman" w:cs="Times New Roman"/>
          <w:color w:val="000000"/>
          <w:sz w:val="24"/>
          <w:szCs w:val="24"/>
        </w:rPr>
        <w:t xml:space="preserve">determine and post on its website the days on which the Exchange is open for business and the opening and closing hours of the market for each Contract.  The Trading Calendar for 2017, for Energy Products, is attached as Exhibit A.  This Trading Calendar supersedes any trading calendars previously filed for this timeframe.  </w:t>
      </w:r>
    </w:p>
    <w:p w:rsidR="009E73A3" w:rsidRPr="009E73A3" w:rsidRDefault="009E73A3" w:rsidP="009E73A3">
      <w:pPr>
        <w:spacing w:before="100" w:after="100"/>
        <w:jc w:val="both"/>
        <w:rPr>
          <w:rFonts w:ascii="Times New Roman" w:hAnsi="Times New Roman" w:cs="Times New Roman"/>
          <w:sz w:val="24"/>
          <w:szCs w:val="24"/>
        </w:rPr>
      </w:pPr>
      <w:r w:rsidRPr="009E73A3">
        <w:rPr>
          <w:rFonts w:ascii="Times New Roman" w:hAnsi="Times New Roman" w:cs="Times New Roman"/>
          <w:sz w:val="24"/>
          <w:szCs w:val="24"/>
        </w:rPr>
        <w:t xml:space="preserve">With respect to the designated contract market core principles (“Core Principles”) as set forth in the Act: </w:t>
      </w:r>
    </w:p>
    <w:p w:rsidR="009E73A3" w:rsidRPr="009E73A3" w:rsidRDefault="009E73A3" w:rsidP="00D73B79">
      <w:pPr>
        <w:ind w:left="720" w:right="837"/>
        <w:jc w:val="both"/>
        <w:rPr>
          <w:rFonts w:ascii="Times New Roman" w:hAnsi="Times New Roman" w:cs="Times New Roman"/>
          <w:color w:val="000000"/>
          <w:sz w:val="24"/>
          <w:szCs w:val="24"/>
        </w:rPr>
      </w:pPr>
      <w:r w:rsidRPr="009E73A3">
        <w:rPr>
          <w:rFonts w:ascii="Times New Roman" w:hAnsi="Times New Roman" w:cs="Times New Roman"/>
          <w:sz w:val="24"/>
          <w:szCs w:val="24"/>
        </w:rPr>
        <w:t xml:space="preserve">• </w:t>
      </w:r>
      <w:r w:rsidRPr="009E73A3">
        <w:rPr>
          <w:rFonts w:ascii="Times New Roman" w:hAnsi="Times New Roman" w:cs="Times New Roman"/>
          <w:i/>
          <w:sz w:val="24"/>
          <w:szCs w:val="24"/>
        </w:rPr>
        <w:t xml:space="preserve">Availability of Contract Information.  </w:t>
      </w:r>
      <w:r w:rsidRPr="009E73A3">
        <w:rPr>
          <w:rFonts w:ascii="Times New Roman" w:hAnsi="Times New Roman" w:cs="Times New Roman"/>
          <w:sz w:val="24"/>
          <w:szCs w:val="24"/>
        </w:rPr>
        <w:t xml:space="preserve">The Exchange has indicated within its trading rules where specific information relates to a particular Contract.  The Exchange will provide detailed information within the contract specifications for that particular Contract.  The Exchange will post the terms and conditions of </w:t>
      </w:r>
      <w:r w:rsidRPr="009E73A3">
        <w:rPr>
          <w:rFonts w:ascii="Times New Roman" w:hAnsi="Times New Roman" w:cs="Times New Roman"/>
          <w:sz w:val="24"/>
          <w:szCs w:val="24"/>
        </w:rPr>
        <w:lastRenderedPageBreak/>
        <w:t>Exchange Contracts in its Rulebook along with trading rules. The specifications for its Trading System will appear on the Exchange’s website.</w:t>
      </w:r>
    </w:p>
    <w:p w:rsidR="009E73A3" w:rsidRPr="009E73A3" w:rsidRDefault="009E73A3" w:rsidP="009E73A3">
      <w:pPr>
        <w:spacing w:before="100" w:after="100"/>
        <w:jc w:val="both"/>
        <w:rPr>
          <w:rFonts w:ascii="Times New Roman" w:hAnsi="Times New Roman" w:cs="Times New Roman"/>
          <w:sz w:val="24"/>
          <w:szCs w:val="24"/>
        </w:rPr>
      </w:pPr>
      <w:r w:rsidRPr="009E73A3">
        <w:rPr>
          <w:rFonts w:ascii="Times New Roman" w:hAnsi="Times New Roman" w:cs="Times New Roman"/>
          <w:sz w:val="24"/>
          <w:szCs w:val="24"/>
        </w:rPr>
        <w:t xml:space="preserve">There were no opposing views among the Exchange’s Board of Directors, members or market participants.  The Exchange hereby certifies that the trading hours and days comply with the Commodity Exchange Act and regulations thereunder.  </w:t>
      </w:r>
      <w:r w:rsidRPr="009E73A3">
        <w:rPr>
          <w:rFonts w:ascii="Times New Roman" w:eastAsia="Calibri" w:hAnsi="Times New Roman" w:cs="Times New Roman"/>
          <w:sz w:val="24"/>
          <w:szCs w:val="24"/>
        </w:rPr>
        <w:t xml:space="preserve">The Exchange also certifies that notice of pending certification and a copy of this submission have been concurrently posted on the Exchange’s website at </w:t>
      </w:r>
      <w:hyperlink r:id="rId11" w:history="1">
        <w:r w:rsidR="000B3916" w:rsidRPr="000011A2">
          <w:rPr>
            <w:rStyle w:val="Hyperlink"/>
            <w:rFonts w:ascii="Times New Roman" w:hAnsi="Times New Roman"/>
            <w:sz w:val="24"/>
            <w:szCs w:val="24"/>
          </w:rPr>
          <w:t>business.nasdaq.com/futures</w:t>
        </w:r>
      </w:hyperlink>
      <w:r w:rsidR="000B3916">
        <w:rPr>
          <w:rStyle w:val="Hyperlink"/>
          <w:rFonts w:ascii="Times New Roman" w:hAnsi="Times New Roman"/>
          <w:sz w:val="24"/>
          <w:szCs w:val="24"/>
        </w:rPr>
        <w:t>.</w:t>
      </w:r>
    </w:p>
    <w:p w:rsidR="009E73A3" w:rsidRPr="009E73A3" w:rsidRDefault="009E73A3" w:rsidP="009E73A3">
      <w:pPr>
        <w:rPr>
          <w:rFonts w:ascii="Times New Roman" w:hAnsi="Times New Roman" w:cs="Times New Roman"/>
          <w:sz w:val="24"/>
          <w:szCs w:val="24"/>
        </w:rPr>
      </w:pPr>
      <w:r w:rsidRPr="009E73A3">
        <w:rPr>
          <w:rFonts w:ascii="Times New Roman" w:hAnsi="Times New Roman" w:cs="Times New Roman"/>
          <w:sz w:val="24"/>
          <w:szCs w:val="24"/>
        </w:rPr>
        <w:t xml:space="preserve">If you require any additional information regarding the submission, please contact </w:t>
      </w:r>
      <w:proofErr w:type="spellStart"/>
      <w:r w:rsidRPr="009E73A3">
        <w:rPr>
          <w:rFonts w:ascii="Times New Roman" w:hAnsi="Times New Roman" w:cs="Times New Roman"/>
          <w:sz w:val="24"/>
          <w:szCs w:val="24"/>
        </w:rPr>
        <w:t>Aravind</w:t>
      </w:r>
      <w:proofErr w:type="spellEnd"/>
      <w:r w:rsidRPr="009E73A3">
        <w:rPr>
          <w:rFonts w:ascii="Times New Roman" w:hAnsi="Times New Roman" w:cs="Times New Roman"/>
          <w:sz w:val="24"/>
          <w:szCs w:val="24"/>
        </w:rPr>
        <w:t xml:space="preserve"> Menon </w:t>
      </w:r>
      <w:r w:rsidR="002458F1">
        <w:rPr>
          <w:rFonts w:ascii="Times New Roman" w:hAnsi="Times New Roman" w:cs="Times New Roman"/>
          <w:sz w:val="24"/>
          <w:szCs w:val="24"/>
        </w:rPr>
        <w:t>at +1-</w:t>
      </w:r>
      <w:r w:rsidRPr="009E73A3">
        <w:rPr>
          <w:rFonts w:ascii="Times New Roman" w:hAnsi="Times New Roman" w:cs="Times New Roman"/>
          <w:sz w:val="24"/>
          <w:szCs w:val="24"/>
        </w:rPr>
        <w:t xml:space="preserve">301-978-8416 or via e-mail at </w:t>
      </w:r>
      <w:hyperlink r:id="rId12" w:history="1">
        <w:r w:rsidRPr="009E73A3">
          <w:rPr>
            <w:rStyle w:val="Hyperlink"/>
            <w:rFonts w:ascii="Times New Roman" w:hAnsi="Times New Roman" w:cs="Times New Roman"/>
            <w:sz w:val="24"/>
            <w:szCs w:val="24"/>
          </w:rPr>
          <w:t>aravind.menon@nasdaq.com</w:t>
        </w:r>
      </w:hyperlink>
      <w:r w:rsidRPr="009E73A3">
        <w:rPr>
          <w:rFonts w:ascii="Times New Roman" w:hAnsi="Times New Roman" w:cs="Times New Roman"/>
          <w:sz w:val="24"/>
          <w:szCs w:val="24"/>
        </w:rPr>
        <w:t>.  Please reference SR-NFX-2016-107 in any related correspondence.</w:t>
      </w:r>
      <w:r w:rsidR="002458F1">
        <w:rPr>
          <w:rFonts w:ascii="Times New Roman" w:hAnsi="Times New Roman" w:cs="Times New Roman"/>
          <w:sz w:val="24"/>
          <w:szCs w:val="24"/>
        </w:rPr>
        <w:t xml:space="preserve">  </w:t>
      </w:r>
    </w:p>
    <w:p w:rsidR="009E73A3" w:rsidRPr="009E73A3" w:rsidRDefault="009E73A3" w:rsidP="009E73A3">
      <w:pPr>
        <w:rPr>
          <w:rFonts w:ascii="Times New Roman" w:hAnsi="Times New Roman" w:cs="Times New Roman"/>
          <w:sz w:val="24"/>
          <w:szCs w:val="24"/>
        </w:rPr>
      </w:pPr>
    </w:p>
    <w:p w:rsidR="009E73A3" w:rsidRPr="009E73A3" w:rsidRDefault="009E73A3" w:rsidP="009E73A3">
      <w:pPr>
        <w:rPr>
          <w:rFonts w:ascii="Times New Roman" w:hAnsi="Times New Roman" w:cs="Times New Roman"/>
          <w:sz w:val="24"/>
          <w:szCs w:val="24"/>
        </w:rPr>
      </w:pPr>
      <w:r w:rsidRPr="009E73A3">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57721151" wp14:editId="4E0F23D2">
            <wp:simplePos x="0" y="0"/>
            <wp:positionH relativeFrom="column">
              <wp:posOffset>2045970</wp:posOffset>
            </wp:positionH>
            <wp:positionV relativeFrom="paragraph">
              <wp:posOffset>41910</wp:posOffset>
            </wp:positionV>
            <wp:extent cx="275272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Pr="009E73A3">
        <w:rPr>
          <w:rFonts w:ascii="Times New Roman" w:hAnsi="Times New Roman" w:cs="Times New Roman"/>
          <w:sz w:val="24"/>
          <w:szCs w:val="24"/>
        </w:rPr>
        <w:t>                                                      Regards,</w:t>
      </w:r>
    </w:p>
    <w:p w:rsidR="009E73A3" w:rsidRPr="009E73A3" w:rsidRDefault="009E73A3" w:rsidP="009E73A3">
      <w:pPr>
        <w:rPr>
          <w:rFonts w:ascii="Times New Roman" w:hAnsi="Times New Roman" w:cs="Times New Roman"/>
          <w:sz w:val="24"/>
          <w:szCs w:val="24"/>
        </w:rPr>
      </w:pPr>
    </w:p>
    <w:p w:rsidR="009E73A3" w:rsidRPr="009E73A3" w:rsidRDefault="009E73A3" w:rsidP="009E73A3">
      <w:pPr>
        <w:rPr>
          <w:rFonts w:ascii="Times New Roman" w:hAnsi="Times New Roman" w:cs="Times New Roman"/>
          <w:sz w:val="24"/>
          <w:szCs w:val="24"/>
        </w:rPr>
      </w:pPr>
    </w:p>
    <w:p w:rsidR="00D73B79" w:rsidRDefault="009E73A3" w:rsidP="00D73B79">
      <w:pPr>
        <w:ind w:firstLine="1310"/>
        <w:contextualSpacing/>
        <w:rPr>
          <w:rFonts w:ascii="Times New Roman" w:hAnsi="Times New Roman" w:cs="Times New Roman"/>
          <w:sz w:val="24"/>
          <w:szCs w:val="24"/>
        </w:rPr>
      </w:pPr>
      <w:r w:rsidRPr="009E73A3">
        <w:rPr>
          <w:rFonts w:ascii="Times New Roman" w:hAnsi="Times New Roman" w:cs="Times New Roman"/>
          <w:sz w:val="24"/>
          <w:szCs w:val="24"/>
        </w:rPr>
        <w:t>                                 Daniel Carrigan</w:t>
      </w:r>
    </w:p>
    <w:p w:rsidR="009E73A3" w:rsidRPr="009E73A3" w:rsidRDefault="00D73B79" w:rsidP="00D73B79">
      <w:pPr>
        <w:ind w:firstLine="1310"/>
        <w:contextualSpacing/>
        <w:rPr>
          <w:rFonts w:ascii="Times New Roman" w:hAnsi="Times New Roman" w:cs="Times New Roman"/>
          <w:sz w:val="24"/>
          <w:szCs w:val="24"/>
        </w:rPr>
      </w:pPr>
      <w:r>
        <w:rPr>
          <w:rFonts w:ascii="Times New Roman" w:hAnsi="Times New Roman" w:cs="Times New Roman"/>
          <w:sz w:val="24"/>
          <w:szCs w:val="24"/>
        </w:rPr>
        <w:t xml:space="preserve">                                 </w:t>
      </w:r>
      <w:r w:rsidR="009E73A3" w:rsidRPr="009E73A3">
        <w:rPr>
          <w:rFonts w:ascii="Times New Roman" w:hAnsi="Times New Roman" w:cs="Times New Roman"/>
          <w:sz w:val="24"/>
          <w:szCs w:val="24"/>
        </w:rPr>
        <w:t>President</w:t>
      </w:r>
    </w:p>
    <w:p w:rsidR="009E73A3" w:rsidRPr="009E73A3" w:rsidRDefault="009E73A3" w:rsidP="009E73A3">
      <w:pPr>
        <w:pStyle w:val="NoSpacing"/>
        <w:rPr>
          <w:rFonts w:ascii="Times New Roman" w:hAnsi="Times New Roman" w:cs="Times New Roman"/>
          <w:sz w:val="24"/>
          <w:szCs w:val="24"/>
        </w:rPr>
      </w:pPr>
    </w:p>
    <w:p w:rsidR="009E73A3" w:rsidRPr="009E73A3" w:rsidRDefault="009E73A3" w:rsidP="009E73A3">
      <w:pPr>
        <w:pStyle w:val="NoSpacing"/>
        <w:rPr>
          <w:rFonts w:ascii="Times New Roman" w:eastAsia="Calibri" w:hAnsi="Times New Roman" w:cs="Times New Roman"/>
          <w:sz w:val="24"/>
          <w:szCs w:val="24"/>
        </w:rPr>
      </w:pPr>
      <w:r w:rsidRPr="009E73A3">
        <w:rPr>
          <w:rFonts w:ascii="Times New Roman" w:hAnsi="Times New Roman" w:cs="Times New Roman"/>
          <w:sz w:val="24"/>
          <w:szCs w:val="24"/>
        </w:rPr>
        <w:t xml:space="preserve">cc:    </w:t>
      </w:r>
      <w:r w:rsidRPr="009E73A3">
        <w:rPr>
          <w:rFonts w:ascii="Times New Roman" w:hAnsi="Times New Roman" w:cs="Times New Roman"/>
          <w:sz w:val="24"/>
          <w:szCs w:val="24"/>
        </w:rPr>
        <w:tab/>
      </w:r>
      <w:r w:rsidRPr="009E73A3">
        <w:rPr>
          <w:rFonts w:ascii="Times New Roman" w:eastAsia="Calibri" w:hAnsi="Times New Roman" w:cs="Times New Roman"/>
          <w:sz w:val="24"/>
          <w:szCs w:val="24"/>
        </w:rPr>
        <w:t>National Futures Association</w:t>
      </w:r>
    </w:p>
    <w:p w:rsidR="009E73A3" w:rsidRPr="00756D0A" w:rsidRDefault="009E73A3" w:rsidP="00756D0A">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ab/>
        <w:t>The</w:t>
      </w:r>
      <w:r w:rsidR="00756D0A">
        <w:rPr>
          <w:rFonts w:ascii="Times New Roman" w:eastAsia="Calibri" w:hAnsi="Times New Roman" w:cs="Times New Roman"/>
          <w:sz w:val="24"/>
          <w:szCs w:val="24"/>
        </w:rPr>
        <w:t xml:space="preserve"> Options Clearing Corporation</w:t>
      </w:r>
    </w:p>
    <w:sectPr w:rsidR="009E73A3" w:rsidRPr="00756D0A"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C3" w:rsidRDefault="005366C3">
      <w:r>
        <w:separator/>
      </w:r>
    </w:p>
  </w:endnote>
  <w:endnote w:type="continuationSeparator" w:id="0">
    <w:p w:rsidR="005366C3" w:rsidRDefault="0053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65635715-F322-43A1-9D73-1F646A54BA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C3" w:rsidRDefault="005366C3">
      <w:r>
        <w:separator/>
      </w:r>
    </w:p>
  </w:footnote>
  <w:footnote w:type="continuationSeparator" w:id="0">
    <w:p w:rsidR="005366C3" w:rsidRDefault="0053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0021FF" w:rsidRDefault="009E73A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w:t>
    </w:r>
    <w:r w:rsidR="00EE0401">
      <w:rPr>
        <w:rFonts w:ascii="Times New Roman" w:hAnsi="Times New Roman" w:cs="Times New Roman"/>
        <w:sz w:val="20"/>
        <w:szCs w:val="20"/>
      </w:rPr>
      <w:t>6</w:t>
    </w:r>
    <w:r w:rsidR="000021FF">
      <w:rPr>
        <w:rFonts w:ascii="Times New Roman" w:hAnsi="Times New Roman" w:cs="Times New Roman"/>
        <w:sz w:val="20"/>
        <w:szCs w:val="20"/>
      </w:rPr>
      <w:t>, 2016</w:t>
    </w:r>
  </w:p>
  <w:p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sidR="009E73A3">
      <w:rPr>
        <w:rFonts w:ascii="Times New Roman" w:hAnsi="Times New Roman" w:cs="Times New Roman"/>
        <w:sz w:val="20"/>
        <w:szCs w:val="20"/>
      </w:rPr>
      <w:t>7</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D7E7B">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B3916"/>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58F1"/>
    <w:rsid w:val="00251779"/>
    <w:rsid w:val="00251B36"/>
    <w:rsid w:val="00261A57"/>
    <w:rsid w:val="002658B4"/>
    <w:rsid w:val="002711EE"/>
    <w:rsid w:val="00273392"/>
    <w:rsid w:val="00286437"/>
    <w:rsid w:val="002A147E"/>
    <w:rsid w:val="002A384E"/>
    <w:rsid w:val="002A690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366C3"/>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D0A"/>
    <w:rsid w:val="00756FBD"/>
    <w:rsid w:val="007639B0"/>
    <w:rsid w:val="007667BD"/>
    <w:rsid w:val="00770B76"/>
    <w:rsid w:val="007739C3"/>
    <w:rsid w:val="00787B20"/>
    <w:rsid w:val="0079548F"/>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E73A3"/>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D7E7B"/>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6D1"/>
    <w:rsid w:val="00D527EA"/>
    <w:rsid w:val="00D6120F"/>
    <w:rsid w:val="00D63C25"/>
    <w:rsid w:val="00D66419"/>
    <w:rsid w:val="00D70163"/>
    <w:rsid w:val="00D73B79"/>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0401"/>
    <w:rsid w:val="00EE6C82"/>
    <w:rsid w:val="00EF09B6"/>
    <w:rsid w:val="00F06CCD"/>
    <w:rsid w:val="00F12343"/>
    <w:rsid w:val="00F16B3B"/>
    <w:rsid w:val="00F16EA3"/>
    <w:rsid w:val="00F17C44"/>
    <w:rsid w:val="00F217D9"/>
    <w:rsid w:val="00F255EE"/>
    <w:rsid w:val="00F25FF4"/>
    <w:rsid w:val="00F37BC0"/>
    <w:rsid w:val="00F535EB"/>
    <w:rsid w:val="00F609A9"/>
    <w:rsid w:val="00F71FE3"/>
    <w:rsid w:val="00F74286"/>
    <w:rsid w:val="00F77334"/>
    <w:rsid w:val="00F84782"/>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avind.menon@nasdaq.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c52a04d9-efd9-4471-b6bb-ac086da9b158</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2016-11-16T22:19:24+00:00</Document_x0020_Date>
    <Document_x0020_No xmlns="4b47aac5-4c46-444f-8595-ce09b406fc61">27506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2096D-CF6D-4FA2-B204-FEC98F4ACB5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5F7526F-891E-4231-B209-467BE3C1210C}"/>
</file>

<file path=customXml/itemProps5.xml><?xml version="1.0" encoding="utf-8"?>
<ds:datastoreItem xmlns:ds="http://schemas.openxmlformats.org/officeDocument/2006/customXml" ds:itemID="{96C0AE19-F519-46A3-8CEF-D89094AA5B9A}"/>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2</Pages>
  <Words>418</Words>
  <Characters>2385</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3</cp:revision>
  <cp:lastPrinted>2016-10-04T13:49:00Z</cp:lastPrinted>
  <dcterms:created xsi:type="dcterms:W3CDTF">2016-11-16T18:02:00Z</dcterms:created>
  <dcterms:modified xsi:type="dcterms:W3CDTF">2016-11-16T22:03:00Z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Locations\Portal\Temp\fc302f18-41f3-4aa4-8258-19b3fe8edfd6\SR-NFX-2016-107 Rule Certification.docx</vt:lpwstr>
  </property>
</Properties>
</file>