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98" w:rsidRPr="00650B32" w:rsidRDefault="00EC1F98" w:rsidP="001B6ADA">
      <w:pPr>
        <w:pStyle w:val="NoSpacing"/>
        <w:ind w:left="2620" w:firstLine="13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0B3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Rule Self-Certification</w:t>
      </w:r>
    </w:p>
    <w:p w:rsidR="00EC1F98" w:rsidRPr="00650B32" w:rsidRDefault="00EC1F98" w:rsidP="00EC1F98">
      <w:pPr>
        <w:pStyle w:val="NoSpacing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01CA" w:rsidRPr="00650B32" w:rsidRDefault="00F731C4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November 1</w:t>
      </w:r>
      <w:r w:rsidR="000A7F25">
        <w:rPr>
          <w:rFonts w:ascii="Times New Roman" w:eastAsia="Calibri" w:hAnsi="Times New Roman" w:cs="Times New Roman"/>
          <w:sz w:val="24"/>
          <w:szCs w:val="24"/>
        </w:rPr>
        <w:t>6</w:t>
      </w:r>
      <w:r w:rsidR="005101CA">
        <w:rPr>
          <w:rFonts w:ascii="Times New Roman" w:eastAsia="Calibri" w:hAnsi="Times New Roman" w:cs="Times New Roman"/>
          <w:sz w:val="24"/>
          <w:szCs w:val="24"/>
        </w:rPr>
        <w:t>, 201</w:t>
      </w:r>
      <w:r w:rsidR="005A7FD1">
        <w:rPr>
          <w:rFonts w:ascii="Times New Roman" w:eastAsia="Calibri" w:hAnsi="Times New Roman" w:cs="Times New Roman"/>
          <w:sz w:val="24"/>
          <w:szCs w:val="24"/>
        </w:rPr>
        <w:t>8</w:t>
      </w:r>
    </w:p>
    <w:p w:rsidR="005101CA" w:rsidRPr="00650B32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101CA" w:rsidRPr="00197F7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Christopher J. Kirkpatrick</w:t>
      </w:r>
    </w:p>
    <w:p w:rsidR="005101CA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197F73">
        <w:rPr>
          <w:rFonts w:ascii="Times New Roman" w:eastAsia="Calibri" w:hAnsi="Times New Roman" w:cs="Times New Roman"/>
          <w:sz w:val="24"/>
          <w:szCs w:val="24"/>
        </w:rPr>
        <w:t>Office of the Secretariat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Commodity Futures Trading Commission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Three Lafayette Center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1155 21</w:t>
      </w:r>
      <w:r w:rsidRPr="00352533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52533">
        <w:rPr>
          <w:rFonts w:ascii="Times New Roman" w:eastAsia="Calibri" w:hAnsi="Times New Roman" w:cs="Times New Roman"/>
          <w:sz w:val="24"/>
          <w:szCs w:val="24"/>
        </w:rPr>
        <w:t xml:space="preserve"> Street, NW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Washington, DC  20581</w:t>
      </w:r>
    </w:p>
    <w:p w:rsidR="005101CA" w:rsidRPr="00352533" w:rsidRDefault="005101CA" w:rsidP="005101C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101CA" w:rsidRDefault="005101CA" w:rsidP="00566AD7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Re:  </w:t>
      </w:r>
      <w:r w:rsidR="005F6EC0" w:rsidRPr="00352533">
        <w:rPr>
          <w:rFonts w:ascii="Times New Roman" w:eastAsia="Calibri" w:hAnsi="Times New Roman" w:cs="Times New Roman"/>
          <w:b/>
          <w:sz w:val="24"/>
          <w:szCs w:val="24"/>
        </w:rPr>
        <w:t xml:space="preserve">Rule Certification </w:t>
      </w:r>
      <w:r w:rsidR="005F6EC0">
        <w:rPr>
          <w:rFonts w:ascii="Times New Roman" w:eastAsia="Calibri" w:hAnsi="Times New Roman" w:cs="Times New Roman"/>
          <w:b/>
          <w:sz w:val="24"/>
          <w:szCs w:val="24"/>
        </w:rPr>
        <w:t xml:space="preserve">for 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>Amendment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10EC8">
        <w:rPr>
          <w:rFonts w:ascii="Times New Roman" w:eastAsia="Calibri" w:hAnsi="Times New Roman" w:cs="Times New Roman"/>
          <w:b/>
          <w:sz w:val="24"/>
          <w:szCs w:val="24"/>
        </w:rPr>
        <w:t xml:space="preserve"> to the</w:t>
      </w:r>
    </w:p>
    <w:p w:rsidR="00566AD7" w:rsidRPr="00352533" w:rsidRDefault="00566AD7" w:rsidP="00566AD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B3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14C">
        <w:rPr>
          <w:rFonts w:ascii="Times New Roman" w:eastAsia="Calibri" w:hAnsi="Times New Roman" w:cs="Times New Roman"/>
          <w:b/>
          <w:sz w:val="24"/>
          <w:szCs w:val="24"/>
        </w:rPr>
        <w:t>NFX Fee Schedule</w:t>
      </w:r>
    </w:p>
    <w:p w:rsidR="005101CA" w:rsidRPr="00352533" w:rsidRDefault="005101CA" w:rsidP="005101CA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eference File: SR-NFX-201</w:t>
      </w:r>
      <w:r w:rsidR="005A7FD1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352533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F731C4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0A7F25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</w:p>
    <w:p w:rsidR="005101CA" w:rsidRPr="00352533" w:rsidRDefault="005101CA" w:rsidP="005101C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352533">
        <w:rPr>
          <w:rFonts w:ascii="Times New Roman" w:eastAsia="Calibri" w:hAnsi="Times New Roman" w:cs="Times New Roman"/>
          <w:sz w:val="24"/>
          <w:szCs w:val="24"/>
        </w:rPr>
        <w:t>Dear Mr. Kirkpatrick:</w:t>
      </w:r>
      <w:r w:rsidR="00526D6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101CA" w:rsidRPr="00352533" w:rsidRDefault="005101CA" w:rsidP="005101CA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566994" w:rsidRPr="009A5D9B" w:rsidRDefault="00566994" w:rsidP="00566994">
      <w:pPr>
        <w:pStyle w:val="Default"/>
        <w:ind w:firstLine="1310"/>
      </w:pPr>
      <w:r w:rsidRPr="009A5D9B">
        <w:rPr>
          <w:rFonts w:eastAsia="Calibri"/>
        </w:rPr>
        <w:t>Pursuant to Section 5c(c)(1) of the Commodity Exchange Act, as amended (“</w:t>
      </w:r>
      <w:r w:rsidRPr="009A5D9B">
        <w:rPr>
          <w:rFonts w:eastAsia="Calibri"/>
          <w:u w:val="single"/>
        </w:rPr>
        <w:t>Act</w:t>
      </w:r>
      <w:r w:rsidRPr="009A5D9B">
        <w:rPr>
          <w:rFonts w:eastAsia="Calibri"/>
        </w:rPr>
        <w:t xml:space="preserve">”), and Section </w:t>
      </w:r>
      <w:r w:rsidRPr="009A5D9B">
        <w:t xml:space="preserve">40.6 </w:t>
      </w:r>
      <w:r w:rsidRPr="009A5D9B">
        <w:rPr>
          <w:rFonts w:eastAsia="Calibri"/>
        </w:rPr>
        <w:t>of the Commission’s regulations thereunder, NASDAQ Futures, Inc. (“</w:t>
      </w:r>
      <w:r w:rsidRPr="009A5D9B">
        <w:rPr>
          <w:rFonts w:eastAsia="Calibri"/>
          <w:u w:val="single"/>
        </w:rPr>
        <w:t>NFX</w:t>
      </w:r>
      <w:r w:rsidRPr="009A5D9B">
        <w:rPr>
          <w:rFonts w:eastAsia="Calibri"/>
        </w:rPr>
        <w:t>” or “</w:t>
      </w:r>
      <w:r w:rsidRPr="009A5D9B">
        <w:rPr>
          <w:rFonts w:eastAsia="Calibri"/>
          <w:u w:val="single"/>
        </w:rPr>
        <w:t>Exchange</w:t>
      </w:r>
      <w:r w:rsidRPr="009A5D9B">
        <w:rPr>
          <w:rFonts w:eastAsia="Calibri"/>
        </w:rPr>
        <w:t>”) is amending its fee schedule</w:t>
      </w:r>
      <w:r w:rsidR="00324B55">
        <w:rPr>
          <w:rFonts w:eastAsia="Calibri"/>
        </w:rPr>
        <w:t xml:space="preserve"> to</w:t>
      </w:r>
      <w:r w:rsidRPr="009A5D9B">
        <w:rPr>
          <w:rFonts w:eastAsia="Calibri"/>
        </w:rPr>
        <w:t xml:space="preserve"> </w:t>
      </w:r>
      <w:r w:rsidR="00F731C4">
        <w:rPr>
          <w:rFonts w:eastAsia="Calibri"/>
        </w:rPr>
        <w:t xml:space="preserve">(1) </w:t>
      </w:r>
      <w:r w:rsidR="000A7F25">
        <w:rPr>
          <w:rFonts w:eastAsia="Calibri"/>
        </w:rPr>
        <w:t xml:space="preserve">increase fees for certain </w:t>
      </w:r>
      <w:r w:rsidR="00F731C4">
        <w:rPr>
          <w:rFonts w:eastAsia="Calibri"/>
        </w:rPr>
        <w:t xml:space="preserve">contracts; (2) </w:t>
      </w:r>
      <w:r w:rsidR="000A7F25">
        <w:rPr>
          <w:rFonts w:eastAsia="Calibri"/>
        </w:rPr>
        <w:t>introduce a new volume fee discount for dry freight contracts</w:t>
      </w:r>
      <w:r w:rsidR="00F731C4">
        <w:rPr>
          <w:rFonts w:eastAsia="Calibri"/>
        </w:rPr>
        <w:t xml:space="preserve">; and (3) introduce </w:t>
      </w:r>
      <w:r w:rsidR="000A7F25">
        <w:rPr>
          <w:rFonts w:eastAsia="Calibri"/>
        </w:rPr>
        <w:t xml:space="preserve">a new </w:t>
      </w:r>
      <w:r w:rsidR="00F731C4">
        <w:rPr>
          <w:rFonts w:eastAsia="Calibri"/>
        </w:rPr>
        <w:t xml:space="preserve">fee for </w:t>
      </w:r>
      <w:r w:rsidR="000A7F25">
        <w:rPr>
          <w:rFonts w:eastAsia="Calibri"/>
        </w:rPr>
        <w:t>customers optional use of the NFX Facilitation Desk for block trades</w:t>
      </w:r>
      <w:r w:rsidR="00FC6D30">
        <w:rPr>
          <w:rFonts w:eastAsia="Calibri"/>
        </w:rPr>
        <w:t>.</w:t>
      </w:r>
    </w:p>
    <w:p w:rsidR="00324B55" w:rsidRDefault="00324B55" w:rsidP="00566994">
      <w:pPr>
        <w:pStyle w:val="NoSpacing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755A05" w:rsidRDefault="00566994" w:rsidP="00566994">
      <w:pPr>
        <w:pStyle w:val="NoSpacing"/>
        <w:ind w:firstLine="1310"/>
      </w:pPr>
      <w:r>
        <w:rPr>
          <w:rFonts w:ascii="Times New Roman" w:eastAsia="Calibri" w:hAnsi="Times New Roman" w:cs="Times New Roman"/>
          <w:sz w:val="24"/>
          <w:szCs w:val="24"/>
        </w:rPr>
        <w:t xml:space="preserve">These changes will become effective on </w:t>
      </w:r>
      <w:r w:rsidR="000A7F25">
        <w:rPr>
          <w:rFonts w:ascii="Times New Roman" w:eastAsia="Calibri" w:hAnsi="Times New Roman" w:cs="Times New Roman"/>
          <w:sz w:val="24"/>
          <w:szCs w:val="24"/>
        </w:rPr>
        <w:t>December 1</w:t>
      </w:r>
      <w:r>
        <w:rPr>
          <w:rFonts w:ascii="Times New Roman" w:eastAsia="Calibri" w:hAnsi="Times New Roman" w:cs="Times New Roman"/>
          <w:sz w:val="24"/>
          <w:szCs w:val="24"/>
        </w:rPr>
        <w:t>, 2018</w:t>
      </w:r>
      <w:r w:rsidR="008B0D0C">
        <w:rPr>
          <w:rFonts w:ascii="Times New Roman" w:eastAsia="Calibri" w:hAnsi="Times New Roman" w:cs="Times New Roman"/>
          <w:sz w:val="24"/>
          <w:szCs w:val="24"/>
        </w:rPr>
        <w:t xml:space="preserve"> for trade date December 3, 2018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A5D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corresponding amendment is contained in </w:t>
      </w:r>
      <w:r w:rsidRPr="000A3C86">
        <w:rPr>
          <w:rFonts w:ascii="Times New Roman" w:eastAsia="Calibri" w:hAnsi="Times New Roman" w:cs="Times New Roman"/>
          <w:sz w:val="24"/>
          <w:szCs w:val="24"/>
          <w:u w:val="single"/>
        </w:rPr>
        <w:t>Exhibit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below.</w:t>
      </w:r>
      <w:r w:rsidR="00755A05" w:rsidRPr="00755A05">
        <w:t xml:space="preserve"> </w:t>
      </w:r>
    </w:p>
    <w:p w:rsidR="00324B55" w:rsidRDefault="00324B55" w:rsidP="004A75CC">
      <w:pPr>
        <w:spacing w:after="0" w:line="240" w:lineRule="auto"/>
        <w:ind w:firstLine="1310"/>
        <w:rPr>
          <w:rFonts w:ascii="Times New Roman" w:eastAsia="Calibri" w:hAnsi="Times New Roman" w:cs="Times New Roman"/>
          <w:sz w:val="24"/>
          <w:szCs w:val="24"/>
        </w:rPr>
      </w:pPr>
    </w:p>
    <w:p w:rsidR="00566994" w:rsidRPr="0066257B" w:rsidRDefault="00566994" w:rsidP="00566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57B">
        <w:rPr>
          <w:rFonts w:ascii="Times New Roman" w:hAnsi="Times New Roman" w:cs="Times New Roman"/>
          <w:b/>
          <w:sz w:val="24"/>
          <w:szCs w:val="24"/>
          <w:u w:val="single"/>
        </w:rPr>
        <w:t>DCM Core Principles</w:t>
      </w:r>
    </w:p>
    <w:p w:rsidR="00566994" w:rsidRPr="009A5D9B" w:rsidRDefault="00566994" w:rsidP="00566994">
      <w:pPr>
        <w:autoSpaceDE w:val="0"/>
        <w:autoSpaceDN w:val="0"/>
        <w:adjustRightInd w:val="0"/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</w:p>
    <w:p w:rsidR="001615F2" w:rsidRDefault="00566994" w:rsidP="00755A05">
      <w:pPr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9A5D9B">
        <w:rPr>
          <w:rFonts w:ascii="Times New Roman" w:hAnsi="Times New Roman" w:cs="Times New Roman"/>
          <w:sz w:val="24"/>
          <w:szCs w:val="24"/>
        </w:rPr>
        <w:t>The Exchange believes the fee schedule amendments are consistent with Designated Contract Market (“</w:t>
      </w:r>
      <w:r w:rsidRPr="009A5D9B">
        <w:rPr>
          <w:rFonts w:ascii="Times New Roman" w:hAnsi="Times New Roman" w:cs="Times New Roman"/>
          <w:sz w:val="24"/>
          <w:szCs w:val="24"/>
          <w:u w:val="single"/>
        </w:rPr>
        <w:t>DCM</w:t>
      </w:r>
      <w:r w:rsidRPr="009A5D9B">
        <w:rPr>
          <w:rFonts w:ascii="Times New Roman" w:hAnsi="Times New Roman" w:cs="Times New Roman"/>
          <w:sz w:val="24"/>
          <w:szCs w:val="24"/>
        </w:rPr>
        <w:t xml:space="preserve">”) Core Principles.  The Exchange will publish the amended fee schedule on its website to ensure that market participants have been advised </w:t>
      </w:r>
      <w:r>
        <w:rPr>
          <w:rFonts w:ascii="Times New Roman" w:hAnsi="Times New Roman" w:cs="Times New Roman"/>
          <w:sz w:val="24"/>
          <w:szCs w:val="24"/>
        </w:rPr>
        <w:t>of the changes</w:t>
      </w:r>
      <w:r w:rsidRPr="009A5D9B">
        <w:rPr>
          <w:rFonts w:ascii="Times New Roman" w:hAnsi="Times New Roman" w:cs="Times New Roman"/>
          <w:sz w:val="24"/>
          <w:szCs w:val="24"/>
        </w:rPr>
        <w:t xml:space="preserve">.  The Exchange believes the </w:t>
      </w:r>
      <w:r w:rsidR="00CC09A5">
        <w:rPr>
          <w:rFonts w:ascii="Times New Roman" w:hAnsi="Times New Roman" w:cs="Times New Roman"/>
          <w:sz w:val="24"/>
          <w:szCs w:val="24"/>
        </w:rPr>
        <w:t>amendments are</w:t>
      </w:r>
      <w:r w:rsidRPr="009A5D9B">
        <w:rPr>
          <w:rFonts w:ascii="Times New Roman" w:hAnsi="Times New Roman" w:cs="Times New Roman"/>
          <w:sz w:val="24"/>
          <w:szCs w:val="24"/>
        </w:rPr>
        <w:t xml:space="preserve"> reasonable and </w:t>
      </w:r>
      <w:r w:rsidR="00CC09A5">
        <w:rPr>
          <w:rFonts w:ascii="Times New Roman" w:hAnsi="Times New Roman" w:cs="Times New Roman"/>
          <w:sz w:val="24"/>
          <w:szCs w:val="24"/>
        </w:rPr>
        <w:t xml:space="preserve">that they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 xml:space="preserve"> the Exchange’s goal of offering </w:t>
      </w:r>
      <w:r w:rsidR="00755A05">
        <w:rPr>
          <w:rFonts w:ascii="Times New Roman" w:eastAsia="Times New Roman" w:hAnsi="Times New Roman" w:cs="Times New Roman"/>
          <w:sz w:val="24"/>
          <w:szCs w:val="24"/>
        </w:rPr>
        <w:t xml:space="preserve">liquidity </w:t>
      </w:r>
      <w:r w:rsidRPr="009A5D9B">
        <w:rPr>
          <w:rFonts w:ascii="Times New Roman" w:eastAsia="Times New Roman" w:hAnsi="Times New Roman" w:cs="Times New Roman"/>
          <w:sz w:val="24"/>
          <w:szCs w:val="24"/>
        </w:rPr>
        <w:t>to t</w:t>
      </w:r>
      <w:bookmarkStart w:id="0" w:name="_GoBack"/>
      <w:bookmarkEnd w:id="0"/>
      <w:r w:rsidRPr="009A5D9B">
        <w:rPr>
          <w:rFonts w:ascii="Times New Roman" w:eastAsia="Times New Roman" w:hAnsi="Times New Roman" w:cs="Times New Roman"/>
          <w:sz w:val="24"/>
          <w:szCs w:val="24"/>
        </w:rPr>
        <w:t>he marketplace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A05" w:rsidRDefault="00755A05" w:rsidP="0056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05" w:rsidRPr="00043462" w:rsidRDefault="00755A05" w:rsidP="00755A05">
      <w:pPr>
        <w:pStyle w:val="Default"/>
        <w:ind w:firstLine="1310"/>
      </w:pPr>
      <w:r w:rsidRPr="00043462">
        <w:t xml:space="preserve">The Exchange believes </w:t>
      </w:r>
      <w:r>
        <w:t xml:space="preserve">that </w:t>
      </w:r>
      <w:r w:rsidRPr="00043462">
        <w:t>the</w:t>
      </w:r>
      <w:r w:rsidR="00CC09A5">
        <w:t>se</w:t>
      </w:r>
      <w:r w:rsidRPr="00043462">
        <w:t xml:space="preserve"> </w:t>
      </w:r>
      <w:r w:rsidR="00D72946">
        <w:t>amendment</w:t>
      </w:r>
      <w:r w:rsidR="00CC09A5">
        <w:t>s</w:t>
      </w:r>
      <w:r>
        <w:t xml:space="preserve"> compl</w:t>
      </w:r>
      <w:r w:rsidR="00500EE5">
        <w:t>y</w:t>
      </w:r>
      <w:r w:rsidRPr="00043462">
        <w:t xml:space="preserve"> with Core Principle 4 (Monitoring of Trading), Core Principle 9 (Execution of Transactions) and Core Principle 12 (Protection of Market Participants). </w:t>
      </w:r>
      <w:r>
        <w:t xml:space="preserve"> </w:t>
      </w:r>
      <w:r w:rsidRPr="00043462">
        <w:t xml:space="preserve">The </w:t>
      </w:r>
      <w:r w:rsidR="00CC09A5">
        <w:t>amendments</w:t>
      </w:r>
      <w:r w:rsidR="00D72946">
        <w:t xml:space="preserve"> wi</w:t>
      </w:r>
      <w:r w:rsidRPr="00043462">
        <w:t xml:space="preserve">ll not impact order execution priority or otherwise give participants any execution preference or advantage. </w:t>
      </w:r>
      <w:r>
        <w:t xml:space="preserve"> </w:t>
      </w:r>
      <w:r w:rsidRPr="00043462">
        <w:t>The</w:t>
      </w:r>
      <w:r w:rsidR="00CC09A5">
        <w:t>y</w:t>
      </w:r>
      <w:r w:rsidRPr="00043462">
        <w:t xml:space="preserve"> will not impact the Exchange’s ability to perform its trade practice and market surveillance obligations under the Act and Exchange staff will monitor trading </w:t>
      </w:r>
      <w:r w:rsidR="00C36D24">
        <w:t xml:space="preserve">by </w:t>
      </w:r>
      <w:r w:rsidR="00D72946">
        <w:t>market participants</w:t>
      </w:r>
      <w:r w:rsidRPr="00043462">
        <w:t xml:space="preserve"> to prevent manipulative </w:t>
      </w:r>
      <w:r w:rsidRPr="00043462">
        <w:lastRenderedPageBreak/>
        <w:t xml:space="preserve">trading and market abuse. </w:t>
      </w:r>
      <w:r>
        <w:t xml:space="preserve"> </w:t>
      </w:r>
      <w:r w:rsidRPr="00043462">
        <w:t xml:space="preserve">Additionally, the Exchange has systems to track </w:t>
      </w:r>
      <w:r>
        <w:t>p</w:t>
      </w:r>
      <w:r w:rsidRPr="00043462">
        <w:t>rogram participants’ volume to ensure proper distribution of earned incentives.</w:t>
      </w:r>
      <w:r>
        <w:t xml:space="preserve"> </w:t>
      </w:r>
      <w:r w:rsidRPr="00043462">
        <w:t xml:space="preserve"> Finally, NFX rules include prohibitions against fraudulent, non-competitive, unfair or abusive practices.  </w:t>
      </w:r>
    </w:p>
    <w:p w:rsidR="00755A05" w:rsidRPr="00043462" w:rsidRDefault="00755A05" w:rsidP="00755A05">
      <w:pPr>
        <w:pStyle w:val="Default"/>
        <w:rPr>
          <w:color w:val="auto"/>
        </w:rPr>
      </w:pPr>
    </w:p>
    <w:p w:rsidR="00755A05" w:rsidRDefault="00755A05" w:rsidP="00C36D24">
      <w:pPr>
        <w:spacing w:after="0" w:line="240" w:lineRule="auto"/>
        <w:ind w:firstLine="1310"/>
        <w:rPr>
          <w:rFonts w:ascii="Times New Roman" w:hAnsi="Times New Roman" w:cs="Times New Roman"/>
          <w:sz w:val="24"/>
          <w:szCs w:val="24"/>
        </w:rPr>
      </w:pPr>
      <w:r w:rsidRPr="00043462">
        <w:rPr>
          <w:rFonts w:ascii="Times New Roman" w:hAnsi="Times New Roman" w:cs="Times New Roman"/>
          <w:sz w:val="24"/>
          <w:szCs w:val="24"/>
        </w:rPr>
        <w:t xml:space="preserve">The Exchange has reviewed the designated contract market core principles as set forth in the Act in connection with the amendments presented herein.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462">
        <w:rPr>
          <w:rFonts w:ascii="Times New Roman" w:hAnsi="Times New Roman" w:cs="Times New Roman"/>
          <w:sz w:val="24"/>
          <w:szCs w:val="24"/>
        </w:rPr>
        <w:t xml:space="preserve">Consistent with Core Principle 7 - Availability of General Information, the Exchange will post general information, including the NFX Rulebook as amended herein, on its website: </w:t>
      </w:r>
      <w:hyperlink r:id="rId11" w:history="1">
        <w:r w:rsidRPr="00043462">
          <w:rPr>
            <w:rStyle w:val="Hyperlink"/>
            <w:rFonts w:ascii="Times New Roman" w:hAnsi="Times New Roman" w:cs="Times New Roman"/>
            <w:sz w:val="24"/>
            <w:szCs w:val="24"/>
          </w:rPr>
          <w:t>business.nasdaq.com/futures</w:t>
        </w:r>
      </w:hyperlink>
      <w:r w:rsidRPr="00043462">
        <w:rPr>
          <w:rFonts w:ascii="Times New Roman" w:hAnsi="Times New Roman" w:cs="Times New Roman"/>
          <w:sz w:val="24"/>
          <w:szCs w:val="24"/>
        </w:rPr>
        <w:t>.</w:t>
      </w:r>
    </w:p>
    <w:p w:rsidR="00755A05" w:rsidRDefault="00755A05" w:rsidP="00755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3"/>
          <w:u w:val="single"/>
        </w:rPr>
      </w:pPr>
    </w:p>
    <w:p w:rsidR="001615F2" w:rsidRPr="0013104F" w:rsidRDefault="001615F2" w:rsidP="001615F2">
      <w:pPr>
        <w:pStyle w:val="Default"/>
        <w:ind w:left="2620" w:firstLine="1310"/>
        <w:rPr>
          <w:b/>
          <w:bCs/>
          <w:color w:val="auto"/>
          <w:szCs w:val="23"/>
          <w:u w:val="single"/>
        </w:rPr>
      </w:pPr>
      <w:r w:rsidRPr="0013104F">
        <w:rPr>
          <w:b/>
          <w:bCs/>
          <w:color w:val="auto"/>
          <w:szCs w:val="23"/>
          <w:u w:val="single"/>
        </w:rPr>
        <w:t xml:space="preserve">Certifications </w:t>
      </w:r>
    </w:p>
    <w:p w:rsidR="001615F2" w:rsidRPr="0013104F" w:rsidRDefault="001615F2" w:rsidP="001615F2">
      <w:pPr>
        <w:pStyle w:val="Default"/>
        <w:ind w:left="2620"/>
        <w:rPr>
          <w:color w:val="auto"/>
        </w:rPr>
      </w:pPr>
    </w:p>
    <w:p w:rsidR="001615F2" w:rsidRPr="0013104F" w:rsidRDefault="001615F2" w:rsidP="001615F2">
      <w:pPr>
        <w:pStyle w:val="PlainText"/>
        <w:ind w:firstLine="1310"/>
        <w:rPr>
          <w:rFonts w:ascii="Times New Roman" w:eastAsia="Calibri" w:hAnsi="Times New Roman"/>
          <w:sz w:val="24"/>
          <w:szCs w:val="24"/>
        </w:rPr>
      </w:pPr>
      <w:r w:rsidRPr="0013104F">
        <w:rPr>
          <w:rFonts w:ascii="Times New Roman" w:hAnsi="Times New Roman"/>
          <w:sz w:val="24"/>
          <w:szCs w:val="23"/>
        </w:rPr>
        <w:t xml:space="preserve">There were no opposing views among NFX’s Board of Directors, members or market participants.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hereby certifies that the </w:t>
      </w:r>
      <w:r w:rsidR="00C36D24">
        <w:rPr>
          <w:rFonts w:ascii="Times New Roman" w:hAnsi="Times New Roman"/>
          <w:sz w:val="24"/>
          <w:szCs w:val="23"/>
        </w:rPr>
        <w:t>amendments to the fee schedule</w:t>
      </w:r>
      <w:r w:rsidRPr="0013104F">
        <w:rPr>
          <w:rFonts w:ascii="Times New Roman" w:hAnsi="Times New Roman"/>
          <w:sz w:val="24"/>
          <w:szCs w:val="23"/>
        </w:rPr>
        <w:t xml:space="preserve"> set forth herein compl</w:t>
      </w:r>
      <w:r>
        <w:rPr>
          <w:rFonts w:ascii="Times New Roman" w:hAnsi="Times New Roman"/>
          <w:sz w:val="24"/>
          <w:szCs w:val="23"/>
        </w:rPr>
        <w:t>ies</w:t>
      </w:r>
      <w:r w:rsidRPr="0013104F">
        <w:rPr>
          <w:rFonts w:ascii="Times New Roman" w:hAnsi="Times New Roman"/>
          <w:sz w:val="24"/>
          <w:szCs w:val="23"/>
        </w:rPr>
        <w:t xml:space="preserve"> with the Act and the Commission’s regulations thereunder. </w:t>
      </w:r>
      <w:r>
        <w:rPr>
          <w:rFonts w:ascii="Times New Roman" w:hAnsi="Times New Roman"/>
          <w:sz w:val="24"/>
          <w:szCs w:val="23"/>
        </w:rPr>
        <w:t xml:space="preserve"> </w:t>
      </w:r>
      <w:r w:rsidRPr="0013104F">
        <w:rPr>
          <w:rFonts w:ascii="Times New Roman" w:hAnsi="Times New Roman"/>
          <w:sz w:val="24"/>
          <w:szCs w:val="23"/>
        </w:rPr>
        <w:t xml:space="preserve">The Exchange also certifies that notice of pending certification and a copy of this submission have been concurrently posted on the Exchange’s website at </w:t>
      </w:r>
      <w:hyperlink r:id="rId12" w:history="1">
        <w:r>
          <w:rPr>
            <w:rStyle w:val="Hyperlink"/>
            <w:rFonts w:ascii="Times New Roman" w:hAnsi="Times New Roman"/>
            <w:sz w:val="24"/>
          </w:rPr>
          <w:t>business.nasdaq.com/futures</w:t>
        </w:r>
      </w:hyperlink>
      <w:r w:rsidRPr="0013104F">
        <w:rPr>
          <w:rFonts w:ascii="Times New Roman" w:hAnsi="Times New Roman"/>
          <w:sz w:val="24"/>
          <w:szCs w:val="23"/>
        </w:rPr>
        <w:t>.</w:t>
      </w:r>
    </w:p>
    <w:p w:rsidR="001615F2" w:rsidRPr="0013104F" w:rsidRDefault="001615F2" w:rsidP="001615F2">
      <w:pPr>
        <w:pStyle w:val="PlainText"/>
        <w:ind w:firstLine="1310"/>
        <w:rPr>
          <w:rFonts w:ascii="Times New Roman" w:hAnsi="Times New Roman"/>
          <w:sz w:val="24"/>
          <w:szCs w:val="24"/>
        </w:rPr>
      </w:pPr>
    </w:p>
    <w:p w:rsidR="002B56C0" w:rsidRPr="0013104F" w:rsidRDefault="001615F2" w:rsidP="0066257B">
      <w:pPr>
        <w:keepNext/>
        <w:spacing w:after="0" w:line="240" w:lineRule="auto"/>
        <w:ind w:firstLine="1310"/>
        <w:rPr>
          <w:rFonts w:ascii="Times New Roman" w:eastAsia="Times New Roman" w:hAnsi="Times New Roman" w:cs="Times New Roman"/>
          <w:sz w:val="24"/>
          <w:szCs w:val="24"/>
        </w:rPr>
      </w:pPr>
      <w:r w:rsidRPr="0013104F">
        <w:rPr>
          <w:rFonts w:ascii="Times New Roman" w:eastAsia="Calibri" w:hAnsi="Times New Roman" w:cs="Times New Roman"/>
          <w:sz w:val="24"/>
          <w:szCs w:val="24"/>
        </w:rPr>
        <w:t>If you require any additional information regarding th</w:t>
      </w:r>
      <w:r>
        <w:rPr>
          <w:rFonts w:ascii="Times New Roman" w:eastAsia="Calibri" w:hAnsi="Times New Roman" w:cs="Times New Roman"/>
          <w:sz w:val="24"/>
          <w:szCs w:val="24"/>
        </w:rPr>
        <w:t>is</w:t>
      </w:r>
      <w:r w:rsidRPr="0013104F">
        <w:rPr>
          <w:rFonts w:ascii="Times New Roman" w:eastAsia="Calibri" w:hAnsi="Times New Roman" w:cs="Times New Roman"/>
          <w:sz w:val="24"/>
          <w:szCs w:val="24"/>
        </w:rPr>
        <w:t xml:space="preserve"> submission, please </w:t>
      </w:r>
      <w:r w:rsidRPr="0013104F">
        <w:rPr>
          <w:rFonts w:ascii="Times New Roman" w:hAnsi="Times New Roman" w:cs="Times New Roman"/>
          <w:sz w:val="24"/>
          <w:szCs w:val="24"/>
        </w:rPr>
        <w:t>contact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Stephen Matthews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D27">
        <w:rPr>
          <w:rFonts w:ascii="Times New Roman" w:eastAsia="Times New Roman" w:hAnsi="Times New Roman" w:cs="Times New Roman"/>
          <w:sz w:val="24"/>
          <w:szCs w:val="24"/>
        </w:rPr>
        <w:t>at (301) 978-84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104F">
        <w:rPr>
          <w:rFonts w:ascii="Times New Roman" w:hAnsi="Times New Roman" w:cs="Times New Roman"/>
          <w:sz w:val="24"/>
          <w:szCs w:val="24"/>
        </w:rPr>
        <w:t>or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steve.matthews</w:t>
      </w:r>
      <w:r w:rsidRPr="0013104F">
        <w:rPr>
          <w:rFonts w:ascii="Times New Roman" w:hAnsi="Times New Roman" w:cs="Times New Roman"/>
          <w:sz w:val="24"/>
          <w:szCs w:val="24"/>
        </w:rPr>
        <w:t>@nasdaq.com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.  </w:t>
      </w:r>
      <w:r w:rsidRPr="0013104F">
        <w:rPr>
          <w:rFonts w:ascii="Times New Roman" w:hAnsi="Times New Roman" w:cs="Times New Roman"/>
          <w:sz w:val="24"/>
          <w:szCs w:val="24"/>
        </w:rPr>
        <w:t>Please</w:t>
      </w:r>
      <w:r w:rsidRPr="001310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3578">
        <w:rPr>
          <w:rFonts w:ascii="Times New Roman" w:hAnsi="Times New Roman" w:cs="Times New Roman"/>
          <w:sz w:val="24"/>
          <w:szCs w:val="24"/>
        </w:rPr>
        <w:t>refer to</w:t>
      </w:r>
      <w:r w:rsidRPr="002B357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SR-NFX-2018</w:t>
      </w:r>
      <w:r w:rsidRPr="002B3578">
        <w:rPr>
          <w:rFonts w:ascii="Times New Roman" w:hAnsi="Times New Roman" w:cs="Times New Roman"/>
          <w:sz w:val="24"/>
          <w:szCs w:val="24"/>
        </w:rPr>
        <w:t>-</w:t>
      </w:r>
      <w:r w:rsidR="00324B55">
        <w:rPr>
          <w:rFonts w:ascii="Times New Roman" w:hAnsi="Times New Roman" w:cs="Times New Roman"/>
          <w:sz w:val="24"/>
          <w:szCs w:val="24"/>
        </w:rPr>
        <w:t>5</w:t>
      </w:r>
      <w:r w:rsidR="000A7F25">
        <w:rPr>
          <w:rFonts w:ascii="Times New Roman" w:hAnsi="Times New Roman" w:cs="Times New Roman"/>
          <w:sz w:val="24"/>
          <w:szCs w:val="24"/>
        </w:rPr>
        <w:t>8</w:t>
      </w:r>
      <w:r w:rsidRPr="002B35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3578">
        <w:rPr>
          <w:rFonts w:ascii="Times New Roman" w:eastAsia="Calibri" w:hAnsi="Times New Roman" w:cs="Times New Roman"/>
          <w:sz w:val="24"/>
          <w:szCs w:val="24"/>
        </w:rPr>
        <w:t>in any related correspondence.</w:t>
      </w:r>
    </w:p>
    <w:p w:rsidR="002B56C0" w:rsidRPr="0013104F" w:rsidRDefault="002B56C0" w:rsidP="002B56C0">
      <w:pPr>
        <w:pStyle w:val="NoSpacing"/>
        <w:keepNext/>
        <w:rPr>
          <w:rFonts w:ascii="Times New Roman" w:eastAsia="Calibri" w:hAnsi="Times New Roman" w:cs="Times New Roman"/>
          <w:sz w:val="24"/>
          <w:szCs w:val="24"/>
        </w:rPr>
      </w:pP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Regards,</w:t>
      </w:r>
    </w:p>
    <w:p w:rsidR="00C711C9" w:rsidRPr="00D06205" w:rsidRDefault="00C711C9" w:rsidP="00C711C9">
      <w:pPr>
        <w:pStyle w:val="NoSpacing"/>
        <w:keepNext/>
        <w:ind w:left="288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7001D77" wp14:editId="7A772256">
            <wp:extent cx="1959240" cy="544286"/>
            <wp:effectExtent l="0" t="0" r="3175" b="8255"/>
            <wp:docPr id="3" name="Picture 3" descr="C:\Users\aramen\AppData\Local\Microsoft\Windows\Temporary Internet Files\Content.Outlook\Z6BM50HW\Ric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en\AppData\Local\Microsoft\Windows\Temporary Internet Files\Content.Outlook\Z6BM50HW\Rick's Signa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27" cy="5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C711C9" w:rsidRPr="00D06205" w:rsidRDefault="00C711C9" w:rsidP="00C711C9">
      <w:pPr>
        <w:pStyle w:val="NoSpacing"/>
        <w:keepNext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 xml:space="preserve">Rick </w:t>
      </w:r>
      <w:proofErr w:type="spellStart"/>
      <w:r w:rsidRPr="00D06205">
        <w:rPr>
          <w:rFonts w:ascii="Times New Roman" w:eastAsia="Calibri" w:hAnsi="Times New Roman" w:cs="Times New Roman"/>
          <w:sz w:val="24"/>
          <w:szCs w:val="24"/>
        </w:rPr>
        <w:t>Beaman</w:t>
      </w:r>
      <w:proofErr w:type="spellEnd"/>
    </w:p>
    <w:p w:rsidR="00C711C9" w:rsidRPr="00D06205" w:rsidRDefault="00C711C9" w:rsidP="00C711C9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D06205">
        <w:rPr>
          <w:rFonts w:ascii="Times New Roman" w:eastAsia="Calibri" w:hAnsi="Times New Roman" w:cs="Times New Roman"/>
          <w:sz w:val="24"/>
          <w:szCs w:val="24"/>
        </w:rPr>
        <w:t>Chief Executive Officer</w:t>
      </w:r>
    </w:p>
    <w:p w:rsidR="002B56C0" w:rsidRPr="0013104F" w:rsidRDefault="002B56C0" w:rsidP="002B56C0">
      <w:pPr>
        <w:pStyle w:val="NoSpacing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4F4E47" w:rsidRDefault="00335313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</w:t>
      </w:r>
      <w:r w:rsidR="00692851">
        <w:rPr>
          <w:rFonts w:ascii="Times New Roman" w:hAnsi="Times New Roman" w:cs="Times New Roman"/>
          <w:sz w:val="24"/>
          <w:szCs w:val="24"/>
        </w:rPr>
        <w:t>ments:</w:t>
      </w:r>
    </w:p>
    <w:p w:rsidR="00692851" w:rsidRDefault="00692851" w:rsidP="002B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51" w:rsidRDefault="00692851" w:rsidP="00692851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6707F7">
        <w:rPr>
          <w:rFonts w:ascii="Times New Roman" w:hAnsi="Times New Roman" w:cs="Times New Roman"/>
          <w:sz w:val="24"/>
          <w:szCs w:val="24"/>
          <w:u w:val="single"/>
        </w:rPr>
        <w:t xml:space="preserve">Exhibit </w:t>
      </w:r>
      <w:r w:rsidR="00D72946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Amended Fee Schedule effective </w:t>
      </w:r>
      <w:r w:rsidR="000A7F25">
        <w:rPr>
          <w:rFonts w:ascii="Times New Roman" w:hAnsi="Times New Roman" w:cs="Times New Roman"/>
          <w:sz w:val="24"/>
          <w:szCs w:val="24"/>
        </w:rPr>
        <w:t>December 1</w:t>
      </w:r>
      <w:r>
        <w:rPr>
          <w:rFonts w:ascii="Times New Roman" w:hAnsi="Times New Roman" w:cs="Times New Roman"/>
          <w:sz w:val="24"/>
          <w:szCs w:val="24"/>
        </w:rPr>
        <w:t>, 2018</w:t>
      </w:r>
    </w:p>
    <w:sectPr w:rsidR="00692851" w:rsidSect="005444C0">
      <w:headerReference w:type="default" r:id="rId14"/>
      <w:headerReference w:type="first" r:id="rId15"/>
      <w:footerReference w:type="first" r:id="rId16"/>
      <w:pgSz w:w="12242" w:h="15842" w:code="1"/>
      <w:pgMar w:top="760" w:right="1393" w:bottom="709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CF" w:rsidRDefault="009F4FCF">
      <w:r>
        <w:separator/>
      </w:r>
    </w:p>
  </w:endnote>
  <w:endnote w:type="continuationSeparator" w:id="0">
    <w:p w:rsidR="009F4FCF" w:rsidRDefault="009F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7D5CA5D-0EF7-4B03-B6AB-E9F16296B13E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2" w:fontKey="{AD5B0885-4CB1-4FBB-AFB3-82A2A9BD151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Default="00B67098" w:rsidP="00F06CCD">
    <w:pPr>
      <w:pStyle w:val="Footer"/>
      <w:spacing w:before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CF" w:rsidRDefault="009F4FCF">
      <w:r>
        <w:separator/>
      </w:r>
    </w:p>
  </w:footnote>
  <w:footnote w:type="continuationSeparator" w:id="0">
    <w:p w:rsidR="009F4FCF" w:rsidRDefault="009F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98" w:rsidRPr="00B67098" w:rsidRDefault="00B67098" w:rsidP="005E244B">
    <w:pPr>
      <w:pStyle w:val="NoSpacing"/>
      <w:rPr>
        <w:rFonts w:ascii="Times New Roman" w:eastAsia="Calibri" w:hAnsi="Times New Roman" w:cs="Times New Roman"/>
        <w:sz w:val="20"/>
        <w:szCs w:val="20"/>
      </w:rPr>
    </w:pPr>
    <w:r w:rsidRPr="00B67098">
      <w:rPr>
        <w:rFonts w:ascii="Times New Roman" w:eastAsia="Calibri" w:hAnsi="Times New Roman" w:cs="Times New Roman"/>
        <w:sz w:val="20"/>
        <w:szCs w:val="20"/>
      </w:rPr>
      <w:t>Commodity Futures Trading Commission</w:t>
    </w:r>
  </w:p>
  <w:p w:rsidR="00371610" w:rsidRDefault="00324B55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November 1</w:t>
    </w:r>
    <w:r w:rsidR="000A7F25">
      <w:rPr>
        <w:rFonts w:ascii="Times New Roman" w:hAnsi="Times New Roman" w:cs="Times New Roman"/>
        <w:sz w:val="20"/>
        <w:szCs w:val="20"/>
      </w:rPr>
      <w:t>6</w:t>
    </w:r>
    <w:r w:rsidR="00D9388D">
      <w:rPr>
        <w:rFonts w:ascii="Times New Roman" w:hAnsi="Times New Roman" w:cs="Times New Roman"/>
        <w:sz w:val="20"/>
        <w:szCs w:val="20"/>
      </w:rPr>
      <w:t>, 201</w:t>
    </w:r>
    <w:r w:rsidR="00700B1A">
      <w:rPr>
        <w:rFonts w:ascii="Times New Roman" w:hAnsi="Times New Roman" w:cs="Times New Roman"/>
        <w:sz w:val="20"/>
        <w:szCs w:val="20"/>
      </w:rPr>
      <w:t>8</w:t>
    </w:r>
  </w:p>
  <w:p w:rsidR="005444C0" w:rsidRDefault="008225AC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SR-NFX-201</w:t>
    </w:r>
    <w:r w:rsidR="00700B1A">
      <w:rPr>
        <w:rFonts w:ascii="Times New Roman" w:hAnsi="Times New Roman" w:cs="Times New Roman"/>
        <w:sz w:val="20"/>
        <w:szCs w:val="20"/>
      </w:rPr>
      <w:t>8</w:t>
    </w:r>
    <w:r w:rsidR="00371610">
      <w:rPr>
        <w:rFonts w:ascii="Times New Roman" w:hAnsi="Times New Roman" w:cs="Times New Roman"/>
        <w:sz w:val="20"/>
        <w:szCs w:val="20"/>
      </w:rPr>
      <w:t>-</w:t>
    </w:r>
    <w:r w:rsidR="00324B55">
      <w:rPr>
        <w:rFonts w:ascii="Times New Roman" w:hAnsi="Times New Roman" w:cs="Times New Roman"/>
        <w:sz w:val="20"/>
        <w:szCs w:val="20"/>
      </w:rPr>
      <w:t>5</w:t>
    </w:r>
    <w:r w:rsidR="000A7F25">
      <w:rPr>
        <w:rFonts w:ascii="Times New Roman" w:hAnsi="Times New Roman" w:cs="Times New Roman"/>
        <w:sz w:val="20"/>
        <w:szCs w:val="20"/>
      </w:rPr>
      <w:t>8</w:t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67098">
      <w:rPr>
        <w:rFonts w:ascii="Times New Roman" w:hAnsi="Times New Roman" w:cs="Times New Roman"/>
        <w:sz w:val="20"/>
        <w:szCs w:val="20"/>
      </w:rPr>
      <w:t xml:space="preserve">Page </w:t>
    </w:r>
    <w:r w:rsidRPr="00B67098">
      <w:rPr>
        <w:rFonts w:ascii="Times New Roman" w:hAnsi="Times New Roman" w:cs="Times New Roman"/>
        <w:sz w:val="20"/>
        <w:szCs w:val="20"/>
      </w:rPr>
      <w:fldChar w:fldCharType="begin"/>
    </w:r>
    <w:r w:rsidRPr="00B6709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67098">
      <w:rPr>
        <w:rFonts w:ascii="Times New Roman" w:hAnsi="Times New Roman" w:cs="Times New Roman"/>
        <w:sz w:val="20"/>
        <w:szCs w:val="20"/>
      </w:rPr>
      <w:fldChar w:fldCharType="separate"/>
    </w:r>
    <w:r w:rsidR="008B0D0C">
      <w:rPr>
        <w:rFonts w:ascii="Times New Roman" w:hAnsi="Times New Roman" w:cs="Times New Roman"/>
        <w:noProof/>
        <w:sz w:val="20"/>
        <w:szCs w:val="20"/>
      </w:rPr>
      <w:t>2</w:t>
    </w:r>
    <w:r w:rsidRPr="00B67098">
      <w:rPr>
        <w:rFonts w:ascii="Times New Roman" w:hAnsi="Times New Roman" w:cs="Times New Roman"/>
        <w:sz w:val="20"/>
        <w:szCs w:val="20"/>
      </w:rPr>
      <w:fldChar w:fldCharType="end"/>
    </w:r>
  </w:p>
  <w:p w:rsidR="00B67098" w:rsidRPr="00B67098" w:rsidRDefault="00B67098" w:rsidP="00B67098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DA" w:rsidRDefault="001B6ADA">
    <w:pPr>
      <w:spacing w:after="960"/>
    </w:pP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Nasdaq Futures, Inc.</w:t>
    </w:r>
  </w:p>
  <w:p w:rsidR="001B6ADA" w:rsidRPr="00CF4B16" w:rsidRDefault="0040735E" w:rsidP="001B6ADA">
    <w:pPr>
      <w:pStyle w:val="LetterheadAddress"/>
      <w:ind w:left="6550"/>
      <w:rPr>
        <w:sz w:val="20"/>
      </w:rPr>
    </w:pPr>
    <w:r>
      <w:rPr>
        <w:sz w:val="20"/>
      </w:rPr>
      <w:t>2929 Walnut Street</w:t>
    </w:r>
  </w:p>
  <w:p w:rsidR="001B6ADA" w:rsidRPr="00CF4B16" w:rsidRDefault="001B6ADA" w:rsidP="001B6ADA">
    <w:pPr>
      <w:pStyle w:val="LetterheadAddress"/>
      <w:ind w:left="6550"/>
      <w:rPr>
        <w:sz w:val="20"/>
      </w:rPr>
    </w:pPr>
    <w:r w:rsidRPr="00CF4B16">
      <w:rPr>
        <w:sz w:val="20"/>
      </w:rPr>
      <w:t>Philadelphia, PA 1910</w:t>
    </w:r>
    <w:r w:rsidR="0040735E">
      <w:rPr>
        <w:sz w:val="20"/>
      </w:rPr>
      <w:t>4</w:t>
    </w:r>
    <w:r w:rsidRPr="00CF4B16">
      <w:rPr>
        <w:sz w:val="20"/>
      </w:rPr>
      <w:t xml:space="preserve"> / USA</w:t>
    </w:r>
  </w:p>
  <w:p w:rsidR="00300E44" w:rsidRPr="0032079E" w:rsidRDefault="001B6ADA" w:rsidP="0032079E">
    <w:pPr>
      <w:spacing w:before="120" w:after="0"/>
      <w:ind w:left="6550"/>
      <w:rPr>
        <w:rFonts w:asciiTheme="majorHAnsi" w:hAnsiTheme="majorHAnsi" w:cs="Times New Roman"/>
        <w:sz w:val="20"/>
        <w:szCs w:val="18"/>
      </w:rPr>
    </w:pPr>
    <w:r w:rsidRPr="00CF4B16">
      <w:rPr>
        <w:rFonts w:asciiTheme="majorHAnsi" w:hAnsiTheme="majorHAnsi" w:cs="Times New Roman"/>
        <w:sz w:val="20"/>
        <w:szCs w:val="18"/>
      </w:rPr>
      <w:t>business.nasdaq.com/futures</w:t>
    </w:r>
    <w:r w:rsidR="005A7FD1" w:rsidRPr="00151B94">
      <w:rPr>
        <w:noProof/>
        <w:sz w:val="18"/>
        <w:szCs w:val="18"/>
      </w:rPr>
      <w:drawing>
        <wp:anchor distT="0" distB="0" distL="114300" distR="114300" simplePos="0" relativeHeight="251664384" behindDoc="0" locked="1" layoutInCell="1" allowOverlap="1" wp14:anchorId="57F3EAF1" wp14:editId="438907C7">
          <wp:simplePos x="0" y="0"/>
          <wp:positionH relativeFrom="margin">
            <wp:posOffset>3565837</wp:posOffset>
          </wp:positionH>
          <wp:positionV relativeFrom="page">
            <wp:posOffset>690113</wp:posOffset>
          </wp:positionV>
          <wp:extent cx="1673225" cy="474345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2005-2010:Desktop:NDAQ_Letterhead_2014:ndaq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45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82E8B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 w15:restartNumberingAfterBreak="0">
    <w:nsid w:val="23FD4CE7"/>
    <w:multiLevelType w:val="hybridMultilevel"/>
    <w:tmpl w:val="D430CF0A"/>
    <w:lvl w:ilvl="0" w:tplc="2744AE76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968E4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05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A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E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AA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01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297E"/>
    <w:multiLevelType w:val="hybridMultilevel"/>
    <w:tmpl w:val="08B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12F3C"/>
    <w:multiLevelType w:val="hybridMultilevel"/>
    <w:tmpl w:val="D054DE18"/>
    <w:lvl w:ilvl="0" w:tplc="C1B827F4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180B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AE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ED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23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E8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CC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AC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2C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064EB1"/>
    <w:multiLevelType w:val="hybridMultilevel"/>
    <w:tmpl w:val="6A20D2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9DF6C5E"/>
    <w:multiLevelType w:val="hybridMultilevel"/>
    <w:tmpl w:val="D8B8C1D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81E9B"/>
    <w:multiLevelType w:val="hybridMultilevel"/>
    <w:tmpl w:val="C1487580"/>
    <w:lvl w:ilvl="0" w:tplc="4DC86C3A">
      <w:start w:val="1"/>
      <w:numFmt w:val="bullet"/>
      <w:pStyle w:val="Bullets"/>
      <w:lvlText w:val=""/>
      <w:lvlJc w:val="left"/>
      <w:pPr>
        <w:ind w:left="0" w:hanging="360"/>
      </w:pPr>
      <w:rPr>
        <w:rFonts w:ascii="Symbol" w:hAnsi="Symbol" w:hint="default"/>
        <w:color w:val="009FC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2AE"/>
    <w:multiLevelType w:val="hybridMultilevel"/>
    <w:tmpl w:val="D80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234D"/>
    <w:multiLevelType w:val="hybridMultilevel"/>
    <w:tmpl w:val="1B18AF3E"/>
    <w:lvl w:ilvl="0" w:tplc="95BE270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5E25CF"/>
    <w:multiLevelType w:val="hybridMultilevel"/>
    <w:tmpl w:val="5A2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2C9"/>
    <w:multiLevelType w:val="hybridMultilevel"/>
    <w:tmpl w:val="31A278F2"/>
    <w:lvl w:ilvl="0" w:tplc="71CE4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32A7"/>
    <w:multiLevelType w:val="singleLevel"/>
    <w:tmpl w:val="26364A84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721D1FF7"/>
    <w:multiLevelType w:val="hybridMultilevel"/>
    <w:tmpl w:val="51327A2A"/>
    <w:lvl w:ilvl="0" w:tplc="040822AA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7505087F"/>
    <w:multiLevelType w:val="hybridMultilevel"/>
    <w:tmpl w:val="A71C790C"/>
    <w:lvl w:ilvl="0" w:tplc="578622CE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8446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A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C1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A2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A9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A2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43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35EC7"/>
    <w:multiLevelType w:val="hybridMultilevel"/>
    <w:tmpl w:val="8A569372"/>
    <w:lvl w:ilvl="0" w:tplc="AB521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5"/>
  </w:num>
  <w:num w:numId="5">
    <w:abstractNumId w:val="17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25"/>
  </w:num>
  <w:num w:numId="18">
    <w:abstractNumId w:val="9"/>
  </w:num>
  <w:num w:numId="19">
    <w:abstractNumId w:val="12"/>
  </w:num>
  <w:num w:numId="20">
    <w:abstractNumId w:val="10"/>
  </w:num>
  <w:num w:numId="21">
    <w:abstractNumId w:val="25"/>
  </w:num>
  <w:num w:numId="22">
    <w:abstractNumId w:val="9"/>
  </w:num>
  <w:num w:numId="23">
    <w:abstractNumId w:val="12"/>
  </w:num>
  <w:num w:numId="24">
    <w:abstractNumId w:val="10"/>
  </w:num>
  <w:num w:numId="25">
    <w:abstractNumId w:val="25"/>
  </w:num>
  <w:num w:numId="26">
    <w:abstractNumId w:val="23"/>
  </w:num>
  <w:num w:numId="27">
    <w:abstractNumId w:val="25"/>
  </w:num>
  <w:num w:numId="28">
    <w:abstractNumId w:val="23"/>
  </w:num>
  <w:num w:numId="29">
    <w:abstractNumId w:val="22"/>
  </w:num>
  <w:num w:numId="30">
    <w:abstractNumId w:val="24"/>
  </w:num>
  <w:num w:numId="31">
    <w:abstractNumId w:val="1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8"/>
  </w:num>
  <w:num w:numId="36">
    <w:abstractNumId w:val="16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TrueTypeFonts/>
  <w:saveSubsetFonts/>
  <w:proofState w:spelling="clean"/>
  <w:attachedTemplate r:id="rId1"/>
  <w:doNotTrackFormatting/>
  <w:defaultTabStop w:val="1310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8"/>
    <w:rsid w:val="000049A2"/>
    <w:rsid w:val="00010152"/>
    <w:rsid w:val="000141C6"/>
    <w:rsid w:val="000277E6"/>
    <w:rsid w:val="000313E1"/>
    <w:rsid w:val="00035AE7"/>
    <w:rsid w:val="0004373F"/>
    <w:rsid w:val="00043BF8"/>
    <w:rsid w:val="000467B2"/>
    <w:rsid w:val="00051023"/>
    <w:rsid w:val="00053DDB"/>
    <w:rsid w:val="00054E16"/>
    <w:rsid w:val="000718CD"/>
    <w:rsid w:val="000764FA"/>
    <w:rsid w:val="00091E20"/>
    <w:rsid w:val="00095F3F"/>
    <w:rsid w:val="000A0FF7"/>
    <w:rsid w:val="000A3874"/>
    <w:rsid w:val="000A7F25"/>
    <w:rsid w:val="000B0B22"/>
    <w:rsid w:val="000B0F2E"/>
    <w:rsid w:val="000B5E2C"/>
    <w:rsid w:val="000C579C"/>
    <w:rsid w:val="000D02B9"/>
    <w:rsid w:val="000D1939"/>
    <w:rsid w:val="000D4A76"/>
    <w:rsid w:val="000D6BF4"/>
    <w:rsid w:val="000E23FC"/>
    <w:rsid w:val="000F3BC3"/>
    <w:rsid w:val="00124AE5"/>
    <w:rsid w:val="001265C8"/>
    <w:rsid w:val="00135BE1"/>
    <w:rsid w:val="00153179"/>
    <w:rsid w:val="001615F2"/>
    <w:rsid w:val="001746B9"/>
    <w:rsid w:val="00177BCC"/>
    <w:rsid w:val="0018088D"/>
    <w:rsid w:val="00197F73"/>
    <w:rsid w:val="001B6ADA"/>
    <w:rsid w:val="001C4306"/>
    <w:rsid w:val="001D0916"/>
    <w:rsid w:val="001D4C1F"/>
    <w:rsid w:val="001E53F3"/>
    <w:rsid w:val="001F20FA"/>
    <w:rsid w:val="00210AE7"/>
    <w:rsid w:val="002230A7"/>
    <w:rsid w:val="00232FFF"/>
    <w:rsid w:val="00242C21"/>
    <w:rsid w:val="00243744"/>
    <w:rsid w:val="00252BCC"/>
    <w:rsid w:val="00261A57"/>
    <w:rsid w:val="0026668C"/>
    <w:rsid w:val="00273392"/>
    <w:rsid w:val="002A147E"/>
    <w:rsid w:val="002A70DC"/>
    <w:rsid w:val="002B0DB3"/>
    <w:rsid w:val="002B3578"/>
    <w:rsid w:val="002B56C0"/>
    <w:rsid w:val="002D1A0E"/>
    <w:rsid w:val="002E0658"/>
    <w:rsid w:val="002F2442"/>
    <w:rsid w:val="00300E44"/>
    <w:rsid w:val="003017B3"/>
    <w:rsid w:val="00304F17"/>
    <w:rsid w:val="00310833"/>
    <w:rsid w:val="00314DE6"/>
    <w:rsid w:val="0032079E"/>
    <w:rsid w:val="00324B55"/>
    <w:rsid w:val="00335313"/>
    <w:rsid w:val="0033684D"/>
    <w:rsid w:val="00337B63"/>
    <w:rsid w:val="00337BAB"/>
    <w:rsid w:val="00352533"/>
    <w:rsid w:val="003579D4"/>
    <w:rsid w:val="00363601"/>
    <w:rsid w:val="003658B4"/>
    <w:rsid w:val="00371610"/>
    <w:rsid w:val="00372973"/>
    <w:rsid w:val="003742C7"/>
    <w:rsid w:val="00385EB8"/>
    <w:rsid w:val="00390E54"/>
    <w:rsid w:val="00394142"/>
    <w:rsid w:val="003962C7"/>
    <w:rsid w:val="003A1E6B"/>
    <w:rsid w:val="003B3012"/>
    <w:rsid w:val="003D071F"/>
    <w:rsid w:val="003D65F8"/>
    <w:rsid w:val="003D7D45"/>
    <w:rsid w:val="003E42E3"/>
    <w:rsid w:val="003F1332"/>
    <w:rsid w:val="003F5035"/>
    <w:rsid w:val="00400D58"/>
    <w:rsid w:val="0040735E"/>
    <w:rsid w:val="0041155D"/>
    <w:rsid w:val="004166F5"/>
    <w:rsid w:val="00420946"/>
    <w:rsid w:val="00425E24"/>
    <w:rsid w:val="00431D5C"/>
    <w:rsid w:val="004351A1"/>
    <w:rsid w:val="004416D1"/>
    <w:rsid w:val="004446AE"/>
    <w:rsid w:val="00444B42"/>
    <w:rsid w:val="004468C6"/>
    <w:rsid w:val="00451810"/>
    <w:rsid w:val="004520D0"/>
    <w:rsid w:val="004623F3"/>
    <w:rsid w:val="00470435"/>
    <w:rsid w:val="00471651"/>
    <w:rsid w:val="004A4B7C"/>
    <w:rsid w:val="004A673F"/>
    <w:rsid w:val="004A75CC"/>
    <w:rsid w:val="004B0ADE"/>
    <w:rsid w:val="004B4800"/>
    <w:rsid w:val="004C1038"/>
    <w:rsid w:val="004C595C"/>
    <w:rsid w:val="004E0359"/>
    <w:rsid w:val="004E0D16"/>
    <w:rsid w:val="004F42A5"/>
    <w:rsid w:val="004F4A5F"/>
    <w:rsid w:val="004F4E47"/>
    <w:rsid w:val="004F6A14"/>
    <w:rsid w:val="00500EE5"/>
    <w:rsid w:val="005101CA"/>
    <w:rsid w:val="005112E4"/>
    <w:rsid w:val="00517EAC"/>
    <w:rsid w:val="00521FB4"/>
    <w:rsid w:val="00522259"/>
    <w:rsid w:val="00526D6A"/>
    <w:rsid w:val="00543FF5"/>
    <w:rsid w:val="005444C0"/>
    <w:rsid w:val="00550D5C"/>
    <w:rsid w:val="0055465F"/>
    <w:rsid w:val="0055547F"/>
    <w:rsid w:val="00557005"/>
    <w:rsid w:val="0056301F"/>
    <w:rsid w:val="00566994"/>
    <w:rsid w:val="00566AD7"/>
    <w:rsid w:val="00575375"/>
    <w:rsid w:val="005948D5"/>
    <w:rsid w:val="0059608D"/>
    <w:rsid w:val="005A2793"/>
    <w:rsid w:val="005A7FD1"/>
    <w:rsid w:val="005B121C"/>
    <w:rsid w:val="005B3A86"/>
    <w:rsid w:val="005C2E8D"/>
    <w:rsid w:val="005C4063"/>
    <w:rsid w:val="005C40E6"/>
    <w:rsid w:val="005D6916"/>
    <w:rsid w:val="005E244B"/>
    <w:rsid w:val="005E4060"/>
    <w:rsid w:val="005E518E"/>
    <w:rsid w:val="005F1A38"/>
    <w:rsid w:val="005F6EC0"/>
    <w:rsid w:val="005F7738"/>
    <w:rsid w:val="00613FF8"/>
    <w:rsid w:val="00615BE5"/>
    <w:rsid w:val="0061772D"/>
    <w:rsid w:val="006231E5"/>
    <w:rsid w:val="00623F3F"/>
    <w:rsid w:val="00631422"/>
    <w:rsid w:val="0064234D"/>
    <w:rsid w:val="00642E1A"/>
    <w:rsid w:val="00645538"/>
    <w:rsid w:val="006505E1"/>
    <w:rsid w:val="006532B0"/>
    <w:rsid w:val="0066257B"/>
    <w:rsid w:val="006626EB"/>
    <w:rsid w:val="00662BF1"/>
    <w:rsid w:val="00672BD3"/>
    <w:rsid w:val="00674E96"/>
    <w:rsid w:val="00682E52"/>
    <w:rsid w:val="00687FED"/>
    <w:rsid w:val="00692851"/>
    <w:rsid w:val="006974BA"/>
    <w:rsid w:val="006A23F0"/>
    <w:rsid w:val="006A2E0C"/>
    <w:rsid w:val="006A58E9"/>
    <w:rsid w:val="006B55A4"/>
    <w:rsid w:val="006C2820"/>
    <w:rsid w:val="006C2BD3"/>
    <w:rsid w:val="006C7C6D"/>
    <w:rsid w:val="006D0516"/>
    <w:rsid w:val="006D7316"/>
    <w:rsid w:val="006E620B"/>
    <w:rsid w:val="006F78A0"/>
    <w:rsid w:val="00700B1A"/>
    <w:rsid w:val="00704A07"/>
    <w:rsid w:val="00723F8E"/>
    <w:rsid w:val="00744134"/>
    <w:rsid w:val="00746658"/>
    <w:rsid w:val="00746EFF"/>
    <w:rsid w:val="0075023F"/>
    <w:rsid w:val="007525F5"/>
    <w:rsid w:val="00752A6A"/>
    <w:rsid w:val="00755A05"/>
    <w:rsid w:val="007667BD"/>
    <w:rsid w:val="007824A2"/>
    <w:rsid w:val="00792782"/>
    <w:rsid w:val="0079548F"/>
    <w:rsid w:val="00796FBD"/>
    <w:rsid w:val="007A3EEC"/>
    <w:rsid w:val="007B39B4"/>
    <w:rsid w:val="007C6CA5"/>
    <w:rsid w:val="007D48A6"/>
    <w:rsid w:val="007F6B89"/>
    <w:rsid w:val="00803051"/>
    <w:rsid w:val="008225AC"/>
    <w:rsid w:val="00822AF5"/>
    <w:rsid w:val="00823846"/>
    <w:rsid w:val="0083294B"/>
    <w:rsid w:val="00832D54"/>
    <w:rsid w:val="00834CB0"/>
    <w:rsid w:val="008365F1"/>
    <w:rsid w:val="00840E13"/>
    <w:rsid w:val="00843CD2"/>
    <w:rsid w:val="008443E9"/>
    <w:rsid w:val="00845388"/>
    <w:rsid w:val="00847210"/>
    <w:rsid w:val="008504E3"/>
    <w:rsid w:val="008601E9"/>
    <w:rsid w:val="00862FB8"/>
    <w:rsid w:val="008A5035"/>
    <w:rsid w:val="008A6E96"/>
    <w:rsid w:val="008A6F33"/>
    <w:rsid w:val="008B0D0C"/>
    <w:rsid w:val="008D0EA0"/>
    <w:rsid w:val="008D2006"/>
    <w:rsid w:val="008D3674"/>
    <w:rsid w:val="008D3A95"/>
    <w:rsid w:val="008D575B"/>
    <w:rsid w:val="008E113C"/>
    <w:rsid w:val="008E5622"/>
    <w:rsid w:val="008F2A00"/>
    <w:rsid w:val="008F34CB"/>
    <w:rsid w:val="008F39CF"/>
    <w:rsid w:val="008F696F"/>
    <w:rsid w:val="00901585"/>
    <w:rsid w:val="00901E0C"/>
    <w:rsid w:val="009159EA"/>
    <w:rsid w:val="009325A9"/>
    <w:rsid w:val="00933EC3"/>
    <w:rsid w:val="00940AE9"/>
    <w:rsid w:val="00944D95"/>
    <w:rsid w:val="00962C60"/>
    <w:rsid w:val="0096505D"/>
    <w:rsid w:val="00977F03"/>
    <w:rsid w:val="00980C72"/>
    <w:rsid w:val="00993F41"/>
    <w:rsid w:val="009A2490"/>
    <w:rsid w:val="009A68A7"/>
    <w:rsid w:val="009D5AA9"/>
    <w:rsid w:val="009D691D"/>
    <w:rsid w:val="009D7164"/>
    <w:rsid w:val="009F4FCF"/>
    <w:rsid w:val="009F7A70"/>
    <w:rsid w:val="00A01B4B"/>
    <w:rsid w:val="00A03815"/>
    <w:rsid w:val="00A06C10"/>
    <w:rsid w:val="00A137D7"/>
    <w:rsid w:val="00A35B1F"/>
    <w:rsid w:val="00A3713A"/>
    <w:rsid w:val="00A42CAB"/>
    <w:rsid w:val="00A43066"/>
    <w:rsid w:val="00A554C3"/>
    <w:rsid w:val="00A568CC"/>
    <w:rsid w:val="00A62A66"/>
    <w:rsid w:val="00A85786"/>
    <w:rsid w:val="00A863E3"/>
    <w:rsid w:val="00A87D38"/>
    <w:rsid w:val="00AB3F9C"/>
    <w:rsid w:val="00AB4A64"/>
    <w:rsid w:val="00AB5353"/>
    <w:rsid w:val="00AB6119"/>
    <w:rsid w:val="00AB649F"/>
    <w:rsid w:val="00AC119B"/>
    <w:rsid w:val="00AD07B6"/>
    <w:rsid w:val="00AD646A"/>
    <w:rsid w:val="00AD784F"/>
    <w:rsid w:val="00AF47D9"/>
    <w:rsid w:val="00B01B83"/>
    <w:rsid w:val="00B03B90"/>
    <w:rsid w:val="00B03D03"/>
    <w:rsid w:val="00B040FC"/>
    <w:rsid w:val="00B04429"/>
    <w:rsid w:val="00B15314"/>
    <w:rsid w:val="00B16521"/>
    <w:rsid w:val="00B34650"/>
    <w:rsid w:val="00B45B23"/>
    <w:rsid w:val="00B46E8E"/>
    <w:rsid w:val="00B5273F"/>
    <w:rsid w:val="00B5514C"/>
    <w:rsid w:val="00B569C1"/>
    <w:rsid w:val="00B61518"/>
    <w:rsid w:val="00B65CC7"/>
    <w:rsid w:val="00B67098"/>
    <w:rsid w:val="00B679D2"/>
    <w:rsid w:val="00B75523"/>
    <w:rsid w:val="00B817A8"/>
    <w:rsid w:val="00B8408C"/>
    <w:rsid w:val="00B90BF8"/>
    <w:rsid w:val="00BB1623"/>
    <w:rsid w:val="00BB22FB"/>
    <w:rsid w:val="00BC7B09"/>
    <w:rsid w:val="00BD5978"/>
    <w:rsid w:val="00BD66AD"/>
    <w:rsid w:val="00BF0157"/>
    <w:rsid w:val="00BF1A81"/>
    <w:rsid w:val="00BF2D2F"/>
    <w:rsid w:val="00BF3818"/>
    <w:rsid w:val="00BF6A76"/>
    <w:rsid w:val="00C03127"/>
    <w:rsid w:val="00C0680F"/>
    <w:rsid w:val="00C17C3F"/>
    <w:rsid w:val="00C2091F"/>
    <w:rsid w:val="00C22DCB"/>
    <w:rsid w:val="00C31E26"/>
    <w:rsid w:val="00C32D24"/>
    <w:rsid w:val="00C36D24"/>
    <w:rsid w:val="00C42A1F"/>
    <w:rsid w:val="00C43D2B"/>
    <w:rsid w:val="00C628A0"/>
    <w:rsid w:val="00C654A6"/>
    <w:rsid w:val="00C711C9"/>
    <w:rsid w:val="00CA65E5"/>
    <w:rsid w:val="00CB1969"/>
    <w:rsid w:val="00CB6A80"/>
    <w:rsid w:val="00CC09A5"/>
    <w:rsid w:val="00CD6D2F"/>
    <w:rsid w:val="00CE3693"/>
    <w:rsid w:val="00CE4500"/>
    <w:rsid w:val="00CF7C6B"/>
    <w:rsid w:val="00D05049"/>
    <w:rsid w:val="00D1196E"/>
    <w:rsid w:val="00D138C3"/>
    <w:rsid w:val="00D31404"/>
    <w:rsid w:val="00D33F34"/>
    <w:rsid w:val="00D44C87"/>
    <w:rsid w:val="00D525A3"/>
    <w:rsid w:val="00D527EA"/>
    <w:rsid w:val="00D55CB9"/>
    <w:rsid w:val="00D61EDD"/>
    <w:rsid w:val="00D63C07"/>
    <w:rsid w:val="00D63C25"/>
    <w:rsid w:val="00D70163"/>
    <w:rsid w:val="00D72946"/>
    <w:rsid w:val="00D86679"/>
    <w:rsid w:val="00D86D6F"/>
    <w:rsid w:val="00D9388D"/>
    <w:rsid w:val="00D97F5B"/>
    <w:rsid w:val="00DA6428"/>
    <w:rsid w:val="00DB1B21"/>
    <w:rsid w:val="00DC305C"/>
    <w:rsid w:val="00DD389D"/>
    <w:rsid w:val="00E00A30"/>
    <w:rsid w:val="00E0574E"/>
    <w:rsid w:val="00E05D32"/>
    <w:rsid w:val="00E07DDC"/>
    <w:rsid w:val="00E10EC8"/>
    <w:rsid w:val="00E149BA"/>
    <w:rsid w:val="00E20958"/>
    <w:rsid w:val="00E31039"/>
    <w:rsid w:val="00E360CB"/>
    <w:rsid w:val="00E36D1C"/>
    <w:rsid w:val="00E418B5"/>
    <w:rsid w:val="00E453F6"/>
    <w:rsid w:val="00E462DD"/>
    <w:rsid w:val="00E50F10"/>
    <w:rsid w:val="00E67374"/>
    <w:rsid w:val="00E74ECF"/>
    <w:rsid w:val="00E81CD4"/>
    <w:rsid w:val="00E87C9F"/>
    <w:rsid w:val="00E90BCF"/>
    <w:rsid w:val="00EA57C7"/>
    <w:rsid w:val="00EC12B3"/>
    <w:rsid w:val="00EC1F98"/>
    <w:rsid w:val="00EC4E56"/>
    <w:rsid w:val="00EE0EE5"/>
    <w:rsid w:val="00F06CCD"/>
    <w:rsid w:val="00F10F71"/>
    <w:rsid w:val="00F114E3"/>
    <w:rsid w:val="00F12343"/>
    <w:rsid w:val="00F16B3B"/>
    <w:rsid w:val="00F16EA3"/>
    <w:rsid w:val="00F17C44"/>
    <w:rsid w:val="00F240F8"/>
    <w:rsid w:val="00F255EE"/>
    <w:rsid w:val="00F25FF4"/>
    <w:rsid w:val="00F2689F"/>
    <w:rsid w:val="00F46C4F"/>
    <w:rsid w:val="00F535EB"/>
    <w:rsid w:val="00F609A9"/>
    <w:rsid w:val="00F731C4"/>
    <w:rsid w:val="00F9047B"/>
    <w:rsid w:val="00F978A6"/>
    <w:rsid w:val="00FB5305"/>
    <w:rsid w:val="00FC6574"/>
    <w:rsid w:val="00FC6D30"/>
    <w:rsid w:val="00FD25EA"/>
    <w:rsid w:val="00FE61BC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."/>
  <w:listSeparator w:val=","/>
  <w15:docId w15:val="{7AEBF246-D7BE-4DAD-A2AD-13C5F4B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697E92"/>
    <w:pPr>
      <w:keepNext/>
      <w:keepLines/>
      <w:spacing w:before="240" w:after="240" w:line="320" w:lineRule="exact"/>
      <w:outlineLvl w:val="0"/>
    </w:pPr>
    <w:rPr>
      <w:rFonts w:ascii="Verdana" w:eastAsia="Times New Roman" w:hAnsi="Verdana" w:cs="Times New Roman"/>
      <w:kern w:val="20"/>
      <w:sz w:val="32"/>
      <w:szCs w:val="20"/>
      <w:lang w:eastAsia="sv-SE"/>
    </w:rPr>
  </w:style>
  <w:style w:type="paragraph" w:styleId="Heading2">
    <w:name w:val="heading 2"/>
    <w:basedOn w:val="Normal"/>
    <w:next w:val="BodyText"/>
    <w:qFormat/>
    <w:rsid w:val="00697E92"/>
    <w:pPr>
      <w:keepNext/>
      <w:keepLines/>
      <w:spacing w:before="240" w:after="120" w:line="260" w:lineRule="atLeast"/>
      <w:outlineLvl w:val="1"/>
    </w:pPr>
    <w:rPr>
      <w:rFonts w:ascii="Verdana" w:eastAsia="Times New Roman" w:hAnsi="Verdana" w:cs="Times New Roman"/>
      <w:b/>
      <w:kern w:val="20"/>
      <w:szCs w:val="20"/>
      <w:lang w:eastAsia="sv-SE"/>
    </w:rPr>
  </w:style>
  <w:style w:type="paragraph" w:styleId="Heading3">
    <w:name w:val="heading 3"/>
    <w:basedOn w:val="Normal"/>
    <w:next w:val="BodyText"/>
    <w:link w:val="Heading3Char"/>
    <w:qFormat/>
    <w:rsid w:val="00697E92"/>
    <w:pPr>
      <w:keepNext/>
      <w:keepLines/>
      <w:spacing w:before="240" w:after="60" w:line="220" w:lineRule="exact"/>
      <w:outlineLvl w:val="2"/>
    </w:pPr>
    <w:rPr>
      <w:rFonts w:ascii="Verdana" w:eastAsia="Times New Roman" w:hAnsi="Verdana" w:cs="Times New Roman"/>
      <w:b/>
      <w:kern w:val="20"/>
      <w:sz w:val="18"/>
      <w:szCs w:val="20"/>
      <w:lang w:eastAsia="sv-SE"/>
    </w:rPr>
  </w:style>
  <w:style w:type="paragraph" w:styleId="Heading4">
    <w:name w:val="heading 4"/>
    <w:basedOn w:val="Normal"/>
    <w:next w:val="BodyText"/>
    <w:qFormat/>
    <w:rsid w:val="00697E92"/>
    <w:pPr>
      <w:keepNext/>
      <w:keepLines/>
      <w:spacing w:before="240" w:after="60" w:line="220" w:lineRule="exact"/>
      <w:outlineLvl w:val="3"/>
    </w:pPr>
    <w:rPr>
      <w:rFonts w:ascii="Verdana" w:eastAsia="Times New Roman" w:hAnsi="Verdana" w:cs="Times New Roman"/>
      <w:kern w:val="20"/>
      <w:sz w:val="18"/>
      <w:szCs w:val="20"/>
      <w:lang w:eastAsia="sv-SE"/>
    </w:rPr>
  </w:style>
  <w:style w:type="paragraph" w:styleId="Heading5">
    <w:name w:val="heading 5"/>
    <w:basedOn w:val="Heading4"/>
    <w:next w:val="BodyText"/>
    <w:qFormat/>
    <w:rsid w:val="00697E92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21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eastAsia="sv-SE"/>
    </w:rPr>
  </w:style>
  <w:style w:type="paragraph" w:styleId="BodyText">
    <w:name w:val="Body Text"/>
    <w:basedOn w:val="Normal"/>
    <w:rsid w:val="00D944B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character" w:styleId="Hyperlink">
    <w:name w:val="Hyperlink"/>
    <w:basedOn w:val="DefaultParagraphFont"/>
    <w:uiPriority w:val="99"/>
    <w:rsid w:val="00697E92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697E92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697E92"/>
    <w:pPr>
      <w:spacing w:after="0" w:line="260" w:lineRule="atLeast"/>
      <w:ind w:left="2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2">
    <w:name w:val="index 2"/>
    <w:basedOn w:val="Normal"/>
    <w:next w:val="Normal"/>
    <w:autoRedefine/>
    <w:semiHidden/>
    <w:rsid w:val="00697E92"/>
    <w:pPr>
      <w:spacing w:after="0" w:line="260" w:lineRule="atLeast"/>
      <w:ind w:left="4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3">
    <w:name w:val="index 3"/>
    <w:basedOn w:val="Normal"/>
    <w:next w:val="Normal"/>
    <w:autoRedefine/>
    <w:semiHidden/>
    <w:rsid w:val="00697E92"/>
    <w:pPr>
      <w:spacing w:after="0" w:line="260" w:lineRule="atLeast"/>
      <w:ind w:left="6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4">
    <w:name w:val="index 4"/>
    <w:basedOn w:val="Normal"/>
    <w:next w:val="Normal"/>
    <w:autoRedefine/>
    <w:semiHidden/>
    <w:rsid w:val="00697E92"/>
    <w:pPr>
      <w:spacing w:after="0" w:line="260" w:lineRule="atLeast"/>
      <w:ind w:left="8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5">
    <w:name w:val="index 5"/>
    <w:basedOn w:val="Normal"/>
    <w:next w:val="Normal"/>
    <w:autoRedefine/>
    <w:semiHidden/>
    <w:rsid w:val="00697E92"/>
    <w:pPr>
      <w:spacing w:after="0" w:line="260" w:lineRule="atLeast"/>
      <w:ind w:left="1000" w:hanging="200"/>
    </w:pPr>
    <w:rPr>
      <w:rFonts w:ascii="Arial Narrow" w:eastAsia="Times New Roman" w:hAnsi="Arial Narrow" w:cs="Times New Roman"/>
      <w:szCs w:val="20"/>
      <w:lang w:eastAsia="sv-SE"/>
    </w:rPr>
  </w:style>
  <w:style w:type="paragraph" w:styleId="IndexHeading">
    <w:name w:val="index heading"/>
    <w:basedOn w:val="Heading2"/>
    <w:next w:val="Index1"/>
    <w:semiHidden/>
    <w:rsid w:val="00697E92"/>
  </w:style>
  <w:style w:type="paragraph" w:styleId="TOC1">
    <w:name w:val="toc 1"/>
    <w:basedOn w:val="Normal"/>
    <w:next w:val="Normal"/>
    <w:autoRedefine/>
    <w:semiHidden/>
    <w:rsid w:val="00697E92"/>
    <w:pPr>
      <w:spacing w:after="0" w:line="260" w:lineRule="atLeast"/>
    </w:pPr>
    <w:rPr>
      <w:rFonts w:ascii="Verdana" w:eastAsia="Times New Roman" w:hAnsi="Verdana" w:cs="Times New Roman"/>
      <w:sz w:val="18"/>
      <w:szCs w:val="20"/>
      <w:lang w:eastAsia="sv-SE"/>
    </w:rPr>
  </w:style>
  <w:style w:type="paragraph" w:styleId="TOC2">
    <w:name w:val="toc 2"/>
    <w:basedOn w:val="TOC1"/>
    <w:next w:val="Normal"/>
    <w:autoRedefine/>
    <w:semiHidden/>
    <w:rsid w:val="00697E92"/>
    <w:pPr>
      <w:ind w:left="220"/>
    </w:pPr>
  </w:style>
  <w:style w:type="paragraph" w:styleId="TOC3">
    <w:name w:val="toc 3"/>
    <w:basedOn w:val="TOC1"/>
    <w:next w:val="Normal"/>
    <w:autoRedefine/>
    <w:semiHidden/>
    <w:rsid w:val="00697E92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697E92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697E92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697E92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697E92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697E92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697E92"/>
    <w:pPr>
      <w:ind w:left="1760"/>
    </w:pPr>
    <w:rPr>
      <w:sz w:val="16"/>
    </w:rPr>
  </w:style>
  <w:style w:type="paragraph" w:styleId="ListNumber">
    <w:name w:val="List Number"/>
    <w:basedOn w:val="BodyText"/>
    <w:rsid w:val="00F721FB"/>
    <w:pPr>
      <w:numPr>
        <w:numId w:val="27"/>
      </w:numPr>
      <w:tabs>
        <w:tab w:val="clear" w:pos="227"/>
        <w:tab w:val="clear" w:pos="567"/>
        <w:tab w:val="left" w:pos="280"/>
        <w:tab w:val="left" w:pos="585"/>
      </w:tabs>
      <w:spacing w:after="120" w:line="240" w:lineRule="atLeast"/>
      <w:ind w:left="280" w:hanging="280"/>
    </w:pPr>
  </w:style>
  <w:style w:type="paragraph" w:styleId="ListBullet">
    <w:name w:val="List Bullet"/>
    <w:basedOn w:val="ListNumber"/>
    <w:autoRedefine/>
    <w:rsid w:val="00697E92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5B0FA8"/>
    <w:pPr>
      <w:tabs>
        <w:tab w:val="center" w:pos="4459"/>
        <w:tab w:val="right" w:pos="8901"/>
      </w:tabs>
      <w:spacing w:before="240" w:after="0" w:line="260" w:lineRule="atLeast"/>
    </w:pPr>
    <w:rPr>
      <w:rFonts w:ascii="Arial Narrow" w:eastAsia="Times New Roman" w:hAnsi="Arial Narrow" w:cs="Times New Roman"/>
      <w:szCs w:val="20"/>
      <w:lang w:eastAsia="sv-SE"/>
    </w:rPr>
  </w:style>
  <w:style w:type="paragraph" w:styleId="Header">
    <w:name w:val="header"/>
    <w:basedOn w:val="Footer"/>
    <w:rsid w:val="00697E92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697E92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697E92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697E92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697E92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eastAsia="Times New Roman" w:hAnsi="Verdana" w:cs="Times New Roman"/>
      <w:sz w:val="16"/>
      <w:szCs w:val="20"/>
      <w:lang w:eastAsia="sv-SE"/>
    </w:rPr>
  </w:style>
  <w:style w:type="paragraph" w:customStyle="1" w:styleId="TableBulletlist">
    <w:name w:val="Table Bulletlist"/>
    <w:basedOn w:val="TableNumberlist"/>
    <w:rsid w:val="00697E92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697E92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697E92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link w:val="BalloonTextChar"/>
    <w:rsid w:val="00662BF1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662BF1"/>
    <w:rPr>
      <w:rFonts w:ascii="Lucida Grande" w:hAnsi="Lucida Grande" w:cs="Lucida Grande"/>
      <w:sz w:val="18"/>
      <w:szCs w:val="18"/>
      <w:lang w:eastAsia="sv-SE"/>
    </w:rPr>
  </w:style>
  <w:style w:type="paragraph" w:styleId="NoSpacing">
    <w:name w:val="No Spacing"/>
    <w:uiPriority w:val="1"/>
    <w:qFormat/>
    <w:rsid w:val="00EC1F9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F39CF"/>
    <w:pPr>
      <w:spacing w:before="15" w:after="100" w:afterAutospacing="1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C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B3A8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A86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F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2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DC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C22DCB"/>
    <w:rPr>
      <w:vertAlign w:val="superscript"/>
    </w:rPr>
  </w:style>
  <w:style w:type="character" w:styleId="CommentReference">
    <w:name w:val="annotation reference"/>
    <w:basedOn w:val="DefaultParagraphFont"/>
    <w:rsid w:val="0007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64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07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4FA"/>
    <w:rPr>
      <w:rFonts w:asciiTheme="minorHAnsi" w:eastAsiaTheme="minorHAnsi" w:hAnsiTheme="minorHAnsi" w:cstheme="minorBidi"/>
      <w:b/>
      <w:bCs/>
    </w:rPr>
  </w:style>
  <w:style w:type="paragraph" w:customStyle="1" w:styleId="LetterheadAddress">
    <w:name w:val="Letterhead Address"/>
    <w:basedOn w:val="Normal"/>
    <w:qFormat/>
    <w:rsid w:val="001B6ADA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18"/>
      <w:szCs w:val="18"/>
      <w:lang w:eastAsia="ja-JP"/>
    </w:rPr>
  </w:style>
  <w:style w:type="paragraph" w:customStyle="1" w:styleId="Default">
    <w:name w:val="Default"/>
    <w:rsid w:val="00B90B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head1Style">
    <w:name w:val="Subhead 1 Style"/>
    <w:basedOn w:val="Normal"/>
    <w:qFormat/>
    <w:rsid w:val="0032079E"/>
    <w:pPr>
      <w:spacing w:before="360" w:after="120" w:line="240" w:lineRule="auto"/>
      <w:ind w:left="-720"/>
    </w:pPr>
    <w:rPr>
      <w:rFonts w:ascii="Calibri" w:eastAsia="Arial" w:hAnsi="Calibri" w:cs="Times New Roman"/>
      <w:b/>
      <w:color w:val="009FC3"/>
      <w:spacing w:val="-4"/>
      <w:szCs w:val="20"/>
      <w:lang w:eastAsia="sv-SE"/>
    </w:rPr>
  </w:style>
  <w:style w:type="paragraph" w:customStyle="1" w:styleId="MainText">
    <w:name w:val="Main Text"/>
    <w:basedOn w:val="Normal"/>
    <w:autoRedefine/>
    <w:qFormat/>
    <w:rsid w:val="0032079E"/>
    <w:pPr>
      <w:spacing w:after="0" w:line="260" w:lineRule="atLeast"/>
      <w:ind w:left="-720"/>
      <w:jc w:val="both"/>
    </w:pPr>
    <w:rPr>
      <w:rFonts w:ascii="Calibri" w:eastAsia="Arial" w:hAnsi="Calibri" w:cs="Times New Roman"/>
      <w:color w:val="000000"/>
      <w:spacing w:val="-4"/>
      <w:sz w:val="20"/>
      <w:szCs w:val="20"/>
    </w:rPr>
  </w:style>
  <w:style w:type="paragraph" w:customStyle="1" w:styleId="Bullets">
    <w:name w:val="Bullets"/>
    <w:basedOn w:val="ListParagraph"/>
    <w:qFormat/>
    <w:rsid w:val="0032079E"/>
    <w:pPr>
      <w:numPr>
        <w:numId w:val="35"/>
      </w:numPr>
      <w:spacing w:after="120" w:line="260" w:lineRule="atLeast"/>
      <w:contextualSpacing w:val="0"/>
    </w:pPr>
    <w:rPr>
      <w:rFonts w:ascii="Calibri" w:eastAsia="Arial" w:hAnsi="Calibri" w:cs="Times New Roman"/>
      <w:spacing w:val="-4"/>
      <w:sz w:val="20"/>
      <w:szCs w:val="20"/>
      <w:lang w:eastAsia="sv-SE"/>
    </w:rPr>
  </w:style>
  <w:style w:type="paragraph" w:customStyle="1" w:styleId="Subhead2Style">
    <w:name w:val="Subhead 2 Style"/>
    <w:basedOn w:val="MainText"/>
    <w:qFormat/>
    <w:rsid w:val="0032079E"/>
    <w:rPr>
      <w:b/>
    </w:rPr>
  </w:style>
  <w:style w:type="table" w:customStyle="1" w:styleId="NLXStx">
    <w:name w:val="NLX Stx"/>
    <w:basedOn w:val="TableNormal"/>
    <w:uiPriority w:val="99"/>
    <w:rsid w:val="0032079E"/>
    <w:rPr>
      <w:rFonts w:ascii="Arial Narrow" w:hAnsi="Arial Narrow"/>
      <w:sz w:val="18"/>
      <w:szCs w:val="24"/>
      <w:lang w:eastAsia="zh-CN"/>
    </w:rPr>
    <w:tblPr>
      <w:tblStyleRowBandSize w:val="1"/>
      <w:tblBorders>
        <w:top w:val="single" w:sz="4" w:space="0" w:color="0094B3"/>
        <w:left w:val="single" w:sz="4" w:space="0" w:color="0094B3"/>
        <w:bottom w:val="single" w:sz="4" w:space="0" w:color="0094B3"/>
        <w:right w:val="single" w:sz="4" w:space="0" w:color="0094B3"/>
        <w:insideH w:val="single" w:sz="4" w:space="0" w:color="0094B3"/>
        <w:insideV w:val="single" w:sz="4" w:space="0" w:color="0094B3"/>
      </w:tblBorders>
    </w:tblPr>
    <w:tcPr>
      <w:vAlign w:val="center"/>
    </w:tcPr>
    <w:tblStylePr w:type="firstRow">
      <w:rPr>
        <w:b/>
        <w:color w:val="FFFFFF" w:themeColor="background1"/>
        <w:sz w:val="20"/>
      </w:rPr>
      <w:tblPr/>
      <w:tcPr>
        <w:shd w:val="clear" w:color="auto" w:fill="0094B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rsid w:val="00543FF5"/>
    <w:rPr>
      <w:rFonts w:ascii="Verdana" w:hAnsi="Verdana"/>
      <w:b/>
      <w:kern w:val="20"/>
      <w:sz w:val="18"/>
      <w:lang w:eastAsia="sv-SE"/>
    </w:rPr>
  </w:style>
  <w:style w:type="paragraph" w:styleId="Revision">
    <w:name w:val="Revision"/>
    <w:hidden/>
    <w:uiPriority w:val="99"/>
    <w:semiHidden/>
    <w:rsid w:val="00500EE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siness.nasdaq.com/nasdaq-futures/nfx-mark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siness.nasdaq.com/nasdaq-futures/nfx-mark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radfors\Local%20Settings\Temporary%20Internet%20Files\Content.Outlook\IHSB84SX\NASDAQ%20Futures%20NFX_Philadelphi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CT xmlns="4b47aac5-4c46-444f-8595-ce09b406fc61">false</RCT>
    <DocGuid xmlns="4b47aac5-4c46-444f-8595-ce09b406fc61">e76428df-6d54-4ced-b874-19b0148f9196</DocGuid>
    <Published xmlns="4b47aac5-4c46-444f-8595-ce09b406fc61">false</Published>
    <Document_x0020_Type xmlns="4b47aac5-4c46-444f-8595-ce09b406fc61">Submission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2018-11-16T18:54:07+00:00</Document_x0020_Date>
    <Document_x0020_No xmlns="4b47aac5-4c46-444f-8595-ce09b406fc61">44967</Document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F62E73A1F670314296D6E6EFEA0FFF39" ma:contentTypeVersion="0" ma:contentTypeDescription="" ma:contentTypeScope="" ma:versionID="c98075efb68efcbdea0371e3905cca6b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cfab141f4ac74c12a3ce95ffcab93f41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47C96-FB32-4382-8D45-7F1E6E561634}"/>
</file>

<file path=customXml/itemProps2.xml><?xml version="1.0" encoding="utf-8"?>
<ds:datastoreItem xmlns:ds="http://schemas.openxmlformats.org/officeDocument/2006/customXml" ds:itemID="{EF15CA83-F73B-409E-94A8-CA292E015980}"/>
</file>

<file path=customXml/itemProps3.xml><?xml version="1.0" encoding="utf-8"?>
<ds:datastoreItem xmlns:ds="http://schemas.openxmlformats.org/officeDocument/2006/customXml" ds:itemID="{B184A8EE-3483-42B9-B39C-FFC6B1B9097D}"/>
</file>

<file path=customXml/itemProps4.xml><?xml version="1.0" encoding="utf-8"?>
<ds:datastoreItem xmlns:ds="http://schemas.openxmlformats.org/officeDocument/2006/customXml" ds:itemID="{27A874BB-07FA-4C87-8DF1-24DFC5103243}"/>
</file>

<file path=customXml/itemProps5.xml><?xml version="1.0" encoding="utf-8"?>
<ds:datastoreItem xmlns:ds="http://schemas.openxmlformats.org/officeDocument/2006/customXml" ds:itemID="{82E9B8D7-B5CD-49D3-BFFF-F6D87922BDAD}"/>
</file>

<file path=docProps/app.xml><?xml version="1.0" encoding="utf-8"?>
<Properties xmlns="http://schemas.openxmlformats.org/officeDocument/2006/extended-properties" xmlns:vt="http://schemas.openxmlformats.org/officeDocument/2006/docPropsVTypes">
  <Template>NASDAQ Futures NFX_Philadelphia letterhead</Template>
  <TotalTime>7</TotalTime>
  <Pages>2</Pages>
  <Words>510</Words>
  <Characters>2911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write Company</vt:lpstr>
    </vt:vector>
  </TitlesOfParts>
  <Company>The Nasdaq OMX Group, Inc.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Certification</dc:title>
  <dc:creator>Shari Bradford</dc:creator>
  <cp:lastModifiedBy>Christopher Cull</cp:lastModifiedBy>
  <cp:revision>4</cp:revision>
  <cp:lastPrinted>2016-04-01T15:42:00Z</cp:lastPrinted>
  <dcterms:created xsi:type="dcterms:W3CDTF">2018-11-16T16:50:00Z</dcterms:created>
  <dcterms:modified xsi:type="dcterms:W3CDTF">2018-11-16T18:45:00Z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0x01010045B0BEB1BCDC4B408D1662109AEB463800F62E73A1F670314296D6E6EFEA0FFF39</vt:lpwstr>
  </property>
  <property fmtid="{D5CDD505-2E9C-101B-9397-08002B2CF9AE}" pid="3" name="_CopySource">
    <vt:lpwstr>\Cftc.gov</vt:lpwstr>
  </property>
  <property fmtid="{D5CDD505-2E9C-101B-9397-08002B2CF9AE}" pid="4" name="Order">
    <vt:r8>6538000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