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A83B1E">
        <w:rPr>
          <w:rFonts w:ascii="Times New Roman" w:eastAsia="Calibri" w:hAnsi="Times New Roman" w:cs="Times New Roman"/>
          <w:noProof/>
          <w:sz w:val="24"/>
          <w:szCs w:val="24"/>
        </w:rPr>
        <w:t>November 20,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310CD2" w:rsidRDefault="004008C0" w:rsidP="00310CD2">
      <w:pPr>
        <w:pStyle w:val="NoSpacing"/>
        <w:ind w:left="2880" w:hanging="2880"/>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F362DA">
        <w:rPr>
          <w:rFonts w:ascii="Times New Roman" w:eastAsia="Calibri" w:hAnsi="Times New Roman" w:cs="Times New Roman"/>
          <w:b/>
          <w:sz w:val="24"/>
          <w:szCs w:val="24"/>
        </w:rPr>
        <w:t xml:space="preserve">to Amend Minimum </w:t>
      </w:r>
      <w:r w:rsidR="00310CD2">
        <w:rPr>
          <w:rFonts w:ascii="Times New Roman" w:eastAsia="Calibri" w:hAnsi="Times New Roman" w:cs="Times New Roman"/>
          <w:b/>
          <w:sz w:val="24"/>
          <w:szCs w:val="24"/>
        </w:rPr>
        <w:t xml:space="preserve">Block Thresholds for Certain Futures Contracts  </w:t>
      </w:r>
    </w:p>
    <w:p w:rsidR="004008C0" w:rsidRPr="00E1206A" w:rsidRDefault="004008C0" w:rsidP="00310CD2">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DB2C9C" w:rsidRPr="00DB2C9C">
        <w:rPr>
          <w:rFonts w:ascii="Times New Roman" w:eastAsia="Calibri" w:hAnsi="Times New Roman" w:cs="Times New Roman"/>
          <w:b/>
          <w:sz w:val="24"/>
          <w:szCs w:val="24"/>
          <w:u w:val="single"/>
        </w:rPr>
        <w:t>61</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5E3020" w:rsidP="00A87162">
      <w:pPr>
        <w:pStyle w:val="NoSpacing"/>
        <w:ind w:firstLine="1310"/>
        <w:rPr>
          <w:rFonts w:ascii="Times New Roman" w:hAnsi="Times New Roman" w:cs="Times New Roman"/>
          <w:sz w:val="24"/>
          <w:szCs w:val="24"/>
        </w:rPr>
      </w:pPr>
      <w:proofErr w:type="gramStart"/>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w:t>
      </w:r>
      <w:r w:rsidR="00F362DA">
        <w:rPr>
          <w:rFonts w:ascii="Times New Roman" w:eastAsia="Calibri" w:hAnsi="Times New Roman" w:cs="Times New Roman"/>
          <w:sz w:val="24"/>
          <w:szCs w:val="24"/>
        </w:rPr>
        <w:t>amendments lower</w:t>
      </w:r>
      <w:r w:rsidR="00085800">
        <w:rPr>
          <w:rFonts w:ascii="Times New Roman" w:eastAsia="Calibri" w:hAnsi="Times New Roman" w:cs="Times New Roman"/>
          <w:sz w:val="24"/>
          <w:szCs w:val="24"/>
        </w:rPr>
        <w:t>ing</w:t>
      </w:r>
      <w:r w:rsidR="00F362DA">
        <w:rPr>
          <w:rFonts w:ascii="Times New Roman" w:eastAsia="Calibri" w:hAnsi="Times New Roman" w:cs="Times New Roman"/>
          <w:sz w:val="24"/>
          <w:szCs w:val="24"/>
        </w:rPr>
        <w:t xml:space="preserve"> the minimum threshold requirements</w:t>
      </w:r>
      <w:r w:rsidR="008A5459">
        <w:rPr>
          <w:rFonts w:ascii="Times New Roman" w:eastAsia="Calibri" w:hAnsi="Times New Roman" w:cs="Times New Roman"/>
          <w:sz w:val="24"/>
          <w:szCs w:val="24"/>
        </w:rPr>
        <w:t xml:space="preserve"> for </w:t>
      </w:r>
      <w:r w:rsidR="00310CD2">
        <w:rPr>
          <w:rFonts w:ascii="Times New Roman" w:eastAsia="Calibri" w:hAnsi="Times New Roman" w:cs="Times New Roman"/>
          <w:sz w:val="24"/>
          <w:szCs w:val="24"/>
        </w:rPr>
        <w:t xml:space="preserve">futures contracts within </w:t>
      </w:r>
      <w:r w:rsidR="008A5459">
        <w:rPr>
          <w:rFonts w:ascii="Times New Roman" w:eastAsia="Calibri" w:hAnsi="Times New Roman" w:cs="Times New Roman"/>
          <w:sz w:val="24"/>
          <w:szCs w:val="24"/>
        </w:rPr>
        <w:t xml:space="preserve">certain </w:t>
      </w:r>
      <w:r w:rsidR="00310CD2">
        <w:rPr>
          <w:rFonts w:ascii="Times New Roman" w:eastAsia="Calibri" w:hAnsi="Times New Roman" w:cs="Times New Roman"/>
          <w:sz w:val="24"/>
          <w:szCs w:val="24"/>
        </w:rPr>
        <w:t>asset classes based on an analysis of the liquidity and depth of the relevant futures contracts on the NFX platform.</w:t>
      </w:r>
      <w:proofErr w:type="gramEnd"/>
      <w:r w:rsidR="00310CD2">
        <w:rPr>
          <w:rFonts w:ascii="Times New Roman" w:eastAsia="Calibri" w:hAnsi="Times New Roman" w:cs="Times New Roman"/>
          <w:sz w:val="24"/>
          <w:szCs w:val="24"/>
        </w:rPr>
        <w:t xml:space="preserve">  </w:t>
      </w:r>
      <w:r w:rsidR="00154FD5" w:rsidRPr="00422E14">
        <w:rPr>
          <w:rFonts w:ascii="Times New Roman" w:eastAsia="Calibri" w:hAnsi="Times New Roman" w:cs="Times New Roman"/>
          <w:sz w:val="24"/>
          <w:szCs w:val="24"/>
        </w:rPr>
        <w:t>The</w:t>
      </w:r>
      <w:r w:rsidR="00154FD5" w:rsidRPr="00E1206A">
        <w:rPr>
          <w:rFonts w:ascii="Times New Roman" w:eastAsia="Calibri" w:hAnsi="Times New Roman" w:cs="Times New Roman"/>
          <w:sz w:val="24"/>
          <w:szCs w:val="24"/>
        </w:rPr>
        <w:t xml:space="preserve"> Exchange anticipates </w:t>
      </w:r>
      <w:r w:rsidR="00A87162">
        <w:rPr>
          <w:rFonts w:ascii="Times New Roman" w:eastAsia="Calibri" w:hAnsi="Times New Roman" w:cs="Times New Roman"/>
          <w:sz w:val="24"/>
          <w:szCs w:val="24"/>
        </w:rPr>
        <w:t xml:space="preserve">the new rules going into effect on December </w:t>
      </w:r>
      <w:r w:rsidR="00A83B1E">
        <w:rPr>
          <w:rFonts w:ascii="Times New Roman" w:eastAsia="Calibri" w:hAnsi="Times New Roman" w:cs="Times New Roman"/>
          <w:sz w:val="24"/>
          <w:szCs w:val="24"/>
        </w:rPr>
        <w:t>5</w:t>
      </w:r>
      <w:r w:rsidR="00A87162">
        <w:rPr>
          <w:rFonts w:ascii="Times New Roman" w:eastAsia="Calibri" w:hAnsi="Times New Roman" w:cs="Times New Roman"/>
          <w:sz w:val="24"/>
          <w:szCs w:val="24"/>
        </w:rPr>
        <w:t xml:space="preserve">, 2018 for trade date December </w:t>
      </w:r>
      <w:r w:rsidR="00A83B1E">
        <w:rPr>
          <w:rFonts w:ascii="Times New Roman" w:eastAsia="Calibri" w:hAnsi="Times New Roman" w:cs="Times New Roman"/>
          <w:sz w:val="24"/>
          <w:szCs w:val="24"/>
        </w:rPr>
        <w:t>6</w:t>
      </w:r>
      <w:bookmarkStart w:id="0" w:name="_GoBack"/>
      <w:bookmarkEnd w:id="0"/>
      <w:r w:rsidR="00A87162">
        <w:rPr>
          <w:rFonts w:ascii="Times New Roman" w:eastAsia="Calibri" w:hAnsi="Times New Roman" w:cs="Times New Roman"/>
          <w:sz w:val="24"/>
          <w:szCs w:val="24"/>
        </w:rPr>
        <w:t xml:space="preserve">, 2018.  </w:t>
      </w:r>
      <w:r w:rsidR="00AF2F32">
        <w:rPr>
          <w:rFonts w:ascii="Times New Roman" w:eastAsia="Calibri" w:hAnsi="Times New Roman" w:cs="Times New Roman"/>
          <w:sz w:val="24"/>
          <w:szCs w:val="24"/>
        </w:rPr>
        <w:t xml:space="preserve">  </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rsidR="0008423C" w:rsidRPr="00E1206A" w:rsidRDefault="0008423C" w:rsidP="0008423C">
      <w:pPr>
        <w:pStyle w:val="NoSpacing"/>
        <w:ind w:firstLine="1310"/>
        <w:rPr>
          <w:rFonts w:ascii="Times New Roman" w:hAnsi="Times New Roman" w:cs="Times New Roman"/>
          <w:sz w:val="24"/>
          <w:szCs w:val="24"/>
          <w:u w:val="single"/>
        </w:rPr>
      </w:pPr>
    </w:p>
    <w:p w:rsidR="0008423C" w:rsidRDefault="0008423C" w:rsidP="006251EF">
      <w:pPr>
        <w:autoSpaceDE w:val="0"/>
        <w:autoSpaceDN w:val="0"/>
        <w:adjustRightInd w:val="0"/>
        <w:spacing w:after="0" w:line="240" w:lineRule="auto"/>
        <w:ind w:firstLine="1310"/>
        <w:rPr>
          <w:rFonts w:ascii="Times New Roman" w:eastAsia="Times New Roman" w:hAnsi="Times New Roman" w:cs="Times New Roman"/>
          <w:i/>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w:t>
      </w:r>
      <w:r w:rsidRPr="00900F9B">
        <w:rPr>
          <w:rFonts w:ascii="Times New Roman" w:hAnsi="Times New Roman" w:cs="Times New Roman"/>
          <w:sz w:val="24"/>
          <w:szCs w:val="24"/>
        </w:rPr>
        <w:t xml:space="preserve"> minutes of the time of execution (the "</w:t>
      </w:r>
      <w:r w:rsidRPr="00900F9B">
        <w:rPr>
          <w:rFonts w:ascii="Times New Roman" w:hAnsi="Times New Roman" w:cs="Times New Roman"/>
          <w:sz w:val="24"/>
          <w:szCs w:val="24"/>
          <w:u w:val="single"/>
        </w:rPr>
        <w:t>Reporting Window</w:t>
      </w:r>
      <w:r w:rsidRPr="00900F9B">
        <w:rPr>
          <w:rFonts w:ascii="Times New Roman" w:hAnsi="Times New Roman" w:cs="Times New Roman"/>
          <w:sz w:val="24"/>
          <w:szCs w:val="24"/>
        </w:rPr>
        <w:t>") specified in the rules for the particular contract.</w:t>
      </w:r>
      <w:r w:rsidRPr="00900F9B">
        <w:rPr>
          <w:rStyle w:val="FootnoteReference"/>
          <w:rFonts w:ascii="Times New Roman" w:hAnsi="Times New Roman" w:cs="Times New Roman"/>
          <w:sz w:val="24"/>
          <w:szCs w:val="24"/>
        </w:rPr>
        <w:footnoteReference w:id="1"/>
      </w:r>
      <w:r w:rsidRPr="00900F9B">
        <w:rPr>
          <w:rFonts w:ascii="Times New Roman" w:hAnsi="Times New Roman" w:cs="Times New Roman"/>
          <w:position w:val="8"/>
          <w:sz w:val="24"/>
          <w:szCs w:val="24"/>
          <w:vertAlign w:val="superscript"/>
        </w:rPr>
        <w:t xml:space="preserve">  </w:t>
      </w:r>
      <w:r w:rsidR="006251EF" w:rsidRPr="00900F9B">
        <w:rPr>
          <w:rFonts w:ascii="Times New Roman" w:hAnsi="Times New Roman" w:cs="Times New Roman"/>
          <w:position w:val="8"/>
          <w:sz w:val="24"/>
          <w:szCs w:val="24"/>
          <w:vertAlign w:val="superscript"/>
        </w:rPr>
        <w:t xml:space="preserve"> </w:t>
      </w:r>
      <w:r w:rsidR="006251EF" w:rsidRPr="00900F9B">
        <w:rPr>
          <w:rFonts w:ascii="Times New Roman" w:eastAsia="Times New Roman" w:hAnsi="Times New Roman" w:cs="Times New Roman"/>
          <w:sz w:val="24"/>
          <w:szCs w:val="24"/>
        </w:rPr>
        <w:t xml:space="preserve">After conducting a review of trading </w:t>
      </w:r>
      <w:r w:rsidR="0092080A" w:rsidRPr="00900F9B">
        <w:rPr>
          <w:rFonts w:ascii="Times New Roman" w:eastAsia="Times New Roman" w:hAnsi="Times New Roman" w:cs="Times New Roman"/>
          <w:sz w:val="24"/>
          <w:szCs w:val="24"/>
        </w:rPr>
        <w:t xml:space="preserve">activity </w:t>
      </w:r>
      <w:r w:rsidR="006251EF" w:rsidRPr="00900F9B">
        <w:rPr>
          <w:rFonts w:ascii="Times New Roman" w:eastAsia="Times New Roman" w:hAnsi="Times New Roman" w:cs="Times New Roman"/>
          <w:sz w:val="24"/>
          <w:szCs w:val="24"/>
        </w:rPr>
        <w:t xml:space="preserve">on the NFX platform, the Exchange is now amending the block rules for </w:t>
      </w:r>
      <w:r w:rsidR="00310CD2" w:rsidRPr="00900F9B">
        <w:rPr>
          <w:rFonts w:ascii="Times New Roman" w:eastAsia="Times New Roman" w:hAnsi="Times New Roman" w:cs="Times New Roman"/>
          <w:sz w:val="24"/>
          <w:szCs w:val="24"/>
        </w:rPr>
        <w:t xml:space="preserve">Oil </w:t>
      </w:r>
      <w:r w:rsidR="008D16C3">
        <w:rPr>
          <w:rFonts w:ascii="Times New Roman" w:eastAsia="Times New Roman" w:hAnsi="Times New Roman" w:cs="Times New Roman"/>
          <w:sz w:val="24"/>
          <w:szCs w:val="24"/>
        </w:rPr>
        <w:t>&amp;</w:t>
      </w:r>
      <w:r w:rsidR="00310CD2" w:rsidRPr="00900F9B">
        <w:rPr>
          <w:rFonts w:ascii="Times New Roman" w:eastAsia="Times New Roman" w:hAnsi="Times New Roman" w:cs="Times New Roman"/>
          <w:sz w:val="24"/>
          <w:szCs w:val="24"/>
        </w:rPr>
        <w:t xml:space="preserve"> Refined Products, Natural Gas and Petrochemical</w:t>
      </w:r>
      <w:r w:rsidR="008D16C3">
        <w:rPr>
          <w:rFonts w:ascii="Times New Roman" w:eastAsia="Times New Roman" w:hAnsi="Times New Roman" w:cs="Times New Roman"/>
          <w:sz w:val="24"/>
          <w:szCs w:val="24"/>
        </w:rPr>
        <w:t xml:space="preserve"> contracts</w:t>
      </w:r>
      <w:r w:rsidR="00310CD2" w:rsidRPr="00900F9B">
        <w:rPr>
          <w:rFonts w:ascii="Times New Roman" w:eastAsia="Times New Roman" w:hAnsi="Times New Roman" w:cs="Times New Roman"/>
          <w:sz w:val="24"/>
          <w:szCs w:val="24"/>
        </w:rPr>
        <w:t xml:space="preserve"> </w:t>
      </w:r>
      <w:r w:rsidR="0092080A" w:rsidRPr="00900F9B">
        <w:rPr>
          <w:rFonts w:ascii="Times New Roman" w:eastAsia="Times New Roman" w:hAnsi="Times New Roman" w:cs="Times New Roman"/>
          <w:sz w:val="24"/>
          <w:szCs w:val="24"/>
        </w:rPr>
        <w:t xml:space="preserve">in light of the volume, liquidity and market depth of the relevant contracts. </w:t>
      </w:r>
    </w:p>
    <w:p w:rsidR="00900F9B" w:rsidRDefault="00900F9B" w:rsidP="006251EF">
      <w:pPr>
        <w:autoSpaceDE w:val="0"/>
        <w:autoSpaceDN w:val="0"/>
        <w:adjustRightInd w:val="0"/>
        <w:spacing w:after="0" w:line="240" w:lineRule="auto"/>
        <w:ind w:firstLine="1310"/>
        <w:rPr>
          <w:rFonts w:ascii="Times New Roman" w:eastAsia="Times New Roman" w:hAnsi="Times New Roman" w:cs="Times New Roman"/>
          <w:i/>
          <w:sz w:val="24"/>
          <w:szCs w:val="24"/>
        </w:rPr>
      </w:pPr>
    </w:p>
    <w:p w:rsidR="00900F9B" w:rsidRPr="00AF2F32" w:rsidRDefault="00900F9B" w:rsidP="006251EF">
      <w:pPr>
        <w:autoSpaceDE w:val="0"/>
        <w:autoSpaceDN w:val="0"/>
        <w:adjustRightInd w:val="0"/>
        <w:spacing w:after="0" w:line="240" w:lineRule="auto"/>
        <w:ind w:firstLine="1310"/>
        <w:rPr>
          <w:rFonts w:ascii="Times New Roman" w:eastAsia="Times New Roman" w:hAnsi="Times New Roman" w:cs="Times New Roman"/>
          <w:i/>
          <w:sz w:val="24"/>
          <w:szCs w:val="24"/>
        </w:rPr>
      </w:pPr>
    </w:p>
    <w:p w:rsidR="0008423C" w:rsidRDefault="0008423C" w:rsidP="0008423C">
      <w:pPr>
        <w:pStyle w:val="Default"/>
        <w:ind w:firstLine="1310"/>
        <w:rPr>
          <w:rFonts w:eastAsia="Calibri"/>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08423C" w:rsidRPr="00E1206A" w:rsidRDefault="0008423C" w:rsidP="0008423C">
      <w:pPr>
        <w:pStyle w:val="Default"/>
        <w:ind w:left="2620"/>
        <w:rPr>
          <w:color w:val="auto"/>
        </w:rPr>
      </w:pPr>
    </w:p>
    <w:p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rsidR="0008423C" w:rsidRPr="00E1206A" w:rsidRDefault="0008423C" w:rsidP="0008423C">
      <w:pPr>
        <w:pStyle w:val="Default"/>
        <w:ind w:firstLine="1310"/>
        <w:rPr>
          <w:color w:val="auto"/>
        </w:rPr>
      </w:pPr>
    </w:p>
    <w:p w:rsidR="001766C9" w:rsidRPr="00055248" w:rsidRDefault="001766C9" w:rsidP="001766C9">
      <w:pPr>
        <w:pStyle w:val="Default"/>
        <w:rPr>
          <w:b/>
          <w:color w:val="auto"/>
        </w:rPr>
      </w:pPr>
      <w:r>
        <w:rPr>
          <w:b/>
          <w:color w:val="auto"/>
        </w:rPr>
        <w:t>Core Principle 9 &amp; §1.38 of the Commission’s Regulations</w:t>
      </w:r>
    </w:p>
    <w:p w:rsidR="001766C9" w:rsidRDefault="001766C9" w:rsidP="001766C9">
      <w:pPr>
        <w:pStyle w:val="Default"/>
        <w:rPr>
          <w:color w:val="auto"/>
        </w:rPr>
      </w:pPr>
    </w:p>
    <w:p w:rsidR="00DA293C" w:rsidRDefault="008B041F" w:rsidP="001766C9">
      <w:pPr>
        <w:pStyle w:val="Default"/>
        <w:ind w:firstLine="1310"/>
        <w:rPr>
          <w:color w:val="auto"/>
        </w:rPr>
      </w:pPr>
      <w:r w:rsidRPr="00E1206A">
        <w:rPr>
          <w:color w:val="auto"/>
        </w:rPr>
        <w:t xml:space="preserve">With respect to the block trade amendments set forth in </w:t>
      </w:r>
      <w:r w:rsidRPr="00E1206A">
        <w:rPr>
          <w:color w:val="auto"/>
          <w:u w:val="single"/>
        </w:rPr>
        <w:t>Exhibit A</w:t>
      </w:r>
      <w:r w:rsidR="00DA293C">
        <w:rPr>
          <w:color w:val="auto"/>
          <w:u w:val="single"/>
        </w:rPr>
        <w:t>,</w:t>
      </w:r>
      <w:r w:rsidRPr="00E1206A">
        <w:rPr>
          <w:color w:val="auto"/>
        </w:rPr>
        <w:t xml:space="preserve"> </w:t>
      </w:r>
      <w:r w:rsidR="006251EF">
        <w:rPr>
          <w:color w:val="auto"/>
        </w:rPr>
        <w:t xml:space="preserve">the rule amendments comply with </w:t>
      </w:r>
      <w:r w:rsidR="00DA293C">
        <w:rPr>
          <w:color w:val="auto"/>
        </w:rPr>
        <w:t xml:space="preserve">Core </w:t>
      </w:r>
      <w:r w:rsidR="00DA293C" w:rsidRPr="00E1206A">
        <w:rPr>
          <w:color w:val="auto"/>
        </w:rPr>
        <w:t>Principle 9 - Execution of Transactions</w:t>
      </w:r>
      <w:r w:rsidR="00DA293C">
        <w:rPr>
          <w:color w:val="auto"/>
        </w:rPr>
        <w:t xml:space="preserve"> and CFTC regulations</w:t>
      </w:r>
      <w:r w:rsidR="001766C9">
        <w:rPr>
          <w:color w:val="auto"/>
        </w:rPr>
        <w:t xml:space="preserve">.  </w:t>
      </w:r>
      <w:r w:rsidR="00DA293C">
        <w:rPr>
          <w:color w:val="auto"/>
        </w:rPr>
        <w:t xml:space="preserve">Core Principle 9 of the CFTC regulations </w:t>
      </w:r>
      <w:r w:rsidR="004852CF">
        <w:rPr>
          <w:color w:val="auto"/>
        </w:rPr>
        <w:t xml:space="preserve">requires a board of trade to </w:t>
      </w:r>
      <w:r w:rsidR="004852CF" w:rsidRPr="004852CF">
        <w:rPr>
          <w:color w:val="auto"/>
        </w:rPr>
        <w:t>provide a competitive, open, and efficient market and mechanism for executing transactions that protects the price discovery process of trading in the centralized market.</w:t>
      </w:r>
      <w:r w:rsidR="004852CF">
        <w:rPr>
          <w:color w:val="auto"/>
        </w:rPr>
        <w:t xml:space="preserve">  </w:t>
      </w:r>
      <w:r w:rsidR="00DA293C">
        <w:rPr>
          <w:color w:val="auto"/>
        </w:rPr>
        <w:t>Regulation §1.38</w:t>
      </w:r>
      <w:r w:rsidR="004852CF">
        <w:rPr>
          <w:color w:val="auto"/>
        </w:rPr>
        <w:t xml:space="preserve"> (Execution of Transactions) requires futures contracts traded on or subject to the rules of a contract market to be executed openly and competitively by open outcry or the posting of bids and offers.</w:t>
      </w:r>
      <w:r w:rsidR="004852CF">
        <w:rPr>
          <w:rStyle w:val="FootnoteReference"/>
          <w:color w:val="auto"/>
        </w:rPr>
        <w:footnoteReference w:id="2"/>
      </w:r>
      <w:r w:rsidR="004852CF">
        <w:rPr>
          <w:color w:val="auto"/>
        </w:rPr>
        <w:t xml:space="preserve">  Subpart (b) of §1.38</w:t>
      </w:r>
      <w:r w:rsidR="00DA293C">
        <w:rPr>
          <w:color w:val="auto"/>
        </w:rPr>
        <w:t xml:space="preserve"> goes on to say that this requirement </w:t>
      </w:r>
      <w:r w:rsidR="00DA293C" w:rsidRPr="00DA293C">
        <w:rPr>
          <w:color w:val="auto"/>
        </w:rPr>
        <w:t>shall not apply to transactions which are executed non-competitively in accordance with written rules of the contract market which have been submitted to and approved by the Commission, specifically providing for the non-competitive execution of such transactions.</w:t>
      </w:r>
      <w:r w:rsidR="00DA293C">
        <w:rPr>
          <w:color w:val="auto"/>
        </w:rPr>
        <w:t xml:space="preserve">  </w:t>
      </w:r>
      <w:r w:rsidR="00055248">
        <w:rPr>
          <w:color w:val="auto"/>
        </w:rPr>
        <w:t xml:space="preserve">The CFTC designated NFX a DCM on </w:t>
      </w:r>
      <w:r w:rsidR="00B67EEB">
        <w:rPr>
          <w:color w:val="auto"/>
        </w:rPr>
        <w:t>November 21, 2014</w:t>
      </w:r>
      <w:r w:rsidR="00055248">
        <w:rPr>
          <w:color w:val="auto"/>
        </w:rPr>
        <w:t>.  As part of this designation</w:t>
      </w:r>
      <w:r w:rsidR="00FC0995">
        <w:rPr>
          <w:color w:val="auto"/>
        </w:rPr>
        <w:t>,</w:t>
      </w:r>
      <w:r w:rsidR="00055248">
        <w:rPr>
          <w:color w:val="auto"/>
        </w:rPr>
        <w:t xml:space="preserve"> NFX submitted a rulebook for the Commission’s review and approval.  Included in this rulebook were rules specifically allowing for the execution of futures transactions away from the central limit order book (CLOB) as required under §1.38(a).  </w:t>
      </w:r>
      <w:r w:rsidR="002D0A0B">
        <w:rPr>
          <w:color w:val="auto"/>
        </w:rPr>
        <w:t xml:space="preserve">Rule amendments relating to minimum block thresholds </w:t>
      </w:r>
      <w:r w:rsidR="00900F9B">
        <w:rPr>
          <w:color w:val="auto"/>
        </w:rPr>
        <w:t xml:space="preserve">however </w:t>
      </w:r>
      <w:r w:rsidR="002D0A0B">
        <w:rPr>
          <w:color w:val="auto"/>
        </w:rPr>
        <w:t>may be amended pursuant to rule certification under Part 40.6 of the Commission’s regulations.</w:t>
      </w:r>
      <w:r w:rsidR="00176F65">
        <w:rPr>
          <w:rStyle w:val="FootnoteReference"/>
          <w:color w:val="auto"/>
        </w:rPr>
        <w:footnoteReference w:id="3"/>
      </w:r>
      <w:r w:rsidR="002D0A0B">
        <w:rPr>
          <w:color w:val="auto"/>
        </w:rPr>
        <w:t xml:space="preserve">   </w:t>
      </w:r>
    </w:p>
    <w:p w:rsidR="00055248" w:rsidRDefault="00055248" w:rsidP="00DA293C">
      <w:pPr>
        <w:pStyle w:val="Default"/>
        <w:rPr>
          <w:color w:val="auto"/>
        </w:rPr>
      </w:pPr>
    </w:p>
    <w:p w:rsidR="00055248" w:rsidRDefault="00055248" w:rsidP="00DA293C">
      <w:pPr>
        <w:pStyle w:val="Default"/>
        <w:rPr>
          <w:color w:val="auto"/>
        </w:rPr>
      </w:pPr>
      <w:r>
        <w:rPr>
          <w:color w:val="auto"/>
        </w:rPr>
        <w:tab/>
        <w:t xml:space="preserve">Core Principle 9 and §1.38 are the only controlling rules governing the execution of block trades.  No additional rules have been promulgated by the Commission to further outline </w:t>
      </w:r>
      <w:r w:rsidR="003C5843">
        <w:rPr>
          <w:color w:val="auto"/>
        </w:rPr>
        <w:t xml:space="preserve">how </w:t>
      </w:r>
      <w:r>
        <w:rPr>
          <w:color w:val="auto"/>
        </w:rPr>
        <w:t>block trades for futures contracts</w:t>
      </w:r>
      <w:r w:rsidR="003C5843">
        <w:rPr>
          <w:color w:val="auto"/>
        </w:rPr>
        <w:t xml:space="preserve"> should be executed on a DCM</w:t>
      </w:r>
      <w:r>
        <w:rPr>
          <w:color w:val="auto"/>
        </w:rPr>
        <w:t>.</w:t>
      </w:r>
      <w:r w:rsidR="004852CF">
        <w:rPr>
          <w:rStyle w:val="FootnoteReference"/>
          <w:color w:val="auto"/>
        </w:rPr>
        <w:footnoteReference w:id="4"/>
      </w:r>
      <w:r>
        <w:rPr>
          <w:color w:val="auto"/>
        </w:rPr>
        <w:t xml:space="preserve">  In September of 2008 however, the Commission did publish a Proposed Rule amending </w:t>
      </w:r>
      <w:r w:rsidR="00C060BA">
        <w:rPr>
          <w:color w:val="auto"/>
        </w:rPr>
        <w:t xml:space="preserve">Regulation §1.38 and </w:t>
      </w:r>
      <w:r w:rsidR="00900F9B">
        <w:rPr>
          <w:color w:val="auto"/>
        </w:rPr>
        <w:t xml:space="preserve">providing </w:t>
      </w:r>
      <w:r w:rsidR="00C060BA">
        <w:rPr>
          <w:color w:val="auto"/>
        </w:rPr>
        <w:t xml:space="preserve">Guidance on Core Principle 9 as they relate to </w:t>
      </w:r>
      <w:r>
        <w:rPr>
          <w:color w:val="auto"/>
        </w:rPr>
        <w:t>block trades</w:t>
      </w:r>
      <w:r w:rsidR="003C5843">
        <w:rPr>
          <w:color w:val="auto"/>
        </w:rPr>
        <w:t xml:space="preserve"> (the “Proposal”)</w:t>
      </w:r>
      <w:r>
        <w:rPr>
          <w:color w:val="auto"/>
        </w:rPr>
        <w:t>.</w:t>
      </w:r>
      <w:r>
        <w:rPr>
          <w:rStyle w:val="FootnoteReference"/>
          <w:color w:val="auto"/>
        </w:rPr>
        <w:footnoteReference w:id="5"/>
      </w:r>
      <w:r w:rsidR="00C060BA">
        <w:rPr>
          <w:color w:val="auto"/>
        </w:rPr>
        <w:t xml:space="preserve"> </w:t>
      </w:r>
      <w:r>
        <w:rPr>
          <w:color w:val="auto"/>
        </w:rPr>
        <w:t xml:space="preserve"> </w:t>
      </w:r>
      <w:r w:rsidR="00C060BA">
        <w:rPr>
          <w:color w:val="auto"/>
        </w:rPr>
        <w:t xml:space="preserve">Despite </w:t>
      </w:r>
      <w:r w:rsidR="00C060BA">
        <w:rPr>
          <w:color w:val="auto"/>
        </w:rPr>
        <w:lastRenderedPageBreak/>
        <w:t xml:space="preserve">receiving numerous comments in response to the proposal, the Commission did not finalize this rule.  As a result, the proposed amendments to Core Principle 9 and Regulation §1.38 are not controlling.  They do however, provide the industry with </w:t>
      </w:r>
      <w:r w:rsidR="008D16C3">
        <w:rPr>
          <w:color w:val="auto"/>
        </w:rPr>
        <w:t xml:space="preserve">persuasive </w:t>
      </w:r>
      <w:r w:rsidR="00C060BA">
        <w:rPr>
          <w:color w:val="auto"/>
        </w:rPr>
        <w:t xml:space="preserve">informal guidance to be considered when proposing any changes to a DCM’s block trade rules.  </w:t>
      </w:r>
    </w:p>
    <w:p w:rsidR="00C060BA" w:rsidRDefault="00C060BA" w:rsidP="00DA293C">
      <w:pPr>
        <w:pStyle w:val="Default"/>
        <w:rPr>
          <w:color w:val="auto"/>
        </w:rPr>
      </w:pPr>
    </w:p>
    <w:p w:rsidR="007B6CE2" w:rsidRDefault="00C060BA" w:rsidP="008D16C3">
      <w:pPr>
        <w:pStyle w:val="Default"/>
        <w:rPr>
          <w:color w:val="auto"/>
        </w:rPr>
      </w:pPr>
      <w:r>
        <w:rPr>
          <w:color w:val="auto"/>
        </w:rPr>
        <w:tab/>
        <w:t>In t</w:t>
      </w:r>
      <w:r w:rsidR="003C5843">
        <w:rPr>
          <w:color w:val="auto"/>
        </w:rPr>
        <w:t>he P</w:t>
      </w:r>
      <w:r>
        <w:rPr>
          <w:color w:val="auto"/>
        </w:rPr>
        <w:t xml:space="preserve">roposal, the Commission sought to provide DCMs with </w:t>
      </w:r>
      <w:r w:rsidR="004852CF">
        <w:rPr>
          <w:color w:val="auto"/>
        </w:rPr>
        <w:t xml:space="preserve">a </w:t>
      </w:r>
      <w:r>
        <w:rPr>
          <w:color w:val="auto"/>
        </w:rPr>
        <w:t xml:space="preserve">more detailed structure by which to draft new rules applicable to the execution of block trades.  </w:t>
      </w:r>
      <w:r w:rsidR="003C5843">
        <w:rPr>
          <w:color w:val="auto"/>
        </w:rPr>
        <w:t>Th</w:t>
      </w:r>
      <w:r w:rsidR="004852CF">
        <w:rPr>
          <w:color w:val="auto"/>
        </w:rPr>
        <w:t>e</w:t>
      </w:r>
      <w:r w:rsidR="003C5843">
        <w:rPr>
          <w:color w:val="auto"/>
        </w:rPr>
        <w:t xml:space="preserve"> Proposal was based in large part on a previous rule proposal </w:t>
      </w:r>
      <w:r w:rsidR="00A825D9">
        <w:rPr>
          <w:color w:val="auto"/>
        </w:rPr>
        <w:t xml:space="preserve">intended “to </w:t>
      </w:r>
      <w:r w:rsidR="003C5843" w:rsidRPr="003C5843">
        <w:rPr>
          <w:color w:val="auto"/>
        </w:rPr>
        <w:t>update the</w:t>
      </w:r>
      <w:r w:rsidR="00A825D9">
        <w:rPr>
          <w:color w:val="auto"/>
        </w:rPr>
        <w:t xml:space="preserve"> </w:t>
      </w:r>
      <w:r w:rsidR="003C5843" w:rsidRPr="003C5843">
        <w:rPr>
          <w:color w:val="auto"/>
        </w:rPr>
        <w:t>language of Regulation 1.38 to more</w:t>
      </w:r>
      <w:r w:rsidR="00A825D9">
        <w:rPr>
          <w:color w:val="auto"/>
        </w:rPr>
        <w:t xml:space="preserve"> </w:t>
      </w:r>
      <w:r w:rsidR="003C5843" w:rsidRPr="003C5843">
        <w:rPr>
          <w:color w:val="auto"/>
        </w:rPr>
        <w:t>accurately identify the types of</w:t>
      </w:r>
      <w:r w:rsidR="00A825D9">
        <w:rPr>
          <w:color w:val="auto"/>
        </w:rPr>
        <w:t xml:space="preserve"> </w:t>
      </w:r>
      <w:r w:rsidR="003C5843" w:rsidRPr="003C5843">
        <w:rPr>
          <w:color w:val="auto"/>
        </w:rPr>
        <w:t>transactions that may lawfully be</w:t>
      </w:r>
      <w:r w:rsidR="00A825D9">
        <w:rPr>
          <w:color w:val="auto"/>
        </w:rPr>
        <w:t xml:space="preserve"> </w:t>
      </w:r>
      <w:r w:rsidR="003C5843" w:rsidRPr="003C5843">
        <w:rPr>
          <w:color w:val="auto"/>
        </w:rPr>
        <w:t>executed off a contract market’s</w:t>
      </w:r>
      <w:r w:rsidR="00A825D9">
        <w:rPr>
          <w:color w:val="auto"/>
        </w:rPr>
        <w:t xml:space="preserve"> </w:t>
      </w:r>
      <w:r w:rsidR="003C5843" w:rsidRPr="003C5843">
        <w:rPr>
          <w:color w:val="auto"/>
        </w:rPr>
        <w:t>centralized market</w:t>
      </w:r>
      <w:r w:rsidR="00A825D9">
        <w:rPr>
          <w:color w:val="auto"/>
        </w:rPr>
        <w:t>..</w:t>
      </w:r>
      <w:r w:rsidR="003C5843" w:rsidRPr="003C5843">
        <w:rPr>
          <w:color w:val="auto"/>
        </w:rPr>
        <w:t>.</w:t>
      </w:r>
      <w:r w:rsidR="00A825D9">
        <w:rPr>
          <w:color w:val="auto"/>
        </w:rPr>
        <w:t>”</w:t>
      </w:r>
      <w:r w:rsidR="00A825D9">
        <w:rPr>
          <w:rStyle w:val="FootnoteReference"/>
          <w:color w:val="auto"/>
        </w:rPr>
        <w:footnoteReference w:id="6"/>
      </w:r>
      <w:r w:rsidR="00A825D9">
        <w:rPr>
          <w:color w:val="auto"/>
        </w:rPr>
        <w:t xml:space="preserve">  </w:t>
      </w:r>
      <w:r w:rsidR="004852CF">
        <w:rPr>
          <w:color w:val="auto"/>
        </w:rPr>
        <w:t xml:space="preserve">The </w:t>
      </w:r>
      <w:r w:rsidR="00067D8D">
        <w:rPr>
          <w:color w:val="auto"/>
        </w:rPr>
        <w:t xml:space="preserve">2008 </w:t>
      </w:r>
      <w:r w:rsidR="004852CF">
        <w:rPr>
          <w:color w:val="auto"/>
        </w:rPr>
        <w:t xml:space="preserve">Proposal contained proposed regulations, guidance and acceptable practices.  </w:t>
      </w:r>
      <w:r w:rsidR="00A95BA4">
        <w:rPr>
          <w:color w:val="auto"/>
        </w:rPr>
        <w:t xml:space="preserve">In particular, the Commission proposed guidance that </w:t>
      </w:r>
      <w:r w:rsidR="00CF6BD3">
        <w:rPr>
          <w:color w:val="auto"/>
        </w:rPr>
        <w:t xml:space="preserve">advised </w:t>
      </w:r>
      <w:r w:rsidR="00A95BA4">
        <w:rPr>
          <w:color w:val="auto"/>
        </w:rPr>
        <w:t>set</w:t>
      </w:r>
      <w:r w:rsidR="00CF6BD3">
        <w:rPr>
          <w:color w:val="auto"/>
        </w:rPr>
        <w:t>ting</w:t>
      </w:r>
      <w:r w:rsidR="00A95BA4">
        <w:rPr>
          <w:color w:val="auto"/>
        </w:rPr>
        <w:t xml:space="preserve"> the minimum block threshold for any contract that has been trading for more than one calendar quarter or longer at a size </w:t>
      </w:r>
      <w:r w:rsidR="00212694">
        <w:rPr>
          <w:color w:val="auto"/>
        </w:rPr>
        <w:t>that is larger than the</w:t>
      </w:r>
      <w:r w:rsidR="00555676">
        <w:rPr>
          <w:color w:val="auto"/>
        </w:rPr>
        <w:t xml:space="preserve"> size </w:t>
      </w:r>
      <w:r w:rsidR="00A95BA4">
        <w:rPr>
          <w:color w:val="auto"/>
        </w:rPr>
        <w:t xml:space="preserve">at which a single buy or sell order is customarily able to be filled in its entirety at a single price in that contract’s centralized market.  </w:t>
      </w:r>
      <w:r w:rsidR="008D16C3">
        <w:rPr>
          <w:color w:val="auto"/>
        </w:rPr>
        <w:t>The Commission stressed that “[s]</w:t>
      </w:r>
      <w:proofErr w:type="spellStart"/>
      <w:r w:rsidR="008D16C3" w:rsidRPr="008D16C3">
        <w:rPr>
          <w:color w:val="auto"/>
        </w:rPr>
        <w:t>uch</w:t>
      </w:r>
      <w:proofErr w:type="spellEnd"/>
      <w:r w:rsidR="008D16C3" w:rsidRPr="008D16C3">
        <w:rPr>
          <w:color w:val="auto"/>
        </w:rPr>
        <w:t xml:space="preserve"> calculations should be</w:t>
      </w:r>
      <w:r w:rsidR="008D16C3">
        <w:rPr>
          <w:color w:val="auto"/>
        </w:rPr>
        <w:t xml:space="preserve"> </w:t>
      </w:r>
      <w:r w:rsidR="008D16C3" w:rsidRPr="008D16C3">
        <w:rPr>
          <w:color w:val="auto"/>
        </w:rPr>
        <w:t xml:space="preserve">re-examined periodically, as </w:t>
      </w:r>
      <w:r w:rsidR="008D16C3">
        <w:rPr>
          <w:color w:val="auto"/>
        </w:rPr>
        <w:t>v</w:t>
      </w:r>
      <w:r w:rsidR="008D16C3" w:rsidRPr="008D16C3">
        <w:rPr>
          <w:color w:val="auto"/>
        </w:rPr>
        <w:t>olume,</w:t>
      </w:r>
      <w:r w:rsidR="008D16C3">
        <w:rPr>
          <w:color w:val="auto"/>
        </w:rPr>
        <w:t xml:space="preserve"> </w:t>
      </w:r>
      <w:r w:rsidR="008D16C3" w:rsidRPr="008D16C3">
        <w:rPr>
          <w:color w:val="auto"/>
        </w:rPr>
        <w:t>liquidity and market depth change over</w:t>
      </w:r>
      <w:r w:rsidR="008D16C3">
        <w:rPr>
          <w:color w:val="auto"/>
        </w:rPr>
        <w:t xml:space="preserve"> </w:t>
      </w:r>
      <w:r w:rsidR="008D16C3" w:rsidRPr="008D16C3">
        <w:rPr>
          <w:color w:val="auto"/>
        </w:rPr>
        <w:t>time to ensure that a contract’s</w:t>
      </w:r>
      <w:r w:rsidR="008D16C3">
        <w:rPr>
          <w:color w:val="auto"/>
        </w:rPr>
        <w:t xml:space="preserve"> </w:t>
      </w:r>
      <w:r w:rsidR="008D16C3" w:rsidRPr="008D16C3">
        <w:rPr>
          <w:color w:val="auto"/>
        </w:rPr>
        <w:t>minimum block trade size remains</w:t>
      </w:r>
      <w:r w:rsidR="008D16C3">
        <w:rPr>
          <w:color w:val="auto"/>
        </w:rPr>
        <w:t xml:space="preserve"> </w:t>
      </w:r>
      <w:r w:rsidR="008D16C3" w:rsidRPr="008D16C3">
        <w:rPr>
          <w:color w:val="auto"/>
        </w:rPr>
        <w:t>appropriate.</w:t>
      </w:r>
      <w:r w:rsidR="008D16C3">
        <w:rPr>
          <w:color w:val="auto"/>
        </w:rPr>
        <w:t>”</w:t>
      </w:r>
      <w:r w:rsidR="008D16C3">
        <w:rPr>
          <w:rStyle w:val="FootnoteReference"/>
          <w:color w:val="auto"/>
        </w:rPr>
        <w:footnoteReference w:id="7"/>
      </w:r>
      <w:r w:rsidR="008D16C3">
        <w:rPr>
          <w:color w:val="auto"/>
        </w:rPr>
        <w:t xml:space="preserve">  </w:t>
      </w:r>
    </w:p>
    <w:p w:rsidR="007B6CE2" w:rsidRDefault="007B6CE2" w:rsidP="00A95BA4">
      <w:pPr>
        <w:pStyle w:val="Default"/>
        <w:rPr>
          <w:color w:val="auto"/>
        </w:rPr>
      </w:pPr>
    </w:p>
    <w:p w:rsidR="00FC0995" w:rsidRDefault="00FC0995" w:rsidP="005B0B7C">
      <w:pPr>
        <w:pStyle w:val="Default"/>
        <w:ind w:firstLine="720"/>
        <w:rPr>
          <w:color w:val="auto"/>
        </w:rPr>
      </w:pPr>
      <w:r>
        <w:rPr>
          <w:color w:val="auto"/>
        </w:rPr>
        <w:t xml:space="preserve">NFX is now amending its rulebook to adjust the minimum block threshold to reflect this guidance.  NFX is adopting different block thresholds based on the liquidity, volume and depth of the market in contracts in the </w:t>
      </w:r>
      <w:r w:rsidRPr="00900F9B">
        <w:t xml:space="preserve">Oil </w:t>
      </w:r>
      <w:r w:rsidR="008D65C6">
        <w:t xml:space="preserve">&amp; </w:t>
      </w:r>
      <w:r w:rsidRPr="00900F9B">
        <w:t>Refined Products, Natural Gas and Petrochemicals</w:t>
      </w:r>
      <w:r>
        <w:t xml:space="preserve"> asset classes.  Within these asset classes, contracts with the most liquidity will have a </w:t>
      </w:r>
      <w:r w:rsidR="00A476FF">
        <w:t xml:space="preserve">tiered </w:t>
      </w:r>
      <w:r>
        <w:t xml:space="preserve">block threshold requiring market participants to meet a block threshold of ten (10) contracts in the front month and five </w:t>
      </w:r>
      <w:r w:rsidR="008D65C6">
        <w:t xml:space="preserve">(5) </w:t>
      </w:r>
      <w:r>
        <w:t>contracts in the back month</w:t>
      </w:r>
      <w:r w:rsidR="00A476FF">
        <w:t xml:space="preserve"> for the most liquid contracts</w:t>
      </w:r>
      <w:r>
        <w:t>.</w:t>
      </w:r>
      <w:r w:rsidR="002D540D" w:rsidRPr="00AF2F32">
        <w:rPr>
          <w:rStyle w:val="FootnoteReference"/>
          <w:i/>
        </w:rPr>
        <w:footnoteReference w:id="8"/>
      </w:r>
      <w:r>
        <w:t xml:space="preserve">  For contracts that do not have high levels of liquidity, trade volume and market depth, the minimum block threshold will be set at five (5) contracts</w:t>
      </w:r>
      <w:r w:rsidR="008D65C6">
        <w:t xml:space="preserve"> for both front and back month transactions</w:t>
      </w:r>
      <w:r>
        <w:t xml:space="preserve">.  </w:t>
      </w:r>
      <w:r w:rsidR="00C52108">
        <w:t xml:space="preserve">The changes to these block thresholds are noted in Exhibit A.  </w:t>
      </w:r>
      <w:r w:rsidR="008D65C6">
        <w:t>NFX believes this approach adequately balances the need to encourage trading on the centralized marketplace while still adhering to the Commission’s proposed guidance that a block minimum be set at a</w:t>
      </w:r>
      <w:r w:rsidR="00A476FF">
        <w:t xml:space="preserve">n amount </w:t>
      </w:r>
      <w:r w:rsidR="008D65C6">
        <w:t xml:space="preserve">larger than an individual order could be executed in the CLOB at one price.  </w:t>
      </w:r>
    </w:p>
    <w:p w:rsidR="00757A45" w:rsidRDefault="00757A45" w:rsidP="00D77376">
      <w:pPr>
        <w:pStyle w:val="Default"/>
        <w:rPr>
          <w:color w:val="auto"/>
        </w:rPr>
      </w:pPr>
    </w:p>
    <w:p w:rsidR="00C12C1D" w:rsidRDefault="007B6CE2" w:rsidP="00A95BA4">
      <w:pPr>
        <w:pStyle w:val="Default"/>
        <w:ind w:firstLine="720"/>
        <w:rPr>
          <w:color w:val="auto"/>
        </w:rPr>
      </w:pPr>
      <w:r>
        <w:rPr>
          <w:color w:val="auto"/>
        </w:rPr>
        <w:t xml:space="preserve">In following the guidance provided by the Commission, </w:t>
      </w:r>
      <w:r w:rsidR="00E52F30">
        <w:rPr>
          <w:color w:val="auto"/>
        </w:rPr>
        <w:t>these new</w:t>
      </w:r>
      <w:r>
        <w:rPr>
          <w:color w:val="auto"/>
        </w:rPr>
        <w:t xml:space="preserve"> minimum block threshold</w:t>
      </w:r>
      <w:r w:rsidR="00E52F30">
        <w:rPr>
          <w:color w:val="auto"/>
        </w:rPr>
        <w:t>s</w:t>
      </w:r>
      <w:r>
        <w:rPr>
          <w:color w:val="auto"/>
        </w:rPr>
        <w:t xml:space="preserve"> </w:t>
      </w:r>
      <w:r w:rsidR="00E52F30">
        <w:rPr>
          <w:color w:val="auto"/>
        </w:rPr>
        <w:t xml:space="preserve">are set </w:t>
      </w:r>
      <w:r w:rsidR="00555676">
        <w:rPr>
          <w:color w:val="auto"/>
        </w:rPr>
        <w:t xml:space="preserve">at an amount that is larger than a single buy or sell order could customarily be filled in its entirety at a single price </w:t>
      </w:r>
      <w:r w:rsidR="00E52F30">
        <w:rPr>
          <w:color w:val="auto"/>
        </w:rPr>
        <w:t xml:space="preserve">for the relevant contract </w:t>
      </w:r>
      <w:r w:rsidR="005B0B7C">
        <w:rPr>
          <w:color w:val="auto"/>
        </w:rPr>
        <w:t xml:space="preserve">on </w:t>
      </w:r>
      <w:r w:rsidR="00E52F30">
        <w:rPr>
          <w:color w:val="auto"/>
        </w:rPr>
        <w:t>the NFX</w:t>
      </w:r>
      <w:r w:rsidR="005B0B7C">
        <w:rPr>
          <w:color w:val="auto"/>
        </w:rPr>
        <w:t xml:space="preserve"> </w:t>
      </w:r>
      <w:r w:rsidR="00555676">
        <w:rPr>
          <w:color w:val="auto"/>
        </w:rPr>
        <w:t xml:space="preserve">market.  </w:t>
      </w:r>
      <w:r w:rsidR="005B0B7C">
        <w:rPr>
          <w:color w:val="auto"/>
        </w:rPr>
        <w:t xml:space="preserve">NFX would like to note that the </w:t>
      </w:r>
      <w:r w:rsidR="001967DB">
        <w:rPr>
          <w:color w:val="auto"/>
        </w:rPr>
        <w:t>Commission issued the above referenced guidance in an effort to aide DCMs in ensuring compliance with the Core Principles.</w:t>
      </w:r>
      <w:r w:rsidR="001967DB">
        <w:rPr>
          <w:rStyle w:val="FootnoteReference"/>
          <w:color w:val="auto"/>
        </w:rPr>
        <w:footnoteReference w:id="9"/>
      </w:r>
      <w:r w:rsidR="001967DB">
        <w:rPr>
          <w:color w:val="auto"/>
        </w:rPr>
        <w:t xml:space="preserve">  </w:t>
      </w:r>
      <w:r w:rsidR="00062806">
        <w:rPr>
          <w:color w:val="auto"/>
        </w:rPr>
        <w:t>While the proposed rule was no</w:t>
      </w:r>
      <w:r w:rsidR="001967DB">
        <w:rPr>
          <w:color w:val="auto"/>
        </w:rPr>
        <w:t xml:space="preserve">t subsequently </w:t>
      </w:r>
      <w:r w:rsidR="001967DB">
        <w:rPr>
          <w:color w:val="auto"/>
        </w:rPr>
        <w:lastRenderedPageBreak/>
        <w:t xml:space="preserve">made into a final rule, it does provide the clearest guidance </w:t>
      </w:r>
      <w:r w:rsidR="005738EE">
        <w:rPr>
          <w:color w:val="auto"/>
        </w:rPr>
        <w:t>thus far f</w:t>
      </w:r>
      <w:r w:rsidR="001967DB">
        <w:rPr>
          <w:color w:val="auto"/>
        </w:rPr>
        <w:t>r</w:t>
      </w:r>
      <w:r w:rsidR="005738EE">
        <w:rPr>
          <w:color w:val="auto"/>
        </w:rPr>
        <w:t>o</w:t>
      </w:r>
      <w:r w:rsidR="001967DB">
        <w:rPr>
          <w:color w:val="auto"/>
        </w:rPr>
        <w:t xml:space="preserve">m the Commission on how a DCM may establish minimum block thresholds that comply with the Core Principles and CFTC regulations.  </w:t>
      </w:r>
    </w:p>
    <w:p w:rsidR="00C12C1D" w:rsidRDefault="00C12C1D" w:rsidP="00A95BA4">
      <w:pPr>
        <w:pStyle w:val="Default"/>
        <w:ind w:firstLine="720"/>
        <w:rPr>
          <w:color w:val="auto"/>
        </w:rPr>
      </w:pPr>
    </w:p>
    <w:p w:rsidR="00C12C1D" w:rsidRPr="00C12C1D" w:rsidRDefault="00C12C1D" w:rsidP="00C12C1D">
      <w:pPr>
        <w:pStyle w:val="Default"/>
        <w:jc w:val="center"/>
        <w:rPr>
          <w:b/>
          <w:color w:val="auto"/>
        </w:rPr>
      </w:pPr>
      <w:r w:rsidRPr="00C12C1D">
        <w:rPr>
          <w:b/>
          <w:color w:val="auto"/>
        </w:rPr>
        <w:t xml:space="preserve">Lowering Block Thresholds </w:t>
      </w:r>
      <w:r>
        <w:rPr>
          <w:b/>
          <w:color w:val="auto"/>
        </w:rPr>
        <w:t>Will</w:t>
      </w:r>
      <w:r w:rsidRPr="00C12C1D">
        <w:rPr>
          <w:b/>
          <w:color w:val="auto"/>
        </w:rPr>
        <w:t xml:space="preserve"> Improve Price Discovery</w:t>
      </w:r>
    </w:p>
    <w:p w:rsidR="00C12C1D" w:rsidRDefault="00C12C1D" w:rsidP="002432F0">
      <w:pPr>
        <w:pStyle w:val="Default"/>
        <w:jc w:val="center"/>
        <w:rPr>
          <w:color w:val="auto"/>
        </w:rPr>
      </w:pPr>
    </w:p>
    <w:p w:rsidR="00C12C1D" w:rsidRDefault="00212694" w:rsidP="00A95BA4">
      <w:pPr>
        <w:pStyle w:val="Default"/>
        <w:ind w:firstLine="720"/>
        <w:rPr>
          <w:color w:val="auto"/>
        </w:rPr>
      </w:pPr>
      <w:r>
        <w:rPr>
          <w:color w:val="auto"/>
        </w:rPr>
        <w:t xml:space="preserve">The Exchange believes this amendment to the minimum block threshold will </w:t>
      </w:r>
      <w:r w:rsidR="00440A32">
        <w:rPr>
          <w:color w:val="auto"/>
        </w:rPr>
        <w:t xml:space="preserve">actually </w:t>
      </w:r>
      <w:r>
        <w:rPr>
          <w:color w:val="auto"/>
        </w:rPr>
        <w:t xml:space="preserve">lead to improved price discovery and </w:t>
      </w:r>
      <w:r w:rsidR="00E85116">
        <w:rPr>
          <w:color w:val="auto"/>
        </w:rPr>
        <w:t>encourage trading in the centralized market</w:t>
      </w:r>
      <w:r>
        <w:rPr>
          <w:color w:val="auto"/>
        </w:rPr>
        <w:t xml:space="preserve">.  </w:t>
      </w:r>
      <w:r w:rsidR="00C12C1D">
        <w:rPr>
          <w:color w:val="auto"/>
        </w:rPr>
        <w:t xml:space="preserve">Under the previous rules, market participants could only establish </w:t>
      </w:r>
      <w:r w:rsidR="00E85116">
        <w:rPr>
          <w:color w:val="auto"/>
        </w:rPr>
        <w:t>a position</w:t>
      </w:r>
      <w:r w:rsidR="00C12C1D">
        <w:rPr>
          <w:color w:val="auto"/>
        </w:rPr>
        <w:t xml:space="preserve"> in the </w:t>
      </w:r>
      <w:r w:rsidR="00DA0157">
        <w:rPr>
          <w:color w:val="auto"/>
        </w:rPr>
        <w:t>back m</w:t>
      </w:r>
      <w:r w:rsidR="00C12C1D">
        <w:rPr>
          <w:color w:val="auto"/>
        </w:rPr>
        <w:t>onth</w:t>
      </w:r>
      <w:r w:rsidR="00E85116">
        <w:rPr>
          <w:color w:val="auto"/>
        </w:rPr>
        <w:t xml:space="preserve"> of </w:t>
      </w:r>
      <w:r w:rsidR="00BD5F72">
        <w:rPr>
          <w:color w:val="auto"/>
        </w:rPr>
        <w:t>the most actively traded contract</w:t>
      </w:r>
      <w:r w:rsidR="00DA0157">
        <w:rPr>
          <w:color w:val="auto"/>
        </w:rPr>
        <w:t>s</w:t>
      </w:r>
      <w:r w:rsidR="00BD5F72">
        <w:rPr>
          <w:color w:val="auto"/>
        </w:rPr>
        <w:t xml:space="preserve"> </w:t>
      </w:r>
      <w:r w:rsidR="00E85116">
        <w:rPr>
          <w:color w:val="auto"/>
        </w:rPr>
        <w:t xml:space="preserve">by </w:t>
      </w:r>
      <w:r w:rsidR="00C12C1D">
        <w:rPr>
          <w:color w:val="auto"/>
        </w:rPr>
        <w:t xml:space="preserve">trading in the CLOB, or executing a block trade that met the minimum threshold of fifty (50) contracts.  Neither scenario was feasible considering the </w:t>
      </w:r>
      <w:r w:rsidR="00440A32">
        <w:rPr>
          <w:color w:val="auto"/>
        </w:rPr>
        <w:t xml:space="preserve">limited market on offer through the CLOB or the inordinately large position one would need to </w:t>
      </w:r>
      <w:r w:rsidR="00E85116">
        <w:rPr>
          <w:color w:val="auto"/>
        </w:rPr>
        <w:t xml:space="preserve">establish </w:t>
      </w:r>
      <w:r w:rsidR="00440A32">
        <w:rPr>
          <w:color w:val="auto"/>
        </w:rPr>
        <w:t>in order to meet the fifty (50) contract minimum</w:t>
      </w:r>
      <w:r w:rsidR="002432F0">
        <w:rPr>
          <w:color w:val="auto"/>
        </w:rPr>
        <w:t xml:space="preserve"> threshold</w:t>
      </w:r>
      <w:r w:rsidR="00440A32">
        <w:rPr>
          <w:color w:val="auto"/>
        </w:rPr>
        <w:t xml:space="preserve">.  With this rule amendment, more market participants may establish positions in the </w:t>
      </w:r>
      <w:r w:rsidR="002432F0">
        <w:rPr>
          <w:color w:val="auto"/>
        </w:rPr>
        <w:t>b</w:t>
      </w:r>
      <w:r w:rsidR="00440A32">
        <w:rPr>
          <w:color w:val="auto"/>
        </w:rPr>
        <w:t xml:space="preserve">ack </w:t>
      </w:r>
      <w:r w:rsidR="002432F0">
        <w:rPr>
          <w:color w:val="auto"/>
        </w:rPr>
        <w:t>m</w:t>
      </w:r>
      <w:r w:rsidR="00440A32">
        <w:rPr>
          <w:color w:val="auto"/>
        </w:rPr>
        <w:t>onths of contracts.  This increase in open interest</w:t>
      </w:r>
      <w:r w:rsidR="00BD5F72">
        <w:rPr>
          <w:color w:val="auto"/>
        </w:rPr>
        <w:t xml:space="preserve"> accomplished through the use of a lower minimum threshold for the back month</w:t>
      </w:r>
      <w:r w:rsidR="002432F0">
        <w:rPr>
          <w:color w:val="auto"/>
        </w:rPr>
        <w:t>s</w:t>
      </w:r>
      <w:r w:rsidR="00440A32">
        <w:rPr>
          <w:color w:val="auto"/>
        </w:rPr>
        <w:t xml:space="preserve">, combined with </w:t>
      </w:r>
      <w:r w:rsidR="00426803">
        <w:rPr>
          <w:color w:val="auto"/>
        </w:rPr>
        <w:t xml:space="preserve">a </w:t>
      </w:r>
      <w:r w:rsidR="002432F0">
        <w:rPr>
          <w:color w:val="auto"/>
        </w:rPr>
        <w:t>larger minimum block threshold</w:t>
      </w:r>
      <w:r w:rsidR="00440A32">
        <w:rPr>
          <w:color w:val="auto"/>
        </w:rPr>
        <w:t xml:space="preserve"> in the </w:t>
      </w:r>
      <w:r w:rsidR="00DA0157">
        <w:rPr>
          <w:color w:val="auto"/>
        </w:rPr>
        <w:t>f</w:t>
      </w:r>
      <w:r w:rsidR="00440A32">
        <w:rPr>
          <w:color w:val="auto"/>
        </w:rPr>
        <w:t xml:space="preserve">ront </w:t>
      </w:r>
      <w:r w:rsidR="00DA0157">
        <w:rPr>
          <w:color w:val="auto"/>
        </w:rPr>
        <w:t>m</w:t>
      </w:r>
      <w:r w:rsidR="00483BDC">
        <w:rPr>
          <w:color w:val="auto"/>
        </w:rPr>
        <w:t>onth</w:t>
      </w:r>
      <w:r w:rsidR="00440A32">
        <w:rPr>
          <w:color w:val="auto"/>
        </w:rPr>
        <w:t xml:space="preserve"> </w:t>
      </w:r>
      <w:r w:rsidR="00DA0157">
        <w:rPr>
          <w:color w:val="auto"/>
        </w:rPr>
        <w:t>(</w:t>
      </w:r>
      <w:r w:rsidR="00426803">
        <w:rPr>
          <w:color w:val="auto"/>
        </w:rPr>
        <w:t xml:space="preserve">compared to back </w:t>
      </w:r>
      <w:r w:rsidR="00DA0157">
        <w:rPr>
          <w:color w:val="auto"/>
        </w:rPr>
        <w:t xml:space="preserve">months) </w:t>
      </w:r>
      <w:r w:rsidR="00440A32">
        <w:rPr>
          <w:color w:val="auto"/>
        </w:rPr>
        <w:t xml:space="preserve">will lead to a larger volume of trading </w:t>
      </w:r>
      <w:r w:rsidR="00E85116">
        <w:rPr>
          <w:color w:val="auto"/>
        </w:rPr>
        <w:t xml:space="preserve">in the centralized market </w:t>
      </w:r>
      <w:r w:rsidR="00483BDC">
        <w:rPr>
          <w:color w:val="auto"/>
        </w:rPr>
        <w:t xml:space="preserve">as participants exit their </w:t>
      </w:r>
      <w:r w:rsidR="00426803">
        <w:rPr>
          <w:color w:val="auto"/>
        </w:rPr>
        <w:t>f</w:t>
      </w:r>
      <w:r w:rsidR="00440A32">
        <w:rPr>
          <w:color w:val="auto"/>
        </w:rPr>
        <w:t xml:space="preserve">ront </w:t>
      </w:r>
      <w:r w:rsidR="00426803">
        <w:rPr>
          <w:color w:val="auto"/>
        </w:rPr>
        <w:t>m</w:t>
      </w:r>
      <w:r w:rsidR="00440A32">
        <w:rPr>
          <w:color w:val="auto"/>
        </w:rPr>
        <w:t xml:space="preserve">onth </w:t>
      </w:r>
      <w:r w:rsidR="00483BDC">
        <w:rPr>
          <w:color w:val="auto"/>
        </w:rPr>
        <w:t>positions through CLOB trading</w:t>
      </w:r>
      <w:r w:rsidR="00440A32">
        <w:rPr>
          <w:color w:val="auto"/>
        </w:rPr>
        <w:t>.</w:t>
      </w:r>
      <w:r w:rsidR="00483BDC">
        <w:rPr>
          <w:color w:val="auto"/>
        </w:rPr>
        <w:t xml:space="preserve">  The Exchange is of the opinion that a fifty (50) block minimum threshold is so high that it keeps most participants out of the NFX market.  The new </w:t>
      </w:r>
      <w:r w:rsidR="00426803">
        <w:rPr>
          <w:color w:val="auto"/>
        </w:rPr>
        <w:t>b</w:t>
      </w:r>
      <w:r w:rsidR="00D730EE">
        <w:rPr>
          <w:color w:val="auto"/>
        </w:rPr>
        <w:t>a</w:t>
      </w:r>
      <w:r w:rsidR="00426803">
        <w:rPr>
          <w:color w:val="auto"/>
        </w:rPr>
        <w:t>c</w:t>
      </w:r>
      <w:r w:rsidR="00D730EE">
        <w:rPr>
          <w:color w:val="auto"/>
        </w:rPr>
        <w:t>k</w:t>
      </w:r>
      <w:r w:rsidR="00426803">
        <w:rPr>
          <w:color w:val="auto"/>
        </w:rPr>
        <w:t xml:space="preserve"> m</w:t>
      </w:r>
      <w:r w:rsidR="00D730EE">
        <w:rPr>
          <w:color w:val="auto"/>
        </w:rPr>
        <w:t xml:space="preserve">onth </w:t>
      </w:r>
      <w:r w:rsidR="00483BDC">
        <w:rPr>
          <w:color w:val="auto"/>
        </w:rPr>
        <w:t xml:space="preserve">block limit of five (5) </w:t>
      </w:r>
      <w:r w:rsidR="00D730EE">
        <w:rPr>
          <w:color w:val="auto"/>
        </w:rPr>
        <w:t xml:space="preserve">contracts </w:t>
      </w:r>
      <w:r w:rsidR="00426803">
        <w:rPr>
          <w:color w:val="auto"/>
        </w:rPr>
        <w:t xml:space="preserve">for actively traded contracts </w:t>
      </w:r>
      <w:r w:rsidR="00483BDC">
        <w:rPr>
          <w:color w:val="auto"/>
        </w:rPr>
        <w:t>is high enough however to exceed the size of an order that could be filled through a single buy or sell order at a single price as advised in the Proposal, but low enough to make it economically feasible for participants to enter the NFX market</w:t>
      </w:r>
      <w:r w:rsidR="00D730EE">
        <w:rPr>
          <w:color w:val="auto"/>
        </w:rPr>
        <w:t xml:space="preserve"> and offset their risk</w:t>
      </w:r>
      <w:r w:rsidR="00483BDC">
        <w:rPr>
          <w:color w:val="auto"/>
        </w:rPr>
        <w:t xml:space="preserve">.  </w:t>
      </w:r>
      <w:r w:rsidR="00E85116">
        <w:rPr>
          <w:color w:val="auto"/>
        </w:rPr>
        <w:t xml:space="preserve">As time progresses and the </w:t>
      </w:r>
      <w:r w:rsidR="00426803">
        <w:rPr>
          <w:color w:val="auto"/>
        </w:rPr>
        <w:t>f</w:t>
      </w:r>
      <w:r w:rsidR="00E85116">
        <w:rPr>
          <w:color w:val="auto"/>
        </w:rPr>
        <w:t xml:space="preserve">ront </w:t>
      </w:r>
      <w:r w:rsidR="00426803">
        <w:rPr>
          <w:color w:val="auto"/>
        </w:rPr>
        <w:t>m</w:t>
      </w:r>
      <w:r w:rsidR="00E85116">
        <w:rPr>
          <w:color w:val="auto"/>
        </w:rPr>
        <w:t xml:space="preserve">onth approaches, there will be more market participants to trade, and in turn more open interest to be exited, as the </w:t>
      </w:r>
      <w:r w:rsidR="00426803">
        <w:rPr>
          <w:color w:val="auto"/>
        </w:rPr>
        <w:t>fo</w:t>
      </w:r>
      <w:r w:rsidR="00E85116">
        <w:rPr>
          <w:color w:val="auto"/>
        </w:rPr>
        <w:t xml:space="preserve">nt </w:t>
      </w:r>
      <w:r w:rsidR="00426803">
        <w:rPr>
          <w:color w:val="auto"/>
        </w:rPr>
        <w:t>m</w:t>
      </w:r>
      <w:r w:rsidR="00E85116">
        <w:rPr>
          <w:color w:val="auto"/>
        </w:rPr>
        <w:t xml:space="preserve">onth arrives.  </w:t>
      </w:r>
    </w:p>
    <w:p w:rsidR="00C12C1D" w:rsidRDefault="00C12C1D" w:rsidP="00A95BA4">
      <w:pPr>
        <w:pStyle w:val="Default"/>
        <w:ind w:firstLine="720"/>
        <w:rPr>
          <w:color w:val="auto"/>
        </w:rPr>
      </w:pPr>
    </w:p>
    <w:p w:rsidR="005B0B7C" w:rsidRDefault="00E95A6B" w:rsidP="00A95BA4">
      <w:pPr>
        <w:pStyle w:val="Default"/>
        <w:ind w:firstLine="720"/>
        <w:rPr>
          <w:color w:val="auto"/>
        </w:rPr>
      </w:pPr>
      <w:r>
        <w:rPr>
          <w:color w:val="auto"/>
        </w:rPr>
        <w:t xml:space="preserve">NFX would also like to note that all other rules pertaining to block trades </w:t>
      </w:r>
      <w:r w:rsidR="00E85116">
        <w:rPr>
          <w:color w:val="auto"/>
        </w:rPr>
        <w:t xml:space="preserve">outlined in Chapter IV, Section 11 of the NFX rulebook </w:t>
      </w:r>
      <w:r>
        <w:rPr>
          <w:color w:val="auto"/>
        </w:rPr>
        <w:t xml:space="preserve">remain the same.  </w:t>
      </w:r>
      <w:r w:rsidR="00E85116">
        <w:rPr>
          <w:color w:val="auto"/>
        </w:rPr>
        <w:t xml:space="preserve">Futures Participants </w:t>
      </w:r>
      <w:r>
        <w:rPr>
          <w:color w:val="auto"/>
        </w:rPr>
        <w:t>may not aggregate orders in order to meet the minimum block threshold, block trades may only be executed by E</w:t>
      </w:r>
      <w:r w:rsidR="00E85116">
        <w:rPr>
          <w:color w:val="auto"/>
        </w:rPr>
        <w:t xml:space="preserve">ligible </w:t>
      </w:r>
      <w:r>
        <w:rPr>
          <w:color w:val="auto"/>
        </w:rPr>
        <w:t>C</w:t>
      </w:r>
      <w:r w:rsidR="00E85116">
        <w:rPr>
          <w:color w:val="auto"/>
        </w:rPr>
        <w:t xml:space="preserve">ontract </w:t>
      </w:r>
      <w:r>
        <w:rPr>
          <w:color w:val="auto"/>
        </w:rPr>
        <w:t>P</w:t>
      </w:r>
      <w:r w:rsidR="00E85116">
        <w:rPr>
          <w:color w:val="auto"/>
        </w:rPr>
        <w:t>articipant</w:t>
      </w:r>
      <w:r>
        <w:rPr>
          <w:color w:val="auto"/>
        </w:rPr>
        <w:t xml:space="preserve">s, </w:t>
      </w:r>
      <w:r w:rsidR="00E85116">
        <w:rPr>
          <w:color w:val="auto"/>
        </w:rPr>
        <w:t>a Futures Participant may only execute a block trade when the customer has specified that the order be executed as a block, the price at which a b</w:t>
      </w:r>
      <w:r w:rsidR="00E85116" w:rsidRPr="00E85116">
        <w:rPr>
          <w:color w:val="auto"/>
        </w:rPr>
        <w:t xml:space="preserve">lock </w:t>
      </w:r>
      <w:r w:rsidR="00E85116">
        <w:rPr>
          <w:color w:val="auto"/>
        </w:rPr>
        <w:t>t</w:t>
      </w:r>
      <w:r w:rsidR="00E85116" w:rsidRPr="00E85116">
        <w:rPr>
          <w:color w:val="auto"/>
        </w:rPr>
        <w:t xml:space="preserve">rade is executed must be fair and reasonable in light of the size of the </w:t>
      </w:r>
      <w:r w:rsidR="00E85116">
        <w:rPr>
          <w:color w:val="auto"/>
        </w:rPr>
        <w:t xml:space="preserve">transaction, </w:t>
      </w:r>
      <w:r w:rsidR="00E85116" w:rsidRPr="00E85116">
        <w:rPr>
          <w:color w:val="auto"/>
        </w:rPr>
        <w:t>the prices and sizes of other transactions in the same Contract at the relevant time, the prices and sizes of transactions in other relevant markets, and the circumstances of the markets or the parties to the Block Trade.</w:t>
      </w:r>
      <w:r w:rsidR="00DA2CFC">
        <w:rPr>
          <w:color w:val="auto"/>
        </w:rPr>
        <w:t xml:space="preserve">  As outlined in the Proposal, NFX will assess the trading volume and liquidity on the Exchange on a periodic basis to determine if the minimum block thresholds need to be adjusted as market conditions change.  </w:t>
      </w:r>
    </w:p>
    <w:p w:rsidR="00E52F30" w:rsidRDefault="00E52F30" w:rsidP="00A95BA4">
      <w:pPr>
        <w:pStyle w:val="Default"/>
        <w:jc w:val="center"/>
        <w:rPr>
          <w:b/>
          <w:bCs/>
          <w:color w:val="auto"/>
          <w:u w:val="single"/>
        </w:rPr>
      </w:pPr>
    </w:p>
    <w:p w:rsidR="0008423C" w:rsidRPr="00E1206A" w:rsidRDefault="0008423C" w:rsidP="00A95BA4">
      <w:pPr>
        <w:pStyle w:val="Default"/>
        <w:jc w:val="center"/>
        <w:rPr>
          <w:b/>
          <w:bCs/>
          <w:color w:val="auto"/>
          <w:u w:val="single"/>
        </w:rPr>
      </w:pPr>
      <w:r w:rsidRPr="00E1206A">
        <w:rPr>
          <w:b/>
          <w:bCs/>
          <w:color w:val="auto"/>
          <w:u w:val="single"/>
        </w:rPr>
        <w:t>Certifications</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w:t>
      </w:r>
      <w:r w:rsidRPr="00E1206A">
        <w:rPr>
          <w:rFonts w:ascii="Times New Roman" w:hAnsi="Times New Roman"/>
          <w:sz w:val="24"/>
          <w:szCs w:val="24"/>
        </w:rPr>
        <w:lastRenderedPageBreak/>
        <w:t xml:space="preserve">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8251FD">
        <w:rPr>
          <w:rFonts w:ascii="Times New Roman" w:hAnsi="Times New Roman" w:cs="Times New Roman"/>
          <w:spacing w:val="-6"/>
          <w:sz w:val="24"/>
          <w:szCs w:val="24"/>
        </w:rPr>
        <w:t>Aravind</w:t>
      </w:r>
      <w:proofErr w:type="spellEnd"/>
      <w:r w:rsidRPr="008251FD">
        <w:rPr>
          <w:rFonts w:ascii="Times New Roman" w:hAnsi="Times New Roman" w:cs="Times New Roman"/>
          <w:spacing w:val="-6"/>
          <w:sz w:val="24"/>
          <w:szCs w:val="24"/>
        </w:rPr>
        <w:t xml:space="preserve"> Menon at (301) 978-8416 </w:t>
      </w:r>
      <w:r w:rsidRPr="008251FD">
        <w:rPr>
          <w:rFonts w:ascii="Times New Roman" w:hAnsi="Times New Roman" w:cs="Times New Roman"/>
          <w:sz w:val="24"/>
          <w:szCs w:val="24"/>
        </w:rPr>
        <w:t>or</w:t>
      </w:r>
      <w:r w:rsidRPr="008251FD">
        <w:rPr>
          <w:rFonts w:ascii="Times New Roman" w:hAnsi="Times New Roman" w:cs="Times New Roman"/>
          <w:spacing w:val="-6"/>
          <w:sz w:val="24"/>
          <w:szCs w:val="24"/>
        </w:rPr>
        <w:t xml:space="preserve"> </w:t>
      </w:r>
      <w:r w:rsidRPr="008251FD">
        <w:rPr>
          <w:rFonts w:ascii="Times New Roman" w:hAnsi="Times New Roman" w:cs="Times New Roman"/>
          <w:sz w:val="24"/>
          <w:szCs w:val="24"/>
        </w:rPr>
        <w:t>aravind.menon@nasdaq.com</w:t>
      </w:r>
      <w:r w:rsidRPr="008251FD">
        <w:rPr>
          <w:rFonts w:ascii="Times New Roman" w:hAnsi="Times New Roman" w:cs="Times New Roman"/>
          <w:spacing w:val="-6"/>
          <w:sz w:val="24"/>
          <w:szCs w:val="24"/>
        </w:rPr>
        <w:t xml:space="preserve">.  </w:t>
      </w:r>
      <w:r w:rsidRPr="008251FD">
        <w:rPr>
          <w:rFonts w:ascii="Times New Roman" w:hAnsi="Times New Roman" w:cs="Times New Roman"/>
          <w:sz w:val="24"/>
          <w:szCs w:val="24"/>
        </w:rPr>
        <w:t>Please</w:t>
      </w:r>
      <w:r w:rsidRPr="008251FD">
        <w:rPr>
          <w:rFonts w:ascii="Times New Roman" w:hAnsi="Times New Roman" w:cs="Times New Roman"/>
          <w:spacing w:val="-6"/>
          <w:sz w:val="24"/>
          <w:szCs w:val="24"/>
        </w:rPr>
        <w:t xml:space="preserve"> </w:t>
      </w:r>
      <w:r w:rsidRPr="008251FD">
        <w:rPr>
          <w:rFonts w:ascii="Times New Roman" w:hAnsi="Times New Roman" w:cs="Times New Roman"/>
          <w:sz w:val="24"/>
          <w:szCs w:val="24"/>
        </w:rPr>
        <w:t>refer to</w:t>
      </w:r>
      <w:r w:rsidRPr="008251FD">
        <w:rPr>
          <w:rFonts w:ascii="Times New Roman" w:hAnsi="Times New Roman" w:cs="Times New Roman"/>
          <w:spacing w:val="-6"/>
          <w:sz w:val="24"/>
          <w:szCs w:val="24"/>
        </w:rPr>
        <w:t xml:space="preserve"> </w:t>
      </w:r>
      <w:r w:rsidRPr="008251FD">
        <w:rPr>
          <w:rFonts w:ascii="Times New Roman" w:hAnsi="Times New Roman" w:cs="Times New Roman"/>
          <w:sz w:val="24"/>
          <w:szCs w:val="24"/>
        </w:rPr>
        <w:t>SR-NFX-201</w:t>
      </w:r>
      <w:r w:rsidR="008251FD" w:rsidRPr="008251FD">
        <w:rPr>
          <w:rFonts w:ascii="Times New Roman" w:hAnsi="Times New Roman" w:cs="Times New Roman"/>
          <w:sz w:val="24"/>
          <w:szCs w:val="24"/>
        </w:rPr>
        <w:t>8</w:t>
      </w:r>
      <w:r w:rsidRPr="00E1206A">
        <w:rPr>
          <w:rFonts w:ascii="Times New Roman" w:hAnsi="Times New Roman" w:cs="Times New Roman"/>
          <w:sz w:val="24"/>
          <w:szCs w:val="24"/>
        </w:rPr>
        <w:t>-</w:t>
      </w:r>
      <w:r w:rsidR="00DB2C9C">
        <w:rPr>
          <w:rFonts w:ascii="Times New Roman" w:hAnsi="Times New Roman" w:cs="Times New Roman"/>
          <w:sz w:val="24"/>
          <w:szCs w:val="24"/>
        </w:rPr>
        <w:t>61</w:t>
      </w:r>
      <w:r w:rsidR="00E52F30">
        <w:rPr>
          <w:rFonts w:ascii="Times New Roman" w:hAnsi="Times New Roman" w:cs="Times New Roman"/>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p>
    <w:p w:rsidR="0095411C" w:rsidRPr="000011A2" w:rsidRDefault="0095411C" w:rsidP="0095411C">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95411C" w:rsidRDefault="00C15D92" w:rsidP="0095411C">
      <w:pPr>
        <w:pStyle w:val="NoSpacing"/>
        <w:keepNext/>
        <w:ind w:left="2880" w:firstLine="720"/>
        <w:contextualSpacing/>
        <w:rPr>
          <w:rFonts w:ascii="Times New Roman" w:eastAsia="Calibri" w:hAnsi="Times New Roman" w:cs="Times New Roman"/>
          <w:sz w:val="24"/>
          <w:szCs w:val="24"/>
        </w:rPr>
      </w:pPr>
      <w:r>
        <w:rPr>
          <w:rFonts w:eastAsia="Times New Roman"/>
          <w:noProof/>
        </w:rPr>
        <w:drawing>
          <wp:inline distT="0" distB="0" distL="0" distR="0">
            <wp:extent cx="1551940" cy="723802"/>
            <wp:effectExtent l="0" t="0" r="0" b="635"/>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6816" cy="768051"/>
                    </a:xfrm>
                    <a:prstGeom prst="rect">
                      <a:avLst/>
                    </a:prstGeom>
                    <a:noFill/>
                    <a:ln>
                      <a:noFill/>
                    </a:ln>
                  </pic:spPr>
                </pic:pic>
              </a:graphicData>
            </a:graphic>
          </wp:inline>
        </w:drawing>
      </w:r>
    </w:p>
    <w:p w:rsidR="0095411C" w:rsidRPr="000011A2" w:rsidRDefault="00A9381E" w:rsidP="00C15D92">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08423C" w:rsidRPr="00E1206A" w:rsidRDefault="0095411C" w:rsidP="0095411C">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08423C" w:rsidRDefault="0008423C" w:rsidP="0008423C">
      <w:pPr>
        <w:pStyle w:val="NoSpacing"/>
        <w:rPr>
          <w:rFonts w:ascii="Times New Roman" w:eastAsia="Calibri" w:hAnsi="Times New Roman" w:cs="Times New Roman"/>
          <w:sz w:val="24"/>
          <w:szCs w:val="24"/>
        </w:rPr>
      </w:pPr>
    </w:p>
    <w:p w:rsidR="0095411C" w:rsidRPr="00E1206A" w:rsidRDefault="0095411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08423C" w:rsidRPr="00E1206A" w:rsidRDefault="0008423C" w:rsidP="0008423C">
      <w:pPr>
        <w:spacing w:after="0" w:line="240" w:lineRule="auto"/>
        <w:rPr>
          <w:rFonts w:ascii="Times New Roman" w:hAnsi="Times New Roman" w:cs="Times New Roman"/>
          <w:sz w:val="24"/>
          <w:szCs w:val="24"/>
        </w:rPr>
      </w:pPr>
    </w:p>
    <w:p w:rsidR="00A75040" w:rsidRDefault="0008423C" w:rsidP="00AB2F14">
      <w:pPr>
        <w:spacing w:after="0" w:line="240" w:lineRule="auto"/>
        <w:ind w:left="2880" w:hanging="2880"/>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r>
      <w:r w:rsidR="00A75040">
        <w:rPr>
          <w:rFonts w:ascii="Times New Roman" w:hAnsi="Times New Roman" w:cs="Times New Roman"/>
          <w:sz w:val="24"/>
          <w:szCs w:val="24"/>
        </w:rPr>
        <w:t>73 FR 54097</w:t>
      </w:r>
      <w:r w:rsidR="00AF2F32">
        <w:rPr>
          <w:rFonts w:ascii="Times New Roman" w:hAnsi="Times New Roman" w:cs="Times New Roman"/>
          <w:sz w:val="24"/>
          <w:szCs w:val="24"/>
        </w:rPr>
        <w:t xml:space="preserve"> – 2008 CFTC Notice of Proposed Rulemaking</w:t>
      </w:r>
      <w:r w:rsidR="005716B3">
        <w:rPr>
          <w:rFonts w:ascii="Times New Roman" w:hAnsi="Times New Roman" w:cs="Times New Roman"/>
          <w:sz w:val="24"/>
          <w:szCs w:val="24"/>
        </w:rPr>
        <w:t xml:space="preserve"> - </w:t>
      </w:r>
      <w:r w:rsidR="003A079B">
        <w:rPr>
          <w:rFonts w:ascii="Times New Roman" w:hAnsi="Times New Roman" w:cs="Times New Roman"/>
          <w:sz w:val="24"/>
          <w:szCs w:val="24"/>
        </w:rPr>
        <w:t>E</w:t>
      </w:r>
      <w:r w:rsidR="005716B3" w:rsidRPr="005716B3">
        <w:rPr>
          <w:rFonts w:ascii="Times New Roman" w:hAnsi="Times New Roman" w:cs="Times New Roman"/>
          <w:sz w:val="24"/>
          <w:szCs w:val="24"/>
        </w:rPr>
        <w:t>xecution of Transactions: Regulation</w:t>
      </w:r>
      <w:r w:rsidR="00AB2F14">
        <w:rPr>
          <w:rFonts w:ascii="Times New Roman" w:hAnsi="Times New Roman" w:cs="Times New Roman"/>
          <w:sz w:val="24"/>
          <w:szCs w:val="24"/>
        </w:rPr>
        <w:t xml:space="preserve"> </w:t>
      </w:r>
      <w:r w:rsidR="005716B3" w:rsidRPr="005716B3">
        <w:rPr>
          <w:rFonts w:ascii="Times New Roman" w:hAnsi="Times New Roman" w:cs="Times New Roman"/>
          <w:sz w:val="24"/>
          <w:szCs w:val="24"/>
        </w:rPr>
        <w:t xml:space="preserve">1.38 </w:t>
      </w:r>
      <w:r w:rsidR="005716B3">
        <w:rPr>
          <w:rFonts w:ascii="Times New Roman" w:hAnsi="Times New Roman" w:cs="Times New Roman"/>
          <w:sz w:val="24"/>
          <w:szCs w:val="24"/>
        </w:rPr>
        <w:t>&amp;</w:t>
      </w:r>
      <w:r w:rsidR="005716B3" w:rsidRPr="005716B3">
        <w:rPr>
          <w:rFonts w:ascii="Times New Roman" w:hAnsi="Times New Roman" w:cs="Times New Roman"/>
          <w:sz w:val="24"/>
          <w:szCs w:val="24"/>
        </w:rPr>
        <w:t xml:space="preserve"> Guidance on Core Principle 9 </w:t>
      </w:r>
      <w:r w:rsidR="00AF2F32">
        <w:rPr>
          <w:rFonts w:ascii="Times New Roman" w:hAnsi="Times New Roman" w:cs="Times New Roman"/>
          <w:sz w:val="24"/>
          <w:szCs w:val="24"/>
        </w:rPr>
        <w:t xml:space="preserve"> </w:t>
      </w:r>
    </w:p>
    <w:p w:rsidR="00843252" w:rsidRDefault="00843252" w:rsidP="00A75040">
      <w:pPr>
        <w:spacing w:after="0" w:line="240" w:lineRule="auto"/>
        <w:ind w:left="1440" w:hanging="1440"/>
        <w:rPr>
          <w:rFonts w:ascii="Times New Roman" w:hAnsi="Times New Roman" w:cs="Times New Roman"/>
          <w:sz w:val="24"/>
          <w:szCs w:val="24"/>
          <w:u w:val="single"/>
        </w:rPr>
      </w:pPr>
    </w:p>
    <w:p w:rsidR="00843252" w:rsidRPr="004A1470" w:rsidRDefault="00843252" w:rsidP="00843252">
      <w:pPr>
        <w:pStyle w:val="Default"/>
        <w:ind w:left="2880" w:hanging="2880"/>
        <w:rPr>
          <w:b/>
          <w:bCs/>
        </w:rPr>
      </w:pPr>
      <w:r>
        <w:rPr>
          <w:u w:val="single"/>
        </w:rPr>
        <w:t xml:space="preserve">Confidential </w:t>
      </w:r>
      <w:r w:rsidR="00A75040" w:rsidRPr="00A75040">
        <w:rPr>
          <w:u w:val="single"/>
        </w:rPr>
        <w:t>Exhibit B</w:t>
      </w:r>
      <w:r w:rsidR="00A75040">
        <w:t>:</w:t>
      </w:r>
      <w:r w:rsidR="00A75040">
        <w:tab/>
      </w:r>
      <w:r w:rsidRPr="00843252">
        <w:rPr>
          <w:bCs/>
        </w:rPr>
        <w:t>Additional Analysis of Core Principle 9 &amp; Minimum Block Thresholds</w:t>
      </w:r>
    </w:p>
    <w:p w:rsidR="00843252" w:rsidRDefault="00843252" w:rsidP="00843252">
      <w:pPr>
        <w:spacing w:after="0" w:line="240" w:lineRule="auto"/>
        <w:ind w:left="2880" w:hanging="2880"/>
        <w:rPr>
          <w:rFonts w:ascii="Times New Roman" w:hAnsi="Times New Roman" w:cs="Times New Roman"/>
          <w:sz w:val="24"/>
          <w:szCs w:val="24"/>
          <w:u w:val="single"/>
        </w:rPr>
      </w:pPr>
    </w:p>
    <w:p w:rsidR="00D60246" w:rsidRPr="00E1206A" w:rsidRDefault="00843252" w:rsidP="0084325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u w:val="single"/>
        </w:rPr>
        <w:t>Confidential Exhibit C</w:t>
      </w:r>
      <w:r w:rsidRPr="00843252">
        <w:rPr>
          <w:rFonts w:ascii="Times New Roman" w:hAnsi="Times New Roman" w:cs="Times New Roman"/>
          <w:sz w:val="24"/>
          <w:szCs w:val="24"/>
        </w:rPr>
        <w:t>:</w:t>
      </w:r>
      <w:r>
        <w:rPr>
          <w:rFonts w:ascii="Times New Roman" w:hAnsi="Times New Roman" w:cs="Times New Roman"/>
          <w:sz w:val="24"/>
          <w:szCs w:val="24"/>
        </w:rPr>
        <w:tab/>
      </w:r>
      <w:r w:rsidR="00A75040">
        <w:rPr>
          <w:rFonts w:ascii="Times New Roman" w:hAnsi="Times New Roman" w:cs="Times New Roman"/>
          <w:sz w:val="24"/>
          <w:szCs w:val="24"/>
        </w:rPr>
        <w:t xml:space="preserve">Spreadsheet listing </w:t>
      </w:r>
      <w:r w:rsidR="00A75040" w:rsidRPr="00A75040">
        <w:rPr>
          <w:rFonts w:ascii="Times New Roman" w:hAnsi="Times New Roman" w:cs="Times New Roman"/>
          <w:sz w:val="24"/>
          <w:szCs w:val="24"/>
        </w:rPr>
        <w:t>trading data from May 1, 2018 through October 23, 2018 for NFX WTI Crude Oil Penultimate Financial Futures (TQ)</w:t>
      </w:r>
      <w:r w:rsidR="00A75040">
        <w:rPr>
          <w:rFonts w:ascii="Times New Roman" w:hAnsi="Times New Roman" w:cs="Times New Roman"/>
          <w:sz w:val="24"/>
          <w:szCs w:val="24"/>
        </w:rPr>
        <w:t xml:space="preserve">, </w:t>
      </w:r>
      <w:r w:rsidR="00A75040" w:rsidRPr="00A75040">
        <w:rPr>
          <w:rFonts w:ascii="Times New Roman" w:hAnsi="Times New Roman" w:cs="Times New Roman"/>
          <w:sz w:val="24"/>
          <w:szCs w:val="24"/>
        </w:rPr>
        <w:t>NFX Henry Hub Natural Gas Financial Futures - 10,000 (HHQ)</w:t>
      </w:r>
      <w:r w:rsidR="00A75040">
        <w:rPr>
          <w:rFonts w:ascii="Times New Roman" w:hAnsi="Times New Roman" w:cs="Times New Roman"/>
          <w:sz w:val="24"/>
          <w:szCs w:val="24"/>
        </w:rPr>
        <w:t xml:space="preserve"> and comparable CME contracts</w:t>
      </w:r>
      <w:r w:rsidR="00A75040" w:rsidRPr="00A75040">
        <w:rPr>
          <w:rFonts w:ascii="Times New Roman" w:hAnsi="Times New Roman" w:cs="Times New Roman"/>
          <w:sz w:val="24"/>
          <w:szCs w:val="24"/>
        </w:rPr>
        <w:t xml:space="preserve">.  </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3D" w:rsidRDefault="004A4F3D" w:rsidP="0008423C">
      <w:pPr>
        <w:spacing w:after="0" w:line="240" w:lineRule="auto"/>
      </w:pPr>
      <w:r>
        <w:separator/>
      </w:r>
    </w:p>
  </w:endnote>
  <w:endnote w:type="continuationSeparator" w:id="0">
    <w:p w:rsidR="004A4F3D" w:rsidRDefault="004A4F3D"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3D" w:rsidRDefault="004A4F3D" w:rsidP="0008423C">
      <w:pPr>
        <w:spacing w:after="0" w:line="240" w:lineRule="auto"/>
      </w:pPr>
      <w:r>
        <w:separator/>
      </w:r>
    </w:p>
  </w:footnote>
  <w:footnote w:type="continuationSeparator" w:id="0">
    <w:p w:rsidR="004A4F3D" w:rsidRDefault="004A4F3D" w:rsidP="0008423C">
      <w:pPr>
        <w:spacing w:after="0" w:line="240" w:lineRule="auto"/>
      </w:pPr>
      <w:r>
        <w:continuationSeparator/>
      </w:r>
    </w:p>
  </w:footnote>
  <w:footnote w:id="1">
    <w:p w:rsidR="0008423C" w:rsidRPr="008D16C3" w:rsidRDefault="0008423C" w:rsidP="0008423C">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Pr="008D16C3">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rsidR="0008423C" w:rsidRPr="008D16C3" w:rsidRDefault="0008423C" w:rsidP="0008423C">
      <w:pPr>
        <w:pStyle w:val="FootnoteText"/>
        <w:rPr>
          <w:rFonts w:ascii="Times New Roman" w:hAnsi="Times New Roman" w:cs="Times New Roman"/>
        </w:rPr>
      </w:pPr>
    </w:p>
  </w:footnote>
  <w:footnote w:id="2">
    <w:p w:rsidR="004852CF" w:rsidRPr="008D16C3" w:rsidRDefault="004852CF" w:rsidP="004852CF">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001766C9" w:rsidRPr="008D16C3">
        <w:rPr>
          <w:rFonts w:ascii="Times New Roman" w:hAnsi="Times New Roman" w:cs="Times New Roman"/>
        </w:rPr>
        <w:tab/>
      </w:r>
      <w:r w:rsidRPr="008D16C3">
        <w:rPr>
          <w:rFonts w:ascii="Times New Roman" w:hAnsi="Times New Roman" w:cs="Times New Roman"/>
        </w:rPr>
        <w:t xml:space="preserve">See §1.38 of the CFTC Regulations.  </w:t>
      </w:r>
    </w:p>
    <w:p w:rsidR="004852CF" w:rsidRPr="008D16C3" w:rsidRDefault="004852CF" w:rsidP="004852CF">
      <w:pPr>
        <w:pStyle w:val="FootnoteText"/>
        <w:rPr>
          <w:rFonts w:ascii="Times New Roman" w:hAnsi="Times New Roman" w:cs="Times New Roman"/>
        </w:rPr>
      </w:pPr>
    </w:p>
  </w:footnote>
  <w:footnote w:id="3">
    <w:p w:rsidR="00176F65" w:rsidRPr="008D16C3" w:rsidRDefault="00176F65" w:rsidP="00176F65">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Pr="008D16C3">
        <w:rPr>
          <w:rFonts w:ascii="Times New Roman" w:hAnsi="Times New Roman" w:cs="Times New Roman"/>
        </w:rPr>
        <w:tab/>
        <w:t xml:space="preserve">See 76 FR at 44776, 44781.  “…the Commission notes that registered entities frequently submit product  ‘‘terms and conditions’’ with accompanying rules—for example, </w:t>
      </w:r>
      <w:r w:rsidRPr="008D16C3">
        <w:rPr>
          <w:rFonts w:ascii="Times New Roman" w:hAnsi="Times New Roman" w:cs="Times New Roman"/>
          <w:i/>
        </w:rPr>
        <w:t>rules establishing block trade thresholds</w:t>
      </w:r>
      <w:r w:rsidRPr="008D16C3">
        <w:rPr>
          <w:rFonts w:ascii="Times New Roman" w:hAnsi="Times New Roman" w:cs="Times New Roman"/>
        </w:rPr>
        <w:t>— …[s]</w:t>
      </w:r>
      <w:proofErr w:type="spellStart"/>
      <w:r w:rsidRPr="008D16C3">
        <w:rPr>
          <w:rFonts w:ascii="Times New Roman" w:hAnsi="Times New Roman" w:cs="Times New Roman"/>
        </w:rPr>
        <w:t>uch</w:t>
      </w:r>
      <w:proofErr w:type="spellEnd"/>
      <w:r w:rsidRPr="008D16C3">
        <w:rPr>
          <w:rFonts w:ascii="Times New Roman" w:hAnsi="Times New Roman" w:cs="Times New Roman"/>
        </w:rPr>
        <w:t xml:space="preserve"> ‘‘rules’’ or ‘‘rule amendments’’ submitted in connection with the listing or trading of a product, if not included in the definition of ‘‘terms and conditions,’’ will not be effective and cannot be implemented until properly submitted for Commission review under §§ 40.5 or 40.6.” (</w:t>
      </w:r>
      <w:proofErr w:type="gramStart"/>
      <w:r w:rsidRPr="008D16C3">
        <w:rPr>
          <w:rFonts w:ascii="Times New Roman" w:hAnsi="Times New Roman" w:cs="Times New Roman"/>
        </w:rPr>
        <w:t>emphasis</w:t>
      </w:r>
      <w:proofErr w:type="gramEnd"/>
      <w:r w:rsidRPr="008D16C3">
        <w:rPr>
          <w:rFonts w:ascii="Times New Roman" w:hAnsi="Times New Roman" w:cs="Times New Roman"/>
        </w:rPr>
        <w:t xml:space="preserve"> added).  </w:t>
      </w:r>
    </w:p>
    <w:p w:rsidR="00176F65" w:rsidRPr="008D16C3" w:rsidRDefault="00176F65" w:rsidP="00176F65">
      <w:pPr>
        <w:pStyle w:val="FootnoteText"/>
        <w:rPr>
          <w:rFonts w:ascii="Times New Roman" w:hAnsi="Times New Roman" w:cs="Times New Roman"/>
        </w:rPr>
      </w:pPr>
    </w:p>
  </w:footnote>
  <w:footnote w:id="4">
    <w:p w:rsidR="004852CF" w:rsidRPr="008D16C3" w:rsidRDefault="004852CF">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001766C9" w:rsidRPr="008D16C3">
        <w:rPr>
          <w:rFonts w:ascii="Times New Roman" w:hAnsi="Times New Roman" w:cs="Times New Roman"/>
        </w:rPr>
        <w:tab/>
      </w:r>
      <w:r w:rsidRPr="008D16C3">
        <w:rPr>
          <w:rFonts w:ascii="Times New Roman" w:hAnsi="Times New Roman" w:cs="Times New Roman"/>
        </w:rPr>
        <w:t xml:space="preserve">NFX notes that the Commission has promulgated new rules for the execution of block trades in the context of swaps transactions.  As futures contracts were not included in that rulemaking NFX does not consider Part 43 to apply to a DCM exclusively trading futures contracts.  </w:t>
      </w:r>
    </w:p>
  </w:footnote>
  <w:footnote w:id="5">
    <w:p w:rsidR="004852CF" w:rsidRPr="008D16C3" w:rsidRDefault="004852CF">
      <w:pPr>
        <w:pStyle w:val="FootnoteText"/>
        <w:rPr>
          <w:rFonts w:ascii="Times New Roman" w:hAnsi="Times New Roman" w:cs="Times New Roman"/>
        </w:rPr>
      </w:pPr>
    </w:p>
    <w:p w:rsidR="00055248" w:rsidRPr="008D16C3" w:rsidRDefault="00055248">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001766C9" w:rsidRPr="008D16C3">
        <w:rPr>
          <w:rFonts w:ascii="Times New Roman" w:hAnsi="Times New Roman" w:cs="Times New Roman"/>
        </w:rPr>
        <w:tab/>
      </w:r>
      <w:r w:rsidRPr="008D16C3">
        <w:rPr>
          <w:rFonts w:ascii="Times New Roman" w:hAnsi="Times New Roman" w:cs="Times New Roman"/>
        </w:rPr>
        <w:t>See 73 FR 54097</w:t>
      </w:r>
      <w:r w:rsidR="00A95BA4" w:rsidRPr="008D16C3">
        <w:rPr>
          <w:rFonts w:ascii="Times New Roman" w:hAnsi="Times New Roman" w:cs="Times New Roman"/>
        </w:rPr>
        <w:t>, Exhibit A</w:t>
      </w:r>
      <w:r w:rsidRPr="008D16C3">
        <w:rPr>
          <w:rFonts w:ascii="Times New Roman" w:hAnsi="Times New Roman" w:cs="Times New Roman"/>
        </w:rPr>
        <w:t xml:space="preserve">. </w:t>
      </w:r>
    </w:p>
    <w:p w:rsidR="00310CD2" w:rsidRPr="008D16C3" w:rsidRDefault="00310CD2">
      <w:pPr>
        <w:pStyle w:val="FootnoteText"/>
        <w:rPr>
          <w:rFonts w:ascii="Times New Roman" w:hAnsi="Times New Roman" w:cs="Times New Roman"/>
        </w:rPr>
      </w:pPr>
    </w:p>
  </w:footnote>
  <w:footnote w:id="6">
    <w:p w:rsidR="00A825D9" w:rsidRPr="008D16C3" w:rsidRDefault="00A825D9">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001766C9" w:rsidRPr="008D16C3">
        <w:rPr>
          <w:rFonts w:ascii="Times New Roman" w:hAnsi="Times New Roman" w:cs="Times New Roman"/>
        </w:rPr>
        <w:tab/>
      </w:r>
      <w:r w:rsidRPr="008D16C3">
        <w:rPr>
          <w:rFonts w:ascii="Times New Roman" w:hAnsi="Times New Roman" w:cs="Times New Roman"/>
        </w:rPr>
        <w:t xml:space="preserve">Id at 54098.  </w:t>
      </w:r>
    </w:p>
    <w:p w:rsidR="00CF6BD3" w:rsidRPr="008D16C3" w:rsidRDefault="00CF6BD3">
      <w:pPr>
        <w:pStyle w:val="FootnoteText"/>
        <w:rPr>
          <w:rFonts w:ascii="Times New Roman" w:hAnsi="Times New Roman" w:cs="Times New Roman"/>
        </w:rPr>
      </w:pPr>
    </w:p>
  </w:footnote>
  <w:footnote w:id="7">
    <w:p w:rsidR="008D16C3" w:rsidRDefault="008D16C3">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Pr="008D16C3">
        <w:rPr>
          <w:rFonts w:ascii="Times New Roman" w:hAnsi="Times New Roman" w:cs="Times New Roman"/>
        </w:rPr>
        <w:tab/>
        <w:t xml:space="preserve">Exhibit A at 54100.  </w:t>
      </w:r>
    </w:p>
    <w:p w:rsidR="002D540D" w:rsidRPr="008D16C3" w:rsidRDefault="002D540D">
      <w:pPr>
        <w:pStyle w:val="FootnoteText"/>
        <w:rPr>
          <w:rFonts w:ascii="Times New Roman" w:hAnsi="Times New Roman" w:cs="Times New Roman"/>
        </w:rPr>
      </w:pPr>
    </w:p>
  </w:footnote>
  <w:footnote w:id="8">
    <w:p w:rsidR="002D540D" w:rsidRPr="00176F65" w:rsidRDefault="002D540D" w:rsidP="002D540D">
      <w:pPr>
        <w:pStyle w:val="FootnoteText"/>
        <w:rPr>
          <w:rFonts w:ascii="Times New Roman" w:hAnsi="Times New Roman" w:cs="Times New Roman"/>
          <w:color w:val="FF0000"/>
        </w:rPr>
      </w:pPr>
      <w:r w:rsidRPr="00176F65">
        <w:rPr>
          <w:rStyle w:val="FootnoteReference"/>
          <w:rFonts w:ascii="Times New Roman" w:hAnsi="Times New Roman" w:cs="Times New Roman"/>
        </w:rPr>
        <w:footnoteRef/>
      </w:r>
      <w:r w:rsidRPr="00176F65">
        <w:rPr>
          <w:rFonts w:ascii="Times New Roman" w:hAnsi="Times New Roman" w:cs="Times New Roman"/>
        </w:rPr>
        <w:t xml:space="preserve"> </w:t>
      </w:r>
      <w:r w:rsidRPr="00176F65">
        <w:rPr>
          <w:rFonts w:ascii="Times New Roman" w:hAnsi="Times New Roman" w:cs="Times New Roman"/>
        </w:rPr>
        <w:tab/>
        <w:t xml:space="preserve">The </w:t>
      </w:r>
      <w:r>
        <w:rPr>
          <w:rFonts w:ascii="Times New Roman" w:hAnsi="Times New Roman" w:cs="Times New Roman"/>
        </w:rPr>
        <w:t>f</w:t>
      </w:r>
      <w:r w:rsidRPr="00176F65">
        <w:rPr>
          <w:rFonts w:ascii="Times New Roman" w:hAnsi="Times New Roman" w:cs="Times New Roman"/>
        </w:rPr>
        <w:t xml:space="preserve">ront </w:t>
      </w:r>
      <w:r>
        <w:rPr>
          <w:rFonts w:ascii="Times New Roman" w:hAnsi="Times New Roman" w:cs="Times New Roman"/>
        </w:rPr>
        <w:t>m</w:t>
      </w:r>
      <w:r w:rsidRPr="00176F65">
        <w:rPr>
          <w:rFonts w:ascii="Times New Roman" w:hAnsi="Times New Roman" w:cs="Times New Roman"/>
        </w:rPr>
        <w:t xml:space="preserve">onth refers to the contract month that is the nearest expiry month in relation to the trade date of the </w:t>
      </w:r>
      <w:r>
        <w:rPr>
          <w:rFonts w:ascii="Times New Roman" w:hAnsi="Times New Roman" w:cs="Times New Roman"/>
        </w:rPr>
        <w:t>transaction.  The b</w:t>
      </w:r>
      <w:r w:rsidRPr="00176F65">
        <w:rPr>
          <w:rFonts w:ascii="Times New Roman" w:hAnsi="Times New Roman" w:cs="Times New Roman"/>
        </w:rPr>
        <w:t xml:space="preserve">ack </w:t>
      </w:r>
      <w:r>
        <w:rPr>
          <w:rFonts w:ascii="Times New Roman" w:hAnsi="Times New Roman" w:cs="Times New Roman"/>
        </w:rPr>
        <w:t>m</w:t>
      </w:r>
      <w:r w:rsidRPr="00176F65">
        <w:rPr>
          <w:rFonts w:ascii="Times New Roman" w:hAnsi="Times New Roman" w:cs="Times New Roman"/>
        </w:rPr>
        <w:t xml:space="preserve">onth is any expiry month later in time than the </w:t>
      </w:r>
      <w:r w:rsidR="00DA0157">
        <w:rPr>
          <w:rFonts w:ascii="Times New Roman" w:hAnsi="Times New Roman" w:cs="Times New Roman"/>
        </w:rPr>
        <w:t>f</w:t>
      </w:r>
      <w:r w:rsidRPr="00176F65">
        <w:rPr>
          <w:rFonts w:ascii="Times New Roman" w:hAnsi="Times New Roman" w:cs="Times New Roman"/>
        </w:rPr>
        <w:t xml:space="preserve">ront </w:t>
      </w:r>
      <w:r w:rsidR="00DA0157">
        <w:rPr>
          <w:rFonts w:ascii="Times New Roman" w:hAnsi="Times New Roman" w:cs="Times New Roman"/>
        </w:rPr>
        <w:t>m</w:t>
      </w:r>
      <w:r w:rsidRPr="00176F65">
        <w:rPr>
          <w:rFonts w:ascii="Times New Roman" w:hAnsi="Times New Roman" w:cs="Times New Roman"/>
        </w:rPr>
        <w:t xml:space="preserve">onth.  </w:t>
      </w:r>
    </w:p>
  </w:footnote>
  <w:footnote w:id="9">
    <w:p w:rsidR="001967DB" w:rsidRPr="008D16C3" w:rsidRDefault="001967DB">
      <w:pPr>
        <w:pStyle w:val="FootnoteText"/>
        <w:rPr>
          <w:rFonts w:ascii="Times New Roman" w:hAnsi="Times New Roman" w:cs="Times New Roman"/>
        </w:rPr>
      </w:pPr>
    </w:p>
    <w:p w:rsidR="001967DB" w:rsidRPr="008D16C3" w:rsidRDefault="001967DB">
      <w:pPr>
        <w:pStyle w:val="FootnoteText"/>
        <w:rPr>
          <w:rFonts w:ascii="Times New Roman" w:hAnsi="Times New Roman" w:cs="Times New Roman"/>
        </w:rPr>
      </w:pPr>
      <w:r w:rsidRPr="008D16C3">
        <w:rPr>
          <w:rStyle w:val="FootnoteReference"/>
          <w:rFonts w:ascii="Times New Roman" w:hAnsi="Times New Roman" w:cs="Times New Roman"/>
        </w:rPr>
        <w:footnoteRef/>
      </w:r>
      <w:r w:rsidRPr="008D16C3">
        <w:rPr>
          <w:rFonts w:ascii="Times New Roman" w:hAnsi="Times New Roman" w:cs="Times New Roman"/>
        </w:rPr>
        <w:t xml:space="preserve"> </w:t>
      </w:r>
      <w:r w:rsidR="001766C9" w:rsidRPr="008D16C3">
        <w:rPr>
          <w:rFonts w:ascii="Times New Roman" w:hAnsi="Times New Roman" w:cs="Times New Roman"/>
        </w:rPr>
        <w:tab/>
      </w:r>
      <w:r w:rsidRPr="008D16C3">
        <w:rPr>
          <w:rFonts w:ascii="Times New Roman" w:hAnsi="Times New Roman" w:cs="Times New Roman"/>
        </w:rPr>
        <w:t>73 FR at 54098</w:t>
      </w:r>
      <w:r w:rsidR="00062806" w:rsidRPr="008D16C3">
        <w:rPr>
          <w:rFonts w:ascii="Times New Roman" w:hAnsi="Times New Roman" w:cs="Times New Roman"/>
        </w:rPr>
        <w:t>, See “B. Core Principle 9 Guidance and Acceptable Practices”.</w:t>
      </w:r>
      <w:r w:rsidRPr="008D16C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A83B1E">
      <w:rPr>
        <w:rFonts w:ascii="Times New Roman" w:hAnsi="Times New Roman" w:cs="Times New Roman"/>
        <w:noProof/>
        <w:sz w:val="20"/>
        <w:szCs w:val="20"/>
      </w:rPr>
      <w:t>November 20, 2018</w:t>
    </w:r>
    <w:r>
      <w:rPr>
        <w:rFonts w:ascii="Times New Roman" w:hAnsi="Times New Roman" w:cs="Times New Roman"/>
        <w:sz w:val="20"/>
        <w:szCs w:val="20"/>
      </w:rPr>
      <w:fldChar w:fldCharType="end"/>
    </w:r>
  </w:p>
  <w:p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DB2C9C">
      <w:rPr>
        <w:rFonts w:ascii="Times New Roman" w:hAnsi="Times New Roman" w:cs="Times New Roman"/>
        <w:sz w:val="20"/>
        <w:szCs w:val="20"/>
      </w:rPr>
      <w:t>61</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83B1E">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Default="00E12802" w:rsidP="00E12802">
    <w:pPr>
      <w:pStyle w:val="Header"/>
      <w:ind w:firstLine="6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55248"/>
    <w:rsid w:val="00060ABA"/>
    <w:rsid w:val="00062806"/>
    <w:rsid w:val="00067D8D"/>
    <w:rsid w:val="0008423C"/>
    <w:rsid w:val="00085800"/>
    <w:rsid w:val="00092072"/>
    <w:rsid w:val="000E26AE"/>
    <w:rsid w:val="000E415C"/>
    <w:rsid w:val="000F42A1"/>
    <w:rsid w:val="001079DF"/>
    <w:rsid w:val="0012529D"/>
    <w:rsid w:val="00154FD5"/>
    <w:rsid w:val="001766C9"/>
    <w:rsid w:val="00176F65"/>
    <w:rsid w:val="001967DB"/>
    <w:rsid w:val="001C3921"/>
    <w:rsid w:val="001E1E40"/>
    <w:rsid w:val="00204EC5"/>
    <w:rsid w:val="00212694"/>
    <w:rsid w:val="00224C75"/>
    <w:rsid w:val="002432F0"/>
    <w:rsid w:val="00253701"/>
    <w:rsid w:val="002C0A34"/>
    <w:rsid w:val="002D0A0B"/>
    <w:rsid w:val="002D540D"/>
    <w:rsid w:val="00310CD2"/>
    <w:rsid w:val="00317C2C"/>
    <w:rsid w:val="003471CA"/>
    <w:rsid w:val="00363DDA"/>
    <w:rsid w:val="003775E4"/>
    <w:rsid w:val="003A079B"/>
    <w:rsid w:val="003C5843"/>
    <w:rsid w:val="003D40B8"/>
    <w:rsid w:val="004008C0"/>
    <w:rsid w:val="00422E14"/>
    <w:rsid w:val="00426803"/>
    <w:rsid w:val="00440A32"/>
    <w:rsid w:val="00483BDC"/>
    <w:rsid w:val="004852CF"/>
    <w:rsid w:val="004965FA"/>
    <w:rsid w:val="004A4F3D"/>
    <w:rsid w:val="004A53F9"/>
    <w:rsid w:val="004B0524"/>
    <w:rsid w:val="004D7E5D"/>
    <w:rsid w:val="00533C44"/>
    <w:rsid w:val="00543CA2"/>
    <w:rsid w:val="00555676"/>
    <w:rsid w:val="005716B3"/>
    <w:rsid w:val="005738EE"/>
    <w:rsid w:val="0058048B"/>
    <w:rsid w:val="005A08AE"/>
    <w:rsid w:val="005B0B7C"/>
    <w:rsid w:val="005E3020"/>
    <w:rsid w:val="005F3337"/>
    <w:rsid w:val="006251EF"/>
    <w:rsid w:val="00682A97"/>
    <w:rsid w:val="006848CF"/>
    <w:rsid w:val="006B3A2F"/>
    <w:rsid w:val="006B7EA8"/>
    <w:rsid w:val="006E7A2A"/>
    <w:rsid w:val="006F5C4F"/>
    <w:rsid w:val="007076E9"/>
    <w:rsid w:val="00757A45"/>
    <w:rsid w:val="0076713B"/>
    <w:rsid w:val="00783553"/>
    <w:rsid w:val="007958C5"/>
    <w:rsid w:val="007B4DB5"/>
    <w:rsid w:val="007B6CE2"/>
    <w:rsid w:val="007C7601"/>
    <w:rsid w:val="00821537"/>
    <w:rsid w:val="0082421C"/>
    <w:rsid w:val="008251FD"/>
    <w:rsid w:val="008321A8"/>
    <w:rsid w:val="0083533B"/>
    <w:rsid w:val="00843252"/>
    <w:rsid w:val="00844DC3"/>
    <w:rsid w:val="00846BAF"/>
    <w:rsid w:val="00893E15"/>
    <w:rsid w:val="008A5459"/>
    <w:rsid w:val="008B041F"/>
    <w:rsid w:val="008C3F5C"/>
    <w:rsid w:val="008D16C3"/>
    <w:rsid w:val="008D65C6"/>
    <w:rsid w:val="008F7875"/>
    <w:rsid w:val="00900F9B"/>
    <w:rsid w:val="0092080A"/>
    <w:rsid w:val="00921E78"/>
    <w:rsid w:val="00930D3A"/>
    <w:rsid w:val="0095411C"/>
    <w:rsid w:val="0096726E"/>
    <w:rsid w:val="009D0582"/>
    <w:rsid w:val="00A300F4"/>
    <w:rsid w:val="00A476FF"/>
    <w:rsid w:val="00A5669E"/>
    <w:rsid w:val="00A75040"/>
    <w:rsid w:val="00A825D9"/>
    <w:rsid w:val="00A83B1E"/>
    <w:rsid w:val="00A87162"/>
    <w:rsid w:val="00A9381E"/>
    <w:rsid w:val="00A95BA4"/>
    <w:rsid w:val="00AB2F14"/>
    <w:rsid w:val="00AD7CB9"/>
    <w:rsid w:val="00AF2F32"/>
    <w:rsid w:val="00B4671D"/>
    <w:rsid w:val="00B53FAF"/>
    <w:rsid w:val="00B6532A"/>
    <w:rsid w:val="00B67EEB"/>
    <w:rsid w:val="00BA0469"/>
    <w:rsid w:val="00BD5F72"/>
    <w:rsid w:val="00BF3AF0"/>
    <w:rsid w:val="00C060BA"/>
    <w:rsid w:val="00C12C1D"/>
    <w:rsid w:val="00C15D92"/>
    <w:rsid w:val="00C21CE4"/>
    <w:rsid w:val="00C4068B"/>
    <w:rsid w:val="00C52108"/>
    <w:rsid w:val="00CA52C3"/>
    <w:rsid w:val="00CA6E45"/>
    <w:rsid w:val="00CB53DA"/>
    <w:rsid w:val="00CF6BD3"/>
    <w:rsid w:val="00D0050D"/>
    <w:rsid w:val="00D327C6"/>
    <w:rsid w:val="00D60246"/>
    <w:rsid w:val="00D6561E"/>
    <w:rsid w:val="00D70718"/>
    <w:rsid w:val="00D730EE"/>
    <w:rsid w:val="00D77376"/>
    <w:rsid w:val="00D84895"/>
    <w:rsid w:val="00DA0157"/>
    <w:rsid w:val="00DA293C"/>
    <w:rsid w:val="00DA2CFC"/>
    <w:rsid w:val="00DB2C9C"/>
    <w:rsid w:val="00E1206A"/>
    <w:rsid w:val="00E12802"/>
    <w:rsid w:val="00E34482"/>
    <w:rsid w:val="00E52F30"/>
    <w:rsid w:val="00E74C83"/>
    <w:rsid w:val="00E81B1B"/>
    <w:rsid w:val="00E85116"/>
    <w:rsid w:val="00E95A6B"/>
    <w:rsid w:val="00EC432B"/>
    <w:rsid w:val="00F02F13"/>
    <w:rsid w:val="00F177C3"/>
    <w:rsid w:val="00F20122"/>
    <w:rsid w:val="00F362DA"/>
    <w:rsid w:val="00F452FD"/>
    <w:rsid w:val="00F46F97"/>
    <w:rsid w:val="00F86B2E"/>
    <w:rsid w:val="00F93853"/>
    <w:rsid w:val="00FB3245"/>
    <w:rsid w:val="00FC0995"/>
    <w:rsid w:val="00FF3643"/>
    <w:rsid w:val="00FF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6B533"/>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 w:id="701247871">
      <w:bodyDiv w:val="1"/>
      <w:marLeft w:val="0"/>
      <w:marRight w:val="0"/>
      <w:marTop w:val="0"/>
      <w:marBottom w:val="0"/>
      <w:divBdr>
        <w:top w:val="none" w:sz="0" w:space="0" w:color="auto"/>
        <w:left w:val="none" w:sz="0" w:space="0" w:color="auto"/>
        <w:bottom w:val="none" w:sz="0" w:space="0" w:color="auto"/>
        <w:right w:val="none" w:sz="0" w:space="0" w:color="auto"/>
      </w:divBdr>
    </w:div>
    <w:div w:id="20743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67d90c39-5065-41a6-961c-9a4ce8c83776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2018-11-20T22:11:09+00:00</Document_x0020_Date>
    <Document_x0020_No xmlns="4b47aac5-4c46-444f-8595-ce09b406fc61">45018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6708-3A95-4562-A19E-A0F7F8B745CC}"/>
</file>

<file path=customXml/itemProps2.xml><?xml version="1.0" encoding="utf-8"?>
<ds:datastoreItem xmlns:ds="http://schemas.openxmlformats.org/officeDocument/2006/customXml" ds:itemID="{1ECBB18B-C3D8-488D-8064-5B7F71B957B8}"/>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6734ABC7-860E-429C-9DC4-5E8D7497891D}"/>
</file>

<file path=customXml/itemProps5.xml><?xml version="1.0" encoding="utf-8"?>
<ds:datastoreItem xmlns:ds="http://schemas.openxmlformats.org/officeDocument/2006/customXml" ds:itemID="{54C75536-D5DE-43A3-A8F3-80BD379213AE}"/>
</file>

<file path=docProps/app.xml><?xml version="1.0" encoding="utf-8"?>
<Properties xmlns="http://schemas.openxmlformats.org/officeDocument/2006/extended-properties" xmlns:vt="http://schemas.openxmlformats.org/officeDocument/2006/docPropsVTypes">
  <Template>Normal</Template>
  <TotalTime>53</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Janet Chanchal</cp:lastModifiedBy>
  <cp:revision>14</cp:revision>
  <cp:lastPrinted>2018-11-15T19:41:00Z</cp:lastPrinted>
  <dcterms:created xsi:type="dcterms:W3CDTF">2018-11-20T19:53:00Z</dcterms:created>
  <dcterms:modified xsi:type="dcterms:W3CDTF">2018-11-20T22:08:00Z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6545100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