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94AE2" w14:textId="77777777" w:rsidR="00DF1942" w:rsidRPr="00151B94" w:rsidRDefault="00DF1942" w:rsidP="00DF1942">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6E78EBC8" wp14:editId="2FFA3B8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B42D2B">
        <w:rPr>
          <w:rFonts w:ascii="Times New Roman" w:eastAsia="Calibri" w:hAnsi="Times New Roman" w:cs="Times New Roman"/>
          <w:noProof/>
          <w:sz w:val="24"/>
          <w:szCs w:val="24"/>
        </w:rPr>
        <w:t>November 20,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0964D7">
        <w:rPr>
          <w:sz w:val="18"/>
          <w:szCs w:val="18"/>
        </w:rPr>
        <w:t>N</w:t>
      </w:r>
      <w:r w:rsidRPr="00151B94">
        <w:rPr>
          <w:sz w:val="18"/>
          <w:szCs w:val="18"/>
        </w:rPr>
        <w:t>asdaq Futures, Inc.</w:t>
      </w:r>
      <w:proofErr w:type="gramEnd"/>
    </w:p>
    <w:p w14:paraId="141AA93B" w14:textId="77777777" w:rsidR="00DF1942" w:rsidRPr="00E1206A" w:rsidRDefault="00DF1942" w:rsidP="00DF1942">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5DDAE9EA"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14:paraId="324C99AA"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14:paraId="3FAFD890"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14:paraId="5813E2EE"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14:paraId="0DF59D67"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22A44333"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12B2B9A5" w14:textId="77777777" w:rsidR="00DF1942" w:rsidRPr="00E1206A" w:rsidRDefault="00DF1942" w:rsidP="00DF1942">
      <w:pPr>
        <w:pStyle w:val="NoSpacing"/>
        <w:rPr>
          <w:rFonts w:ascii="Times New Roman" w:eastAsia="Times New Roman" w:hAnsi="Times New Roman" w:cs="Times New Roman"/>
          <w:sz w:val="24"/>
          <w:szCs w:val="24"/>
        </w:rPr>
      </w:pPr>
    </w:p>
    <w:p w14:paraId="31216E22" w14:textId="0D34D591" w:rsidR="00DF1942" w:rsidRPr="002D558A" w:rsidRDefault="00DF1942" w:rsidP="00CD108F">
      <w:pPr>
        <w:pStyle w:val="NoSpacing"/>
        <w:ind w:left="2880" w:hanging="2880"/>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CD108F">
        <w:rPr>
          <w:rFonts w:ascii="Times New Roman" w:eastAsia="Calibri" w:hAnsi="Times New Roman" w:cs="Times New Roman"/>
          <w:b/>
          <w:sz w:val="24"/>
          <w:szCs w:val="24"/>
        </w:rPr>
        <w:t xml:space="preserve">Dry Freight Contracts </w:t>
      </w:r>
    </w:p>
    <w:p w14:paraId="6A8AEB7C" w14:textId="5E3A561D" w:rsidR="00DF1942" w:rsidRPr="00E1206A" w:rsidRDefault="00DF1942" w:rsidP="00DF1942">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Pr="007B139D">
        <w:rPr>
          <w:rFonts w:ascii="Times New Roman" w:eastAsia="Calibri" w:hAnsi="Times New Roman" w:cs="Times New Roman"/>
          <w:b/>
          <w:sz w:val="24"/>
          <w:szCs w:val="24"/>
          <w:u w:val="single"/>
        </w:rPr>
        <w:t>SR-NFX-201</w:t>
      </w:r>
      <w:r w:rsidR="001653B5">
        <w:rPr>
          <w:rFonts w:ascii="Times New Roman" w:eastAsia="Calibri" w:hAnsi="Times New Roman" w:cs="Times New Roman"/>
          <w:b/>
          <w:sz w:val="24"/>
          <w:szCs w:val="24"/>
          <w:u w:val="single"/>
        </w:rPr>
        <w:t>8</w:t>
      </w:r>
      <w:r w:rsidRPr="007B139D">
        <w:rPr>
          <w:rFonts w:ascii="Times New Roman" w:eastAsia="Calibri" w:hAnsi="Times New Roman" w:cs="Times New Roman"/>
          <w:b/>
          <w:sz w:val="24"/>
          <w:szCs w:val="24"/>
          <w:u w:val="single"/>
        </w:rPr>
        <w:t>-</w:t>
      </w:r>
      <w:r w:rsidR="00CD108F" w:rsidRPr="00CD108F">
        <w:rPr>
          <w:rFonts w:ascii="Times New Roman" w:eastAsia="Calibri" w:hAnsi="Times New Roman" w:cs="Times New Roman"/>
          <w:b/>
          <w:sz w:val="24"/>
          <w:szCs w:val="24"/>
          <w:u w:val="single"/>
        </w:rPr>
        <w:t>62</w:t>
      </w:r>
    </w:p>
    <w:p w14:paraId="347B0934" w14:textId="77777777" w:rsidR="0008423C" w:rsidRPr="00E1206A" w:rsidRDefault="0008423C" w:rsidP="0008423C">
      <w:pPr>
        <w:pStyle w:val="NoSpacing"/>
        <w:ind w:left="720" w:hanging="720"/>
        <w:rPr>
          <w:rFonts w:ascii="Times New Roman" w:hAnsi="Times New Roman" w:cs="Times New Roman"/>
          <w:b/>
          <w:sz w:val="24"/>
          <w:szCs w:val="24"/>
          <w:u w:val="single"/>
        </w:rPr>
      </w:pPr>
    </w:p>
    <w:p w14:paraId="347B0935"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14:paraId="347B0936" w14:textId="77777777" w:rsidR="0008423C" w:rsidRPr="00E1206A" w:rsidRDefault="0008423C" w:rsidP="0008423C">
      <w:pPr>
        <w:pStyle w:val="NoSpacing"/>
        <w:rPr>
          <w:rFonts w:ascii="Times New Roman" w:eastAsia="Calibri" w:hAnsi="Times New Roman" w:cs="Times New Roman"/>
          <w:sz w:val="24"/>
          <w:szCs w:val="24"/>
        </w:rPr>
      </w:pPr>
    </w:p>
    <w:p w14:paraId="347B0937" w14:textId="5771E4BA" w:rsidR="00154FD5" w:rsidRPr="00E1206A" w:rsidRDefault="005E3020" w:rsidP="00154FD5">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Pursuant to Section 5c(c)(1)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xml:space="preserve">”) hereby submits rules relating to block trade minimum quantity thresholds and </w:t>
      </w:r>
      <w:r w:rsidR="00CD108F">
        <w:rPr>
          <w:rFonts w:ascii="Times New Roman" w:eastAsia="Calibri" w:hAnsi="Times New Roman" w:cs="Times New Roman"/>
          <w:sz w:val="24"/>
          <w:szCs w:val="24"/>
        </w:rPr>
        <w:t xml:space="preserve">transaction fees </w:t>
      </w:r>
      <w:r w:rsidRPr="00E1206A">
        <w:rPr>
          <w:rFonts w:ascii="Times New Roman" w:eastAsia="Calibri" w:hAnsi="Times New Roman" w:cs="Times New Roman"/>
          <w:sz w:val="24"/>
          <w:szCs w:val="24"/>
        </w:rPr>
        <w:t xml:space="preserve">for </w:t>
      </w:r>
      <w:r w:rsidR="00CD108F">
        <w:rPr>
          <w:rFonts w:ascii="Times New Roman" w:eastAsia="Calibri" w:hAnsi="Times New Roman" w:cs="Times New Roman"/>
          <w:sz w:val="24"/>
          <w:szCs w:val="24"/>
        </w:rPr>
        <w:t xml:space="preserve">new NFX Dry Freight Contracts </w:t>
      </w:r>
      <w:r w:rsidRPr="00E1206A">
        <w:rPr>
          <w:rFonts w:ascii="Times New Roman" w:eastAsia="Calibri" w:hAnsi="Times New Roman" w:cs="Times New Roman"/>
          <w:sz w:val="24"/>
          <w:szCs w:val="24"/>
        </w:rPr>
        <w:t>(“</w:t>
      </w:r>
      <w:r w:rsidR="00CD108F">
        <w:rPr>
          <w:rFonts w:ascii="Times New Roman" w:eastAsia="Calibri" w:hAnsi="Times New Roman" w:cs="Times New Roman"/>
          <w:sz w:val="24"/>
          <w:szCs w:val="24"/>
        </w:rPr>
        <w:t>Dry Freight Contracts</w:t>
      </w:r>
      <w:r w:rsidRPr="00E1206A">
        <w:rPr>
          <w:rFonts w:ascii="Times New Roman" w:eastAsia="Calibri" w:hAnsi="Times New Roman" w:cs="Times New Roman"/>
          <w:sz w:val="24"/>
          <w:szCs w:val="24"/>
        </w:rPr>
        <w:t xml:space="preserve">”).  </w:t>
      </w:r>
      <w:r w:rsidR="00154FD5" w:rsidRPr="00E1206A">
        <w:rPr>
          <w:rFonts w:ascii="Times New Roman" w:eastAsia="Calibri" w:hAnsi="Times New Roman" w:cs="Times New Roman"/>
          <w:sz w:val="24"/>
          <w:szCs w:val="24"/>
        </w:rPr>
        <w:t xml:space="preserve">The Exchange anticipates listing the </w:t>
      </w:r>
      <w:r w:rsidR="00CD108F">
        <w:rPr>
          <w:rFonts w:ascii="Times New Roman" w:eastAsia="Calibri" w:hAnsi="Times New Roman" w:cs="Times New Roman"/>
          <w:sz w:val="24"/>
          <w:szCs w:val="24"/>
        </w:rPr>
        <w:t>Dry Freight Contracts</w:t>
      </w:r>
      <w:r w:rsidR="00CD108F" w:rsidRPr="00E1206A">
        <w:rPr>
          <w:rFonts w:ascii="Times New Roman" w:eastAsia="Calibri" w:hAnsi="Times New Roman" w:cs="Times New Roman"/>
          <w:sz w:val="24"/>
          <w:szCs w:val="24"/>
        </w:rPr>
        <w:t xml:space="preserve"> </w:t>
      </w:r>
      <w:r w:rsidR="00154FD5" w:rsidRPr="00E1206A">
        <w:rPr>
          <w:rFonts w:ascii="Times New Roman" w:eastAsia="Calibri" w:hAnsi="Times New Roman" w:cs="Times New Roman"/>
          <w:sz w:val="24"/>
          <w:szCs w:val="24"/>
        </w:rPr>
        <w:t xml:space="preserve">beginning </w:t>
      </w:r>
      <w:r w:rsidR="00CD108F">
        <w:rPr>
          <w:rFonts w:ascii="Times New Roman" w:eastAsia="Calibri" w:hAnsi="Times New Roman" w:cs="Times New Roman"/>
          <w:sz w:val="24"/>
          <w:szCs w:val="24"/>
        </w:rPr>
        <w:t>December 6, 2018</w:t>
      </w:r>
      <w:r w:rsidR="00154FD5" w:rsidRPr="00E1206A">
        <w:rPr>
          <w:rFonts w:ascii="Times New Roman" w:eastAsia="Calibri" w:hAnsi="Times New Roman" w:cs="Times New Roman"/>
          <w:sz w:val="24"/>
          <w:szCs w:val="24"/>
        </w:rPr>
        <w:t xml:space="preserve">, for trade date </w:t>
      </w:r>
      <w:r w:rsidR="00CD108F">
        <w:rPr>
          <w:rFonts w:ascii="Times New Roman" w:eastAsia="Calibri" w:hAnsi="Times New Roman" w:cs="Times New Roman"/>
          <w:sz w:val="24"/>
          <w:szCs w:val="24"/>
        </w:rPr>
        <w:t>December 7, 2018</w:t>
      </w:r>
      <w:r w:rsidR="00154FD5" w:rsidRPr="00E1206A">
        <w:rPr>
          <w:rFonts w:ascii="Times New Roman" w:eastAsia="Calibri" w:hAnsi="Times New Roman" w:cs="Times New Roman"/>
          <w:sz w:val="24"/>
          <w:szCs w:val="24"/>
        </w:rPr>
        <w:t xml:space="preserve">.  The amendments proposed in this submission shall be effective on the listing date.  </w:t>
      </w:r>
    </w:p>
    <w:p w14:paraId="347B0938" w14:textId="77777777" w:rsidR="0008423C" w:rsidRPr="00E1206A" w:rsidRDefault="0008423C" w:rsidP="00154FD5">
      <w:pPr>
        <w:pStyle w:val="NoSpacing"/>
        <w:ind w:firstLine="720"/>
        <w:rPr>
          <w:rFonts w:ascii="Times New Roman" w:eastAsia="Calibri" w:hAnsi="Times New Roman" w:cs="Times New Roman"/>
          <w:sz w:val="24"/>
          <w:szCs w:val="24"/>
        </w:rPr>
      </w:pPr>
    </w:p>
    <w:p w14:paraId="347B0939" w14:textId="538CB89E" w:rsidR="00154FD5" w:rsidRPr="00E1206A" w:rsidRDefault="00154FD5" w:rsidP="00154FD5">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 xml:space="preserve">The name of each </w:t>
      </w:r>
      <w:r w:rsidR="00CD108F">
        <w:rPr>
          <w:rFonts w:ascii="Times New Roman" w:eastAsia="Calibri" w:hAnsi="Times New Roman" w:cs="Times New Roman"/>
          <w:sz w:val="24"/>
          <w:szCs w:val="24"/>
        </w:rPr>
        <w:t>Dry Freight Contract</w:t>
      </w:r>
      <w:r w:rsidR="00CD108F" w:rsidRPr="00E1206A">
        <w:rPr>
          <w:rFonts w:ascii="Times New Roman" w:eastAsia="Calibri" w:hAnsi="Times New Roman" w:cs="Times New Roman"/>
          <w:sz w:val="24"/>
          <w:szCs w:val="24"/>
        </w:rPr>
        <w:t xml:space="preserve"> </w:t>
      </w:r>
      <w:r w:rsidRPr="00E1206A">
        <w:rPr>
          <w:rFonts w:ascii="Times New Roman" w:eastAsia="Calibri" w:hAnsi="Times New Roman" w:cs="Times New Roman"/>
          <w:sz w:val="24"/>
          <w:szCs w:val="24"/>
        </w:rPr>
        <w:t xml:space="preserve">is listed below, followed by its symbol in parentheses:  </w:t>
      </w:r>
    </w:p>
    <w:p w14:paraId="2955011E" w14:textId="00E62794" w:rsidR="00CD108F" w:rsidRPr="00CD108F" w:rsidRDefault="00CD108F" w:rsidP="00CD108F">
      <w:pPr>
        <w:pStyle w:val="NoSpacing"/>
        <w:numPr>
          <w:ilvl w:val="0"/>
          <w:numId w:val="1"/>
        </w:numPr>
        <w:rPr>
          <w:rFonts w:ascii="Times New Roman" w:eastAsia="Times New Roman" w:hAnsi="Times New Roman" w:cs="Times New Roman"/>
          <w:bCs/>
          <w:sz w:val="24"/>
          <w:szCs w:val="24"/>
        </w:rPr>
      </w:pPr>
      <w:r w:rsidRPr="00CD108F">
        <w:rPr>
          <w:rFonts w:ascii="Times New Roman" w:eastAsia="Times New Roman" w:hAnsi="Times New Roman" w:cs="Times New Roman"/>
          <w:bCs/>
          <w:sz w:val="24"/>
          <w:szCs w:val="24"/>
        </w:rPr>
        <w:t>NFX P1A P</w:t>
      </w:r>
      <w:r w:rsidR="009B56FB">
        <w:rPr>
          <w:rFonts w:ascii="Times New Roman" w:eastAsia="Times New Roman" w:hAnsi="Times New Roman" w:cs="Times New Roman"/>
          <w:bCs/>
          <w:sz w:val="24"/>
          <w:szCs w:val="24"/>
        </w:rPr>
        <w:t>anamax T/C Transatlantic RV Mon</w:t>
      </w:r>
      <w:r w:rsidRPr="00CD108F">
        <w:rPr>
          <w:rFonts w:ascii="Times New Roman" w:eastAsia="Times New Roman" w:hAnsi="Times New Roman" w:cs="Times New Roman"/>
          <w:bCs/>
          <w:sz w:val="24"/>
          <w:szCs w:val="24"/>
        </w:rPr>
        <w:t>t</w:t>
      </w:r>
      <w:r w:rsidR="009B56FB">
        <w:rPr>
          <w:rFonts w:ascii="Times New Roman" w:eastAsia="Times New Roman" w:hAnsi="Times New Roman" w:cs="Times New Roman"/>
          <w:bCs/>
          <w:sz w:val="24"/>
          <w:szCs w:val="24"/>
        </w:rPr>
        <w:t>h</w:t>
      </w:r>
      <w:r w:rsidRPr="00CD108F">
        <w:rPr>
          <w:rFonts w:ascii="Times New Roman" w:eastAsia="Times New Roman" w:hAnsi="Times New Roman" w:cs="Times New Roman"/>
          <w:bCs/>
          <w:sz w:val="24"/>
          <w:szCs w:val="24"/>
        </w:rPr>
        <w:t>ly Average Financial Futures (P1EQ)</w:t>
      </w:r>
    </w:p>
    <w:p w14:paraId="0C63AAF3" w14:textId="7EA9EB77" w:rsidR="00CD108F" w:rsidRPr="00CD108F" w:rsidRDefault="00CD108F" w:rsidP="00CD108F">
      <w:pPr>
        <w:pStyle w:val="NoSpacing"/>
        <w:numPr>
          <w:ilvl w:val="0"/>
          <w:numId w:val="1"/>
        </w:numPr>
        <w:rPr>
          <w:rFonts w:ascii="Times New Roman" w:eastAsia="Times New Roman" w:hAnsi="Times New Roman" w:cs="Times New Roman"/>
          <w:bCs/>
          <w:sz w:val="24"/>
          <w:szCs w:val="24"/>
        </w:rPr>
      </w:pPr>
      <w:r w:rsidRPr="00CD108F">
        <w:rPr>
          <w:rFonts w:ascii="Times New Roman" w:eastAsia="Times New Roman" w:hAnsi="Times New Roman" w:cs="Times New Roman"/>
          <w:bCs/>
          <w:sz w:val="24"/>
          <w:szCs w:val="24"/>
        </w:rPr>
        <w:t>NFX P2A Panamax T/C Skaw Gibraltar - Far East Monthly Average Financial Futures (P2EQ)</w:t>
      </w:r>
    </w:p>
    <w:p w14:paraId="347B095E" w14:textId="2C742E1A" w:rsidR="00154FD5" w:rsidRPr="00E1206A" w:rsidRDefault="00B42D2B" w:rsidP="00CD108F">
      <w:pPr>
        <w:pStyle w:val="NoSpacing"/>
        <w:numPr>
          <w:ilvl w:val="0"/>
          <w:numId w:val="1"/>
        </w:numPr>
        <w:rPr>
          <w:rFonts w:ascii="Times New Roman" w:eastAsia="Calibri" w:hAnsi="Times New Roman" w:cs="Times New Roman"/>
          <w:sz w:val="24"/>
          <w:szCs w:val="24"/>
        </w:rPr>
      </w:pPr>
      <w:r>
        <w:rPr>
          <w:rFonts w:ascii="Times New Roman" w:eastAsia="Times New Roman" w:hAnsi="Times New Roman" w:cs="Times New Roman"/>
          <w:bCs/>
          <w:sz w:val="24"/>
          <w:szCs w:val="24"/>
        </w:rPr>
        <w:t>N</w:t>
      </w:r>
      <w:r w:rsidR="00CD108F" w:rsidRPr="00CD108F">
        <w:rPr>
          <w:rFonts w:ascii="Times New Roman" w:eastAsia="Times New Roman" w:hAnsi="Times New Roman" w:cs="Times New Roman"/>
          <w:bCs/>
          <w:sz w:val="24"/>
          <w:szCs w:val="24"/>
        </w:rPr>
        <w:t>FX P3A Panamax T/C Japan - S. Korea Trans Pacific R/V Monthly Average Financial Futures (P3EQ)</w:t>
      </w:r>
      <w:r w:rsidR="00CD108F" w:rsidRPr="00CD108F">
        <w:rPr>
          <w:rFonts w:ascii="Times New Roman" w:eastAsia="Times New Roman" w:hAnsi="Times New Roman" w:cs="Times New Roman"/>
          <w:bCs/>
          <w:sz w:val="24"/>
          <w:szCs w:val="24"/>
          <w:highlight w:val="yellow"/>
        </w:rPr>
        <w:t xml:space="preserve"> </w:t>
      </w:r>
    </w:p>
    <w:p w14:paraId="546B8F31" w14:textId="77777777" w:rsidR="00CD108F" w:rsidRDefault="00CD108F" w:rsidP="0008423C">
      <w:pPr>
        <w:pStyle w:val="NoSpacing"/>
        <w:ind w:firstLine="1310"/>
        <w:rPr>
          <w:rFonts w:ascii="Times New Roman" w:hAnsi="Times New Roman" w:cs="Times New Roman"/>
          <w:sz w:val="24"/>
          <w:szCs w:val="24"/>
        </w:rPr>
      </w:pPr>
    </w:p>
    <w:p w14:paraId="347B095F" w14:textId="77777777" w:rsidR="0008423C" w:rsidRPr="00E1206A" w:rsidRDefault="0008423C" w:rsidP="0008423C">
      <w:pPr>
        <w:pStyle w:val="NoSpacing"/>
        <w:ind w:firstLine="1310"/>
        <w:rPr>
          <w:rFonts w:ascii="Times New Roman" w:eastAsia="Calibri" w:hAnsi="Times New Roman" w:cs="Times New Roman"/>
          <w:sz w:val="24"/>
          <w:szCs w:val="24"/>
        </w:rPr>
      </w:pPr>
      <w:r w:rsidRPr="00E1206A">
        <w:rPr>
          <w:rFonts w:ascii="Times New Roman" w:hAnsi="Times New Roman" w:cs="Times New Roman"/>
          <w:sz w:val="24"/>
          <w:szCs w:val="24"/>
        </w:rPr>
        <w:t xml:space="preserve">The rule amendments proposed herein are attached to this letter in </w:t>
      </w:r>
      <w:r w:rsidR="00317C2C" w:rsidRPr="00E1206A">
        <w:rPr>
          <w:rFonts w:ascii="Times New Roman" w:hAnsi="Times New Roman" w:cs="Times New Roman"/>
          <w:sz w:val="24"/>
          <w:szCs w:val="24"/>
          <w:u w:val="single"/>
        </w:rPr>
        <w:t>Exhibit A</w:t>
      </w:r>
      <w:r w:rsidRPr="00E1206A">
        <w:rPr>
          <w:rFonts w:ascii="Times New Roman" w:hAnsi="Times New Roman" w:cs="Times New Roman"/>
          <w:sz w:val="24"/>
          <w:szCs w:val="24"/>
        </w:rPr>
        <w:t xml:space="preserve"> which amends Rulebook Appendix </w:t>
      </w:r>
      <w:proofErr w:type="gramStart"/>
      <w:r w:rsidRPr="00E1206A">
        <w:rPr>
          <w:rFonts w:ascii="Times New Roman" w:hAnsi="Times New Roman" w:cs="Times New Roman"/>
          <w:sz w:val="24"/>
          <w:szCs w:val="24"/>
        </w:rPr>
        <w:t>A</w:t>
      </w:r>
      <w:proofErr w:type="gramEnd"/>
      <w:r w:rsidRPr="00E1206A">
        <w:rPr>
          <w:rFonts w:ascii="Times New Roman" w:hAnsi="Times New Roman" w:cs="Times New Roman"/>
          <w:sz w:val="24"/>
          <w:szCs w:val="24"/>
        </w:rPr>
        <w:t>, Listed Contracts.</w:t>
      </w:r>
      <w:r w:rsidRPr="00E1206A">
        <w:rPr>
          <w:rStyle w:val="FootnoteReference"/>
          <w:rFonts w:ascii="Times New Roman" w:hAnsi="Times New Roman" w:cs="Times New Roman"/>
          <w:sz w:val="24"/>
          <w:szCs w:val="24"/>
        </w:rPr>
        <w:footnoteReference w:id="1"/>
      </w:r>
      <w:r w:rsidRPr="00E1206A">
        <w:rPr>
          <w:rFonts w:ascii="Times New Roman" w:hAnsi="Times New Roman" w:cs="Times New Roman"/>
          <w:sz w:val="24"/>
          <w:szCs w:val="24"/>
        </w:rPr>
        <w:t xml:space="preserve">  </w:t>
      </w:r>
    </w:p>
    <w:p w14:paraId="347B0960" w14:textId="77777777" w:rsidR="0008423C" w:rsidRPr="00E1206A" w:rsidRDefault="0008423C" w:rsidP="0008423C">
      <w:pPr>
        <w:pStyle w:val="NoSpacing"/>
        <w:ind w:firstLine="720"/>
        <w:rPr>
          <w:rFonts w:ascii="Times New Roman" w:hAnsi="Times New Roman" w:cs="Times New Roman"/>
          <w:sz w:val="24"/>
          <w:szCs w:val="24"/>
        </w:rPr>
      </w:pPr>
    </w:p>
    <w:p w14:paraId="347B0961"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62" w14:textId="77777777" w:rsidR="0008423C" w:rsidRPr="00E1206A" w:rsidRDefault="0008423C" w:rsidP="0008423C">
      <w:pPr>
        <w:pStyle w:val="Default"/>
        <w:ind w:left="1310"/>
        <w:rPr>
          <w:color w:val="auto"/>
        </w:rPr>
      </w:pPr>
      <w:r w:rsidRPr="00E1206A">
        <w:rPr>
          <w:b/>
          <w:bCs/>
          <w:color w:val="auto"/>
          <w:u w:val="single"/>
        </w:rPr>
        <w:t xml:space="preserve">Exhibit 1 - Amendments to Rulebook Appendix A, Listed Contracts </w:t>
      </w:r>
    </w:p>
    <w:p w14:paraId="347B0963" w14:textId="77777777" w:rsidR="0008423C" w:rsidRPr="00E1206A" w:rsidRDefault="0008423C" w:rsidP="0008423C">
      <w:pPr>
        <w:pStyle w:val="NoSpacing"/>
        <w:ind w:firstLine="1310"/>
        <w:rPr>
          <w:rFonts w:ascii="Times New Roman" w:hAnsi="Times New Roman" w:cs="Times New Roman"/>
          <w:sz w:val="24"/>
          <w:szCs w:val="24"/>
          <w:u w:val="single"/>
        </w:rPr>
      </w:pPr>
    </w:p>
    <w:p w14:paraId="347B0965" w14:textId="77777777" w:rsidR="0008423C" w:rsidRPr="00E1206A" w:rsidRDefault="0008423C" w:rsidP="0008423C">
      <w:pPr>
        <w:pStyle w:val="NoSpacing"/>
        <w:ind w:firstLine="1310"/>
        <w:rPr>
          <w:rFonts w:ascii="Times New Roman" w:hAnsi="Times New Roman" w:cs="Times New Roman"/>
          <w:position w:val="8"/>
          <w:sz w:val="24"/>
          <w:szCs w:val="24"/>
          <w:vertAlign w:val="superscript"/>
        </w:rPr>
      </w:pPr>
    </w:p>
    <w:p w14:paraId="347B0966" w14:textId="1AB5FAD3" w:rsidR="0008423C" w:rsidRPr="00E1206A" w:rsidRDefault="0008423C" w:rsidP="00E1206A">
      <w:pPr>
        <w:autoSpaceDE w:val="0"/>
        <w:autoSpaceDN w:val="0"/>
        <w:adjustRightInd w:val="0"/>
        <w:spacing w:after="0" w:line="240" w:lineRule="auto"/>
        <w:ind w:firstLine="1310"/>
        <w:rPr>
          <w:rFonts w:ascii="Times New Roman" w:eastAsia="Times New Roman" w:hAnsi="Times New Roman" w:cs="Times New Roman"/>
          <w:sz w:val="24"/>
          <w:szCs w:val="24"/>
        </w:rPr>
      </w:pPr>
      <w:r w:rsidRPr="00E1206A">
        <w:rPr>
          <w:rFonts w:ascii="Times New Roman" w:hAnsi="Times New Roman" w:cs="Times New Roman"/>
          <w:sz w:val="24"/>
          <w:szCs w:val="24"/>
          <w:u w:val="single"/>
        </w:rPr>
        <w:t>Block Trade Minimum Quantity Threshold and Reporting Times.</w:t>
      </w:r>
      <w:r w:rsidRPr="00E1206A">
        <w:rPr>
          <w:rFonts w:ascii="Times New Roman" w:hAnsi="Times New Roman" w:cs="Times New Roman"/>
          <w:sz w:val="24"/>
          <w:szCs w:val="24"/>
        </w:rPr>
        <w:t xml:space="preserve"> Chapter IV, Section 11 of the Exchange’s rulebook provides for execution of block trades and requires the Exchange to designate the contracts in which block trades shall be permitted and to determine </w:t>
      </w:r>
      <w:r w:rsidRPr="00E1206A">
        <w:rPr>
          <w:rFonts w:ascii="Times New Roman" w:hAnsi="Times New Roman" w:cs="Times New Roman"/>
          <w:sz w:val="24"/>
          <w:szCs w:val="24"/>
        </w:rPr>
        <w:lastRenderedPageBreak/>
        <w:t>the minimum quantity thresholds for such transactions. Section 11(F) requires Futures Participants to ensure that block trades are reported to the Exchange within the number of minutes of the time of execution (the "</w:t>
      </w:r>
      <w:r w:rsidRPr="00E1206A">
        <w:rPr>
          <w:rFonts w:ascii="Times New Roman" w:hAnsi="Times New Roman" w:cs="Times New Roman"/>
          <w:sz w:val="24"/>
          <w:szCs w:val="24"/>
          <w:u w:val="single"/>
        </w:rPr>
        <w:t>Reporting Window</w:t>
      </w:r>
      <w:r w:rsidRPr="00E1206A">
        <w:rPr>
          <w:rFonts w:ascii="Times New Roman" w:hAnsi="Times New Roman" w:cs="Times New Roman"/>
          <w:sz w:val="24"/>
          <w:szCs w:val="24"/>
        </w:rPr>
        <w:t>") specified in the rules for the particular contract.</w:t>
      </w:r>
      <w:r w:rsidRPr="00E1206A">
        <w:rPr>
          <w:rStyle w:val="FootnoteReference"/>
          <w:rFonts w:ascii="Times New Roman" w:hAnsi="Times New Roman" w:cs="Times New Roman"/>
          <w:sz w:val="24"/>
          <w:szCs w:val="24"/>
        </w:rPr>
        <w:footnoteReference w:id="2"/>
      </w:r>
      <w:r w:rsidRPr="00E1206A">
        <w:rPr>
          <w:rFonts w:ascii="Times New Roman" w:hAnsi="Times New Roman" w:cs="Times New Roman"/>
          <w:position w:val="8"/>
          <w:sz w:val="24"/>
          <w:szCs w:val="24"/>
          <w:vertAlign w:val="superscript"/>
        </w:rPr>
        <w:t xml:space="preserve">  </w:t>
      </w:r>
      <w:r w:rsidRPr="00E1206A">
        <w:rPr>
          <w:rFonts w:ascii="Times New Roman" w:hAnsi="Times New Roman" w:cs="Times New Roman"/>
          <w:sz w:val="24"/>
          <w:szCs w:val="24"/>
        </w:rPr>
        <w:t xml:space="preserve">The </w:t>
      </w:r>
      <w:r w:rsidR="00ED1E40">
        <w:rPr>
          <w:rFonts w:ascii="Times New Roman" w:hAnsi="Times New Roman" w:cs="Times New Roman"/>
          <w:sz w:val="24"/>
          <w:szCs w:val="24"/>
        </w:rPr>
        <w:t xml:space="preserve">Dry Freight </w:t>
      </w:r>
      <w:r w:rsidR="00ED1E40">
        <w:rPr>
          <w:rFonts w:ascii="Times New Roman" w:eastAsia="Times New Roman" w:hAnsi="Times New Roman" w:cs="Times New Roman"/>
          <w:bCs/>
          <w:sz w:val="24"/>
          <w:szCs w:val="24"/>
        </w:rPr>
        <w:t xml:space="preserve">Contracts </w:t>
      </w:r>
      <w:r w:rsidRPr="00E1206A">
        <w:rPr>
          <w:rFonts w:ascii="Times New Roman" w:hAnsi="Times New Roman" w:cs="Times New Roman"/>
          <w:sz w:val="24"/>
          <w:szCs w:val="24"/>
        </w:rPr>
        <w:t xml:space="preserve">are eligible for block trades.  The block trade </w:t>
      </w:r>
      <w:r w:rsidRPr="00ED1E40">
        <w:rPr>
          <w:rFonts w:ascii="Times New Roman" w:hAnsi="Times New Roman" w:cs="Times New Roman"/>
          <w:sz w:val="24"/>
          <w:szCs w:val="24"/>
        </w:rPr>
        <w:t>minimum quantity threshold is set at 5 contracts and the Reporting Window is set at 15 minutes.</w:t>
      </w:r>
      <w:r w:rsidRPr="00E1206A">
        <w:rPr>
          <w:rFonts w:ascii="Times New Roman" w:hAnsi="Times New Roman" w:cs="Times New Roman"/>
          <w:sz w:val="24"/>
          <w:szCs w:val="24"/>
        </w:rPr>
        <w:t xml:space="preserve">  </w:t>
      </w:r>
    </w:p>
    <w:p w14:paraId="347B0967" w14:textId="77777777" w:rsidR="0008423C" w:rsidRDefault="0008423C" w:rsidP="0008423C">
      <w:pPr>
        <w:pStyle w:val="Default"/>
        <w:ind w:firstLine="1310"/>
        <w:rPr>
          <w:color w:val="auto"/>
        </w:rPr>
      </w:pPr>
    </w:p>
    <w:p w14:paraId="309F072E" w14:textId="77777777" w:rsidR="00CD108F" w:rsidRPr="00F00A18" w:rsidRDefault="00CD108F" w:rsidP="00CD108F">
      <w:pPr>
        <w:pStyle w:val="NoSpacing"/>
        <w:ind w:firstLine="1310"/>
        <w:rPr>
          <w:rFonts w:ascii="Times New Roman" w:eastAsia="Calibri" w:hAnsi="Times New Roman" w:cs="Times New Roman"/>
          <w:b/>
          <w:sz w:val="24"/>
          <w:szCs w:val="24"/>
          <w:u w:val="single"/>
        </w:rPr>
      </w:pPr>
      <w:r w:rsidRPr="00F00A18">
        <w:rPr>
          <w:rFonts w:ascii="Times New Roman" w:eastAsia="Calibri" w:hAnsi="Times New Roman" w:cs="Times New Roman"/>
          <w:b/>
          <w:sz w:val="24"/>
          <w:szCs w:val="24"/>
        </w:rPr>
        <w:t xml:space="preserve">           </w:t>
      </w:r>
      <w:r w:rsidRPr="00F00A18">
        <w:rPr>
          <w:rFonts w:ascii="Times New Roman" w:eastAsia="Calibri" w:hAnsi="Times New Roman" w:cs="Times New Roman"/>
          <w:b/>
          <w:sz w:val="24"/>
          <w:szCs w:val="24"/>
          <w:u w:val="single"/>
        </w:rPr>
        <w:t>Screen Fees and Block Trade/EFRP Surcharges</w:t>
      </w:r>
    </w:p>
    <w:p w14:paraId="5FE336D1" w14:textId="77777777" w:rsidR="00CD108F" w:rsidRPr="00F00A18" w:rsidRDefault="00CD108F" w:rsidP="00CD108F">
      <w:pPr>
        <w:pStyle w:val="NoSpacing"/>
        <w:ind w:firstLine="1310"/>
        <w:rPr>
          <w:rFonts w:ascii="Times New Roman" w:eastAsia="Calibri" w:hAnsi="Times New Roman" w:cs="Times New Roman"/>
          <w:sz w:val="24"/>
          <w:szCs w:val="24"/>
        </w:rPr>
      </w:pPr>
    </w:p>
    <w:p w14:paraId="0666CBA4" w14:textId="2ABAD83A" w:rsidR="00CD108F" w:rsidRDefault="00CD108F" w:rsidP="00CD108F">
      <w:pPr>
        <w:pStyle w:val="Default"/>
        <w:ind w:firstLine="1310"/>
        <w:rPr>
          <w:rFonts w:eastAsia="Calibri"/>
        </w:rPr>
      </w:pPr>
      <w:r w:rsidRPr="00F00A18">
        <w:rPr>
          <w:rFonts w:eastAsia="Calibri"/>
        </w:rPr>
        <w:t>The Screen Fee is a charge for Exchange execution fees.  The Options Clearing Corporation (“</w:t>
      </w:r>
      <w:r w:rsidRPr="00F00A18">
        <w:rPr>
          <w:rFonts w:eastAsia="Calibri"/>
          <w:u w:val="single"/>
        </w:rPr>
        <w:t>OCC</w:t>
      </w:r>
      <w:r w:rsidRPr="00F00A18">
        <w:rPr>
          <w:rFonts w:eastAsia="Calibri"/>
        </w:rPr>
        <w:t>”) will separately assess a clearing fee for all transactions submitted for clearing.</w:t>
      </w:r>
      <w:r w:rsidRPr="00F00A18">
        <w:rPr>
          <w:rStyle w:val="FootnoteReference"/>
          <w:rFonts w:eastAsia="Calibri"/>
        </w:rPr>
        <w:footnoteReference w:id="3"/>
      </w:r>
      <w:r w:rsidRPr="00F00A18">
        <w:rPr>
          <w:rFonts w:eastAsia="Calibri"/>
        </w:rPr>
        <w:t xml:space="preserve">  The Exchange will assess Screen Fees and Block Trade EFRP Fees for each contract</w:t>
      </w:r>
      <w:r>
        <w:rPr>
          <w:rFonts w:eastAsia="Calibri"/>
        </w:rPr>
        <w:t xml:space="preserve"> as set forth in </w:t>
      </w:r>
      <w:r w:rsidRPr="00397FD8">
        <w:rPr>
          <w:rFonts w:eastAsia="Calibri"/>
          <w:u w:val="single"/>
        </w:rPr>
        <w:t>Exhibit A</w:t>
      </w:r>
      <w:r w:rsidRPr="00F00A18">
        <w:rPr>
          <w:rFonts w:eastAsia="Calibri"/>
        </w:rPr>
        <w:t>.</w:t>
      </w:r>
    </w:p>
    <w:p w14:paraId="1288C391" w14:textId="77777777" w:rsidR="00CD108F" w:rsidRPr="00E1206A" w:rsidRDefault="00CD108F" w:rsidP="00CD108F">
      <w:pPr>
        <w:pStyle w:val="Default"/>
        <w:ind w:firstLine="1310"/>
        <w:rPr>
          <w:color w:val="auto"/>
        </w:rPr>
      </w:pPr>
    </w:p>
    <w:p w14:paraId="347B096C"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DCM Core Principles </w:t>
      </w:r>
    </w:p>
    <w:p w14:paraId="347B096D" w14:textId="77777777" w:rsidR="0008423C" w:rsidRPr="00E1206A" w:rsidRDefault="0008423C" w:rsidP="0008423C">
      <w:pPr>
        <w:pStyle w:val="Default"/>
        <w:ind w:left="2620"/>
        <w:rPr>
          <w:color w:val="auto"/>
        </w:rPr>
      </w:pPr>
    </w:p>
    <w:p w14:paraId="347B096E" w14:textId="77777777" w:rsidR="0008423C" w:rsidRPr="00E1206A" w:rsidRDefault="0008423C" w:rsidP="0008423C">
      <w:pPr>
        <w:pStyle w:val="Default"/>
        <w:ind w:firstLine="1310"/>
        <w:rPr>
          <w:color w:val="auto"/>
        </w:rPr>
      </w:pPr>
      <w:r w:rsidRPr="00E1206A">
        <w:rPr>
          <w:color w:val="auto"/>
        </w:rPr>
        <w:t>The Exchange has reviewed the designated contract market core principles (“</w:t>
      </w:r>
      <w:r w:rsidRPr="00E1206A">
        <w:rPr>
          <w:color w:val="auto"/>
          <w:u w:val="single"/>
        </w:rPr>
        <w:t>Core Principles</w:t>
      </w:r>
      <w:r w:rsidRPr="00E1206A">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sidRPr="00E1206A">
          <w:rPr>
            <w:rStyle w:val="Hyperlink"/>
          </w:rPr>
          <w:t>business.nasdaq.com/futures</w:t>
        </w:r>
      </w:hyperlink>
      <w:r w:rsidRPr="00E1206A">
        <w:rPr>
          <w:color w:val="auto"/>
        </w:rPr>
        <w:t>.</w:t>
      </w:r>
    </w:p>
    <w:p w14:paraId="347B096F" w14:textId="77777777" w:rsidR="0008423C" w:rsidRPr="00E1206A" w:rsidRDefault="0008423C" w:rsidP="0008423C">
      <w:pPr>
        <w:pStyle w:val="Default"/>
        <w:ind w:firstLine="1310"/>
        <w:rPr>
          <w:color w:val="auto"/>
        </w:rPr>
      </w:pPr>
    </w:p>
    <w:p w14:paraId="347B0970" w14:textId="2DB3CAEA" w:rsidR="008B041F" w:rsidRPr="00E1206A" w:rsidRDefault="008B041F" w:rsidP="008B041F">
      <w:pPr>
        <w:pStyle w:val="Default"/>
        <w:ind w:firstLine="1310"/>
        <w:rPr>
          <w:rFonts w:eastAsia="Calibri"/>
        </w:rPr>
      </w:pPr>
      <w:r w:rsidRPr="00E1206A">
        <w:rPr>
          <w:color w:val="auto"/>
        </w:rPr>
        <w:t xml:space="preserve">With respect to the block trade amendments set forth in </w:t>
      </w:r>
      <w:r w:rsidRPr="00E1206A">
        <w:rPr>
          <w:color w:val="auto"/>
          <w:u w:val="single"/>
        </w:rPr>
        <w:t>Exhibit A</w:t>
      </w:r>
      <w:r w:rsidRPr="00E1206A">
        <w:rPr>
          <w:color w:val="auto"/>
        </w:rPr>
        <w:t xml:space="preserve"> and Core Principle 9 - Execution of Transactions, the </w:t>
      </w:r>
      <w:r w:rsidR="00FE68A4">
        <w:rPr>
          <w:color w:val="auto"/>
        </w:rPr>
        <w:t>Dry Freight Contracts</w:t>
      </w:r>
      <w:r w:rsidR="00FE68A4">
        <w:rPr>
          <w:bCs/>
        </w:rPr>
        <w:t xml:space="preserve"> </w:t>
      </w:r>
      <w:r w:rsidRPr="00E1206A">
        <w:rPr>
          <w:color w:val="auto"/>
        </w:rPr>
        <w:t xml:space="preserve">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 in the </w:t>
      </w:r>
      <w:r w:rsidR="00FE68A4">
        <w:rPr>
          <w:color w:val="auto"/>
        </w:rPr>
        <w:t>Dry Freight Contracts</w:t>
      </w:r>
      <w:r w:rsidRPr="00E1206A">
        <w:rPr>
          <w:color w:val="auto"/>
        </w:rPr>
        <w:t>.  Additionally, t</w:t>
      </w:r>
      <w:r w:rsidRPr="00E1206A">
        <w:t xml:space="preserve">he new rules governing the trading hours and non-reviewable range of the </w:t>
      </w:r>
      <w:r w:rsidR="001272EA">
        <w:t xml:space="preserve">Dry Freight </w:t>
      </w:r>
      <w:r w:rsidRPr="00E1206A">
        <w:t>Contracts are the same as those governing existing futures contracts listed by the Exchange.</w:t>
      </w:r>
      <w:r w:rsidR="00F86B2E">
        <w:t xml:space="preserve">  </w:t>
      </w:r>
    </w:p>
    <w:p w14:paraId="347B0971" w14:textId="77777777" w:rsidR="008B041F" w:rsidRPr="00E1206A" w:rsidRDefault="008B041F" w:rsidP="0008423C">
      <w:pPr>
        <w:pStyle w:val="Default"/>
        <w:ind w:left="2620"/>
        <w:rPr>
          <w:b/>
          <w:bCs/>
          <w:color w:val="auto"/>
        </w:rPr>
      </w:pPr>
    </w:p>
    <w:p w14:paraId="347B0972"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Certifications </w:t>
      </w:r>
    </w:p>
    <w:p w14:paraId="347B0973" w14:textId="77777777" w:rsidR="0008423C" w:rsidRPr="00E1206A" w:rsidRDefault="0008423C" w:rsidP="0008423C">
      <w:pPr>
        <w:pStyle w:val="Default"/>
        <w:ind w:left="2620"/>
        <w:rPr>
          <w:color w:val="auto"/>
        </w:rPr>
      </w:pPr>
    </w:p>
    <w:p w14:paraId="347B0974" w14:textId="77777777" w:rsidR="0008423C" w:rsidRPr="00E1206A" w:rsidRDefault="0008423C" w:rsidP="0008423C">
      <w:pPr>
        <w:pStyle w:val="PlainText"/>
        <w:ind w:firstLine="1310"/>
        <w:rPr>
          <w:rFonts w:ascii="Times New Roman" w:eastAsia="Calibri"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bookmarkStart w:id="0" w:name="_GoBack"/>
      <w:bookmarkEnd w:id="0"/>
    </w:p>
    <w:p w14:paraId="347B0975"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76" w14:textId="3BC691AF"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E1206A">
        <w:rPr>
          <w:rFonts w:ascii="Times New Roman" w:eastAsia="Calibri" w:hAnsi="Times New Roman" w:cs="Times New Roman"/>
          <w:sz w:val="24"/>
          <w:szCs w:val="24"/>
        </w:rPr>
        <w:t xml:space="preserve">If you require any additional information regarding the submission, please </w:t>
      </w:r>
      <w:r w:rsidRPr="00E1206A">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w:t>
      </w:r>
      <w:proofErr w:type="spellStart"/>
      <w:r w:rsidRPr="00FE68A4">
        <w:rPr>
          <w:rFonts w:ascii="Times New Roman" w:hAnsi="Times New Roman" w:cs="Times New Roman"/>
          <w:spacing w:val="-6"/>
          <w:sz w:val="24"/>
          <w:szCs w:val="24"/>
        </w:rPr>
        <w:t>Aravind</w:t>
      </w:r>
      <w:proofErr w:type="spellEnd"/>
      <w:r w:rsidRPr="00FE68A4">
        <w:rPr>
          <w:rFonts w:ascii="Times New Roman" w:hAnsi="Times New Roman" w:cs="Times New Roman"/>
          <w:spacing w:val="-6"/>
          <w:sz w:val="24"/>
          <w:szCs w:val="24"/>
        </w:rPr>
        <w:t xml:space="preserve"> Menon at (301) 978-8416 </w:t>
      </w:r>
      <w:r w:rsidRPr="00FE68A4">
        <w:rPr>
          <w:rFonts w:ascii="Times New Roman" w:hAnsi="Times New Roman" w:cs="Times New Roman"/>
          <w:sz w:val="24"/>
          <w:szCs w:val="24"/>
        </w:rPr>
        <w:t>or</w:t>
      </w:r>
      <w:r w:rsidRPr="00FE68A4">
        <w:rPr>
          <w:rFonts w:ascii="Times New Roman" w:hAnsi="Times New Roman" w:cs="Times New Roman"/>
          <w:spacing w:val="-6"/>
          <w:sz w:val="24"/>
          <w:szCs w:val="24"/>
        </w:rPr>
        <w:t xml:space="preserve"> </w:t>
      </w:r>
      <w:r w:rsidRPr="00FE68A4">
        <w:rPr>
          <w:rFonts w:ascii="Times New Roman" w:hAnsi="Times New Roman" w:cs="Times New Roman"/>
          <w:sz w:val="24"/>
          <w:szCs w:val="24"/>
        </w:rPr>
        <w:t>aravind.menon@nasdaq.com</w:t>
      </w:r>
      <w:r w:rsidRPr="00FE68A4">
        <w:rPr>
          <w:rFonts w:ascii="Times New Roman" w:hAnsi="Times New Roman" w:cs="Times New Roman"/>
          <w:spacing w:val="-6"/>
          <w:sz w:val="24"/>
          <w:szCs w:val="24"/>
        </w:rPr>
        <w:t xml:space="preserve">.  </w:t>
      </w:r>
      <w:r w:rsidRPr="00FE68A4">
        <w:rPr>
          <w:rFonts w:ascii="Times New Roman" w:hAnsi="Times New Roman" w:cs="Times New Roman"/>
          <w:sz w:val="24"/>
          <w:szCs w:val="24"/>
        </w:rPr>
        <w:t>Please</w:t>
      </w:r>
      <w:r w:rsidRPr="00FE68A4">
        <w:rPr>
          <w:rFonts w:ascii="Times New Roman" w:hAnsi="Times New Roman" w:cs="Times New Roman"/>
          <w:spacing w:val="-6"/>
          <w:sz w:val="24"/>
          <w:szCs w:val="24"/>
        </w:rPr>
        <w:t xml:space="preserve"> </w:t>
      </w:r>
      <w:r w:rsidRPr="00FE68A4">
        <w:rPr>
          <w:rFonts w:ascii="Times New Roman" w:hAnsi="Times New Roman" w:cs="Times New Roman"/>
          <w:sz w:val="24"/>
          <w:szCs w:val="24"/>
        </w:rPr>
        <w:t>refer to</w:t>
      </w:r>
      <w:r w:rsidRPr="00FE68A4">
        <w:rPr>
          <w:rFonts w:ascii="Times New Roman" w:hAnsi="Times New Roman" w:cs="Times New Roman"/>
          <w:spacing w:val="-6"/>
          <w:sz w:val="24"/>
          <w:szCs w:val="24"/>
        </w:rPr>
        <w:t xml:space="preserve"> </w:t>
      </w:r>
      <w:r w:rsidRPr="00FE68A4">
        <w:rPr>
          <w:rFonts w:ascii="Times New Roman" w:hAnsi="Times New Roman" w:cs="Times New Roman"/>
          <w:sz w:val="24"/>
          <w:szCs w:val="24"/>
        </w:rPr>
        <w:t>SR-NFX-201</w:t>
      </w:r>
      <w:r w:rsidR="001272EA">
        <w:rPr>
          <w:rFonts w:ascii="Times New Roman" w:hAnsi="Times New Roman" w:cs="Times New Roman"/>
          <w:sz w:val="24"/>
          <w:szCs w:val="24"/>
        </w:rPr>
        <w:t>8</w:t>
      </w:r>
      <w:r w:rsidRPr="00FE68A4">
        <w:rPr>
          <w:rFonts w:ascii="Times New Roman" w:hAnsi="Times New Roman" w:cs="Times New Roman"/>
          <w:sz w:val="24"/>
          <w:szCs w:val="24"/>
        </w:rPr>
        <w:t>-</w:t>
      </w:r>
      <w:r w:rsidR="001272EA">
        <w:rPr>
          <w:rFonts w:ascii="Times New Roman" w:hAnsi="Times New Roman" w:cs="Times New Roman"/>
          <w:sz w:val="24"/>
          <w:szCs w:val="24"/>
        </w:rPr>
        <w:t>62</w:t>
      </w:r>
      <w:r w:rsidRPr="00FE68A4">
        <w:rPr>
          <w:rFonts w:ascii="Times New Roman" w:eastAsia="Calibri" w:hAnsi="Times New Roman" w:cs="Times New Roman"/>
          <w:sz w:val="24"/>
          <w:szCs w:val="24"/>
        </w:rPr>
        <w:t>.</w:t>
      </w:r>
      <w:r w:rsidR="00F93853" w:rsidRPr="00E1206A">
        <w:rPr>
          <w:rFonts w:ascii="Times New Roman" w:eastAsia="Calibri" w:hAnsi="Times New Roman" w:cs="Times New Roman"/>
          <w:sz w:val="24"/>
          <w:szCs w:val="24"/>
        </w:rPr>
        <w:t xml:space="preserve">  </w:t>
      </w:r>
    </w:p>
    <w:p w14:paraId="347B0977" w14:textId="77777777" w:rsidR="0008423C" w:rsidRPr="00E1206A" w:rsidRDefault="0008423C" w:rsidP="0008423C">
      <w:pPr>
        <w:pStyle w:val="NoSpacing"/>
        <w:keepNext/>
        <w:rPr>
          <w:rFonts w:ascii="Times New Roman" w:eastAsia="Times New Roman" w:hAnsi="Times New Roman" w:cs="Times New Roman"/>
          <w:sz w:val="24"/>
          <w:szCs w:val="24"/>
        </w:rPr>
      </w:pPr>
    </w:p>
    <w:p w14:paraId="347B0978" w14:textId="5086D6B7" w:rsidR="0008423C" w:rsidRPr="00E1206A" w:rsidRDefault="0008423C" w:rsidP="0008423C">
      <w:pPr>
        <w:pStyle w:val="NoSpacing"/>
        <w:keepNext/>
        <w:rPr>
          <w:rFonts w:ascii="Times New Roman" w:eastAsia="Calibri" w:hAnsi="Times New Roman" w:cs="Times New Roman"/>
          <w:sz w:val="24"/>
          <w:szCs w:val="24"/>
        </w:rPr>
      </w:pPr>
    </w:p>
    <w:p w14:paraId="44FDAD77" w14:textId="77777777" w:rsidR="003E7BFD" w:rsidRPr="000011A2" w:rsidRDefault="003E7BFD" w:rsidP="003E7BFD">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52F49568" w14:textId="78601F69" w:rsidR="003E7BFD" w:rsidRDefault="00E41C29" w:rsidP="003E7BFD">
      <w:pPr>
        <w:pStyle w:val="NoSpacing"/>
        <w:keepNext/>
        <w:ind w:left="2880" w:firstLine="720"/>
        <w:contextualSpacing/>
        <w:rPr>
          <w:rFonts w:ascii="Times New Roman" w:eastAsia="Calibri" w:hAnsi="Times New Roman" w:cs="Times New Roman"/>
          <w:sz w:val="24"/>
          <w:szCs w:val="24"/>
        </w:rPr>
      </w:pPr>
      <w:r>
        <w:rPr>
          <w:rFonts w:eastAsia="Times New Roman"/>
          <w:noProof/>
        </w:rPr>
        <w:drawing>
          <wp:inline distT="0" distB="0" distL="0" distR="0" wp14:anchorId="1AA206D8" wp14:editId="54ED3E25">
            <wp:extent cx="1551940" cy="723802"/>
            <wp:effectExtent l="0" t="0" r="0" b="635"/>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6816" cy="768051"/>
                    </a:xfrm>
                    <a:prstGeom prst="rect">
                      <a:avLst/>
                    </a:prstGeom>
                    <a:noFill/>
                    <a:ln>
                      <a:noFill/>
                    </a:ln>
                  </pic:spPr>
                </pic:pic>
              </a:graphicData>
            </a:graphic>
          </wp:inline>
        </w:drawing>
      </w:r>
    </w:p>
    <w:p w14:paraId="0C149532" w14:textId="06472490" w:rsidR="003E7BFD" w:rsidRPr="000011A2" w:rsidRDefault="00FE68A4" w:rsidP="003E7BFD">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Kevin Kennedy </w:t>
      </w:r>
    </w:p>
    <w:p w14:paraId="0CAC4D8C" w14:textId="77777777" w:rsidR="003E7BFD" w:rsidRPr="000011A2" w:rsidRDefault="003E7BFD" w:rsidP="003E7BFD">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14:paraId="347B097E" w14:textId="77777777" w:rsidR="0008423C" w:rsidRPr="00E1206A" w:rsidRDefault="0008423C" w:rsidP="0008423C">
      <w:pPr>
        <w:pStyle w:val="NoSpacing"/>
        <w:rPr>
          <w:rFonts w:ascii="Times New Roman" w:eastAsia="Calibri" w:hAnsi="Times New Roman" w:cs="Times New Roman"/>
          <w:sz w:val="24"/>
          <w:szCs w:val="24"/>
        </w:rPr>
      </w:pPr>
    </w:p>
    <w:p w14:paraId="347B097F" w14:textId="77777777" w:rsidR="0008423C" w:rsidRPr="00E1206A" w:rsidRDefault="0008423C" w:rsidP="0008423C">
      <w:pPr>
        <w:pStyle w:val="NoSpacing"/>
        <w:rPr>
          <w:rFonts w:ascii="Times New Roman" w:eastAsia="Calibri" w:hAnsi="Times New Roman" w:cs="Times New Roman"/>
          <w:sz w:val="24"/>
          <w:szCs w:val="24"/>
        </w:rPr>
      </w:pPr>
    </w:p>
    <w:p w14:paraId="347B0980" w14:textId="77777777" w:rsidR="0008423C" w:rsidRPr="00E1206A"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14:paraId="347B0981" w14:textId="77777777" w:rsidR="0008423C" w:rsidRPr="00E1206A" w:rsidRDefault="0008423C" w:rsidP="0008423C">
      <w:pPr>
        <w:spacing w:after="0" w:line="240" w:lineRule="auto"/>
        <w:rPr>
          <w:rFonts w:ascii="Times New Roman" w:hAnsi="Times New Roman" w:cs="Times New Roman"/>
          <w:sz w:val="24"/>
          <w:szCs w:val="24"/>
        </w:rPr>
      </w:pPr>
    </w:p>
    <w:p w14:paraId="347B0982" w14:textId="77777777" w:rsidR="00D60246" w:rsidRPr="00E1206A" w:rsidRDefault="0008423C" w:rsidP="00D60246">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  </w:t>
      </w:r>
      <w:r w:rsidRPr="00E1206A">
        <w:rPr>
          <w:rFonts w:ascii="Times New Roman" w:hAnsi="Times New Roman" w:cs="Times New Roman"/>
          <w:sz w:val="24"/>
          <w:szCs w:val="24"/>
          <w:u w:val="single"/>
        </w:rPr>
        <w:t xml:space="preserve">Exhibit </w:t>
      </w:r>
      <w:r w:rsidR="005A08AE">
        <w:rPr>
          <w:rFonts w:ascii="Times New Roman" w:hAnsi="Times New Roman" w:cs="Times New Roman"/>
          <w:sz w:val="24"/>
          <w:szCs w:val="24"/>
          <w:u w:val="single"/>
        </w:rPr>
        <w:t>A</w:t>
      </w:r>
      <w:r w:rsidRPr="00E1206A">
        <w:rPr>
          <w:rFonts w:ascii="Times New Roman" w:hAnsi="Times New Roman" w:cs="Times New Roman"/>
          <w:sz w:val="24"/>
          <w:szCs w:val="24"/>
        </w:rPr>
        <w:t>:</w:t>
      </w:r>
      <w:r w:rsidRPr="00E1206A">
        <w:rPr>
          <w:rFonts w:ascii="Times New Roman" w:hAnsi="Times New Roman" w:cs="Times New Roman"/>
          <w:sz w:val="24"/>
          <w:szCs w:val="24"/>
        </w:rPr>
        <w:tab/>
        <w:t xml:space="preserve"> Amendments to Rulebook Appendix A – Listed Contracts</w:t>
      </w:r>
    </w:p>
    <w:p w14:paraId="347B0983" w14:textId="77777777" w:rsidR="00D60246" w:rsidRPr="00E1206A" w:rsidRDefault="00D60246" w:rsidP="00D60246">
      <w:pPr>
        <w:spacing w:after="0" w:line="240" w:lineRule="auto"/>
        <w:rPr>
          <w:rFonts w:ascii="Times New Roman" w:hAnsi="Times New Roman" w:cs="Times New Roman"/>
          <w:sz w:val="24"/>
          <w:szCs w:val="24"/>
        </w:rPr>
      </w:pPr>
    </w:p>
    <w:p w14:paraId="347B0984" w14:textId="77777777" w:rsidR="00D60246" w:rsidRPr="00E1206A" w:rsidRDefault="00D60246" w:rsidP="00D60246">
      <w:pPr>
        <w:spacing w:after="0" w:line="240" w:lineRule="auto"/>
        <w:rPr>
          <w:rFonts w:ascii="Times New Roman" w:hAnsi="Times New Roman" w:cs="Times New Roman"/>
          <w:sz w:val="24"/>
          <w:szCs w:val="24"/>
        </w:rPr>
      </w:pPr>
    </w:p>
    <w:p w14:paraId="347B0985" w14:textId="77777777" w:rsidR="00D60246" w:rsidRPr="00E1206A" w:rsidRDefault="00D60246" w:rsidP="00D60246">
      <w:pPr>
        <w:spacing w:after="0" w:line="240" w:lineRule="auto"/>
        <w:rPr>
          <w:rFonts w:ascii="Times New Roman" w:hAnsi="Times New Roman" w:cs="Times New Roman"/>
          <w:sz w:val="24"/>
          <w:szCs w:val="24"/>
        </w:rPr>
      </w:pPr>
    </w:p>
    <w:p w14:paraId="347B0986" w14:textId="77777777" w:rsidR="00204EC5" w:rsidRPr="00E1206A" w:rsidRDefault="00204EC5">
      <w:pPr>
        <w:rPr>
          <w:rFonts w:ascii="Times New Roman" w:hAnsi="Times New Roman" w:cs="Times New Roman"/>
          <w:sz w:val="24"/>
          <w:szCs w:val="24"/>
        </w:rPr>
      </w:pPr>
    </w:p>
    <w:sectPr w:rsidR="00204EC5" w:rsidRPr="00E1206A" w:rsidSect="00E12802">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B098B" w14:textId="77777777" w:rsidR="000E26AE" w:rsidRDefault="000E26AE" w:rsidP="0008423C">
      <w:pPr>
        <w:spacing w:after="0" w:line="240" w:lineRule="auto"/>
      </w:pPr>
      <w:r>
        <w:separator/>
      </w:r>
    </w:p>
  </w:endnote>
  <w:endnote w:type="continuationSeparator" w:id="0">
    <w:p w14:paraId="347B098C" w14:textId="77777777" w:rsidR="000E26AE" w:rsidRDefault="000E26AE"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B0989" w14:textId="77777777" w:rsidR="000E26AE" w:rsidRDefault="000E26AE" w:rsidP="0008423C">
      <w:pPr>
        <w:spacing w:after="0" w:line="240" w:lineRule="auto"/>
      </w:pPr>
      <w:r>
        <w:separator/>
      </w:r>
    </w:p>
  </w:footnote>
  <w:footnote w:type="continuationSeparator" w:id="0">
    <w:p w14:paraId="347B098A" w14:textId="77777777" w:rsidR="000E26AE" w:rsidRDefault="000E26AE" w:rsidP="0008423C">
      <w:pPr>
        <w:spacing w:after="0" w:line="240" w:lineRule="auto"/>
      </w:pPr>
      <w:r>
        <w:continuationSeparator/>
      </w:r>
    </w:p>
  </w:footnote>
  <w:footnote w:id="1">
    <w:p w14:paraId="347B099D" w14:textId="7A75F6E6" w:rsidR="0008423C" w:rsidRPr="00E1206A" w:rsidRDefault="0008423C" w:rsidP="0008423C">
      <w:pPr>
        <w:pStyle w:val="FootnoteText"/>
        <w:rPr>
          <w:rFonts w:ascii="Times New Roman" w:hAnsi="Times New Roman" w:cs="Times New Roman"/>
          <w:sz w:val="22"/>
          <w:szCs w:val="22"/>
        </w:rPr>
      </w:pPr>
      <w:r w:rsidRPr="00E1206A">
        <w:rPr>
          <w:rStyle w:val="FootnoteReference"/>
          <w:rFonts w:ascii="Times New Roman" w:hAnsi="Times New Roman" w:cs="Times New Roman"/>
          <w:sz w:val="22"/>
          <w:szCs w:val="22"/>
        </w:rPr>
        <w:footnoteRef/>
      </w:r>
      <w:r w:rsidRPr="00E1206A">
        <w:rPr>
          <w:rFonts w:ascii="Times New Roman" w:hAnsi="Times New Roman" w:cs="Times New Roman"/>
          <w:sz w:val="22"/>
          <w:szCs w:val="22"/>
        </w:rPr>
        <w:t xml:space="preserve"> </w:t>
      </w:r>
      <w:r w:rsidRPr="00E1206A">
        <w:rPr>
          <w:rFonts w:ascii="Times New Roman" w:hAnsi="Times New Roman" w:cs="Times New Roman"/>
          <w:sz w:val="22"/>
          <w:szCs w:val="22"/>
        </w:rPr>
        <w:tab/>
        <w:t xml:space="preserve">The Exchange is </w:t>
      </w:r>
      <w:r w:rsidRPr="00E1206A">
        <w:rPr>
          <w:rFonts w:ascii="Times New Roman" w:hAnsi="Times New Roman" w:cs="Times New Roman"/>
          <w:sz w:val="22"/>
          <w:szCs w:val="22"/>
          <w:u w:val="single"/>
        </w:rPr>
        <w:t>separately</w:t>
      </w:r>
      <w:r w:rsidRPr="00E1206A">
        <w:rPr>
          <w:rFonts w:ascii="Times New Roman" w:hAnsi="Times New Roman" w:cs="Times New Roman"/>
          <w:sz w:val="22"/>
          <w:szCs w:val="22"/>
        </w:rPr>
        <w:t xml:space="preserve"> filing the </w:t>
      </w:r>
      <w:r w:rsidR="00186DC3">
        <w:rPr>
          <w:rFonts w:ascii="Times New Roman" w:hAnsi="Times New Roman" w:cs="Times New Roman"/>
          <w:sz w:val="22"/>
          <w:szCs w:val="22"/>
        </w:rPr>
        <w:t xml:space="preserve">Dry Freight Contract </w:t>
      </w:r>
      <w:r w:rsidRPr="00E1206A">
        <w:rPr>
          <w:rFonts w:ascii="Times New Roman" w:hAnsi="Times New Roman" w:cs="Times New Roman"/>
          <w:sz w:val="22"/>
          <w:szCs w:val="22"/>
        </w:rPr>
        <w:t xml:space="preserve">terms and conditions in </w:t>
      </w:r>
      <w:r w:rsidR="00186DC3">
        <w:rPr>
          <w:rFonts w:ascii="Times New Roman" w:hAnsi="Times New Roman" w:cs="Times New Roman"/>
          <w:sz w:val="22"/>
          <w:szCs w:val="22"/>
        </w:rPr>
        <w:t>a future filing</w:t>
      </w:r>
      <w:r w:rsidRPr="00E1206A">
        <w:rPr>
          <w:rFonts w:ascii="Times New Roman" w:hAnsi="Times New Roman" w:cs="Times New Roman"/>
          <w:sz w:val="22"/>
          <w:szCs w:val="22"/>
        </w:rPr>
        <w:t xml:space="preserve"> pursuant to Commission Rule 40.2.  </w:t>
      </w:r>
    </w:p>
    <w:p w14:paraId="347B099E" w14:textId="77777777" w:rsidR="0008423C" w:rsidRPr="00AD784F" w:rsidRDefault="0008423C" w:rsidP="0008423C">
      <w:pPr>
        <w:pStyle w:val="FootnoteText"/>
        <w:rPr>
          <w:rFonts w:ascii="Times New Roman" w:hAnsi="Times New Roman" w:cs="Times New Roman"/>
          <w:sz w:val="24"/>
          <w:szCs w:val="24"/>
        </w:rPr>
      </w:pPr>
    </w:p>
  </w:footnote>
  <w:footnote w:id="2">
    <w:p w14:paraId="347B09A0" w14:textId="77777777" w:rsidR="0008423C" w:rsidRPr="00E1206A" w:rsidRDefault="0008423C" w:rsidP="0008423C">
      <w:pPr>
        <w:pStyle w:val="FootnoteText"/>
        <w:rPr>
          <w:rFonts w:ascii="Times New Roman" w:hAnsi="Times New Roman" w:cs="Times New Roman"/>
          <w:sz w:val="22"/>
          <w:szCs w:val="22"/>
        </w:rPr>
      </w:pPr>
      <w:r w:rsidRPr="00E1206A">
        <w:rPr>
          <w:rStyle w:val="FootnoteReference"/>
          <w:rFonts w:ascii="Times New Roman" w:hAnsi="Times New Roman" w:cs="Times New Roman"/>
          <w:sz w:val="22"/>
          <w:szCs w:val="22"/>
        </w:rPr>
        <w:footnoteRef/>
      </w:r>
      <w:r w:rsidRPr="00E1206A">
        <w:rPr>
          <w:rFonts w:ascii="Times New Roman" w:hAnsi="Times New Roman" w:cs="Times New Roman"/>
          <w:sz w:val="22"/>
          <w:szCs w:val="22"/>
        </w:rPr>
        <w:t xml:space="preserve"> </w:t>
      </w:r>
      <w:r w:rsidRPr="00E1206A">
        <w:rPr>
          <w:rFonts w:ascii="Times New Roman" w:hAnsi="Times New Roman" w:cs="Times New Roman"/>
          <w:sz w:val="22"/>
          <w:szCs w:val="22"/>
        </w:rPr>
        <w:tab/>
        <w:t>See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If the Block Trade includes certain legs subject to a 5 minute Reporting Window and other legs subject to a 15 minute Reporting Window, the reporting requirement for the transaction will be 15 minutes.  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Failure to timely and accurately report Block Trades may subject the Futures Participant to disciplinary action.”</w:t>
      </w:r>
    </w:p>
    <w:p w14:paraId="347B09A1" w14:textId="77777777" w:rsidR="0008423C" w:rsidRPr="00AD784F" w:rsidRDefault="0008423C" w:rsidP="0008423C">
      <w:pPr>
        <w:pStyle w:val="FootnoteText"/>
        <w:rPr>
          <w:rFonts w:ascii="Times New Roman" w:hAnsi="Times New Roman" w:cs="Times New Roman"/>
          <w:sz w:val="24"/>
          <w:szCs w:val="24"/>
        </w:rPr>
      </w:pPr>
    </w:p>
  </w:footnote>
  <w:footnote w:id="3">
    <w:p w14:paraId="5D05FCEA" w14:textId="77777777" w:rsidR="00CD108F" w:rsidRPr="00B01B0B" w:rsidRDefault="00CD108F" w:rsidP="00CD108F">
      <w:pPr>
        <w:pStyle w:val="FootnoteText"/>
        <w:rPr>
          <w:rFonts w:ascii="Times New Roman" w:hAnsi="Times New Roman" w:cs="Times New Roman"/>
        </w:rPr>
      </w:pPr>
      <w:r w:rsidRPr="00B01B0B">
        <w:rPr>
          <w:rStyle w:val="FootnoteReference"/>
          <w:rFonts w:ascii="Times New Roman" w:hAnsi="Times New Roman" w:cs="Times New Roman"/>
        </w:rPr>
        <w:footnoteRef/>
      </w:r>
      <w:r w:rsidRPr="00B01B0B">
        <w:rPr>
          <w:rFonts w:ascii="Times New Roman" w:hAnsi="Times New Roman" w:cs="Times New Roman"/>
        </w:rPr>
        <w:t xml:space="preserve"> </w:t>
      </w:r>
      <w:r w:rsidRPr="00B01B0B">
        <w:rPr>
          <w:rFonts w:ascii="Times New Roman" w:hAnsi="Times New Roman" w:cs="Times New Roman"/>
        </w:rPr>
        <w:tab/>
      </w:r>
      <w:r w:rsidRPr="00C53AEA">
        <w:rPr>
          <w:rFonts w:ascii="Times New Roman" w:hAnsi="Times New Roman" w:cs="Times New Roman"/>
          <w:sz w:val="22"/>
          <w:szCs w:val="22"/>
        </w:rPr>
        <w:t>OCC options exercise fees and any other OCC fees remain the responsibility of Clearing Futures Participants.</w:t>
      </w:r>
    </w:p>
    <w:p w14:paraId="49C480AA" w14:textId="77777777" w:rsidR="00CD108F" w:rsidRPr="00B01B0B" w:rsidRDefault="00CD108F" w:rsidP="00CD108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8D" w14:textId="77777777"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43A7146" w14:textId="395C66D8"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42D2B">
      <w:rPr>
        <w:rFonts w:ascii="Times New Roman" w:hAnsi="Times New Roman" w:cs="Times New Roman"/>
        <w:noProof/>
        <w:sz w:val="20"/>
        <w:szCs w:val="20"/>
      </w:rPr>
      <w:t>November 20, 2018</w:t>
    </w:r>
    <w:r>
      <w:rPr>
        <w:rFonts w:ascii="Times New Roman" w:hAnsi="Times New Roman" w:cs="Times New Roman"/>
        <w:sz w:val="20"/>
        <w:szCs w:val="20"/>
      </w:rPr>
      <w:fldChar w:fldCharType="end"/>
    </w:r>
  </w:p>
  <w:p w14:paraId="347B098F" w14:textId="4C7E0945" w:rsidR="0082421C" w:rsidRDefault="001653B5"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E12802" w:rsidRPr="00C54BB6">
      <w:rPr>
        <w:rFonts w:ascii="Times New Roman" w:hAnsi="Times New Roman" w:cs="Times New Roman"/>
        <w:sz w:val="20"/>
        <w:szCs w:val="20"/>
      </w:rPr>
      <w:t>-</w:t>
    </w:r>
    <w:r w:rsidR="00FE68A4" w:rsidRPr="00FE68A4">
      <w:rPr>
        <w:rFonts w:ascii="Times New Roman" w:hAnsi="Times New Roman" w:cs="Times New Roman"/>
        <w:sz w:val="20"/>
        <w:szCs w:val="20"/>
      </w:rPr>
      <w:t>62</w:t>
    </w:r>
  </w:p>
  <w:p w14:paraId="347B0990" w14:textId="77777777"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3692D">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14:paraId="347B0991" w14:textId="77777777" w:rsidR="0008423C" w:rsidRDefault="0008423C" w:rsidP="00FB3245">
    <w:pPr>
      <w:spacing w:before="120" w:after="0"/>
      <w:ind w:left="65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8423C"/>
    <w:rsid w:val="000E26AE"/>
    <w:rsid w:val="000E415C"/>
    <w:rsid w:val="0012529D"/>
    <w:rsid w:val="001272EA"/>
    <w:rsid w:val="00154FD5"/>
    <w:rsid w:val="001653B5"/>
    <w:rsid w:val="00186DC3"/>
    <w:rsid w:val="00204EC5"/>
    <w:rsid w:val="00253701"/>
    <w:rsid w:val="002549B0"/>
    <w:rsid w:val="002C0A34"/>
    <w:rsid w:val="00317C2C"/>
    <w:rsid w:val="003D40B8"/>
    <w:rsid w:val="003E7BFD"/>
    <w:rsid w:val="00442DAB"/>
    <w:rsid w:val="004965FA"/>
    <w:rsid w:val="004A53F9"/>
    <w:rsid w:val="004B0524"/>
    <w:rsid w:val="004C101E"/>
    <w:rsid w:val="004D7E5D"/>
    <w:rsid w:val="005013E3"/>
    <w:rsid w:val="00543CA2"/>
    <w:rsid w:val="005A08AE"/>
    <w:rsid w:val="005E3020"/>
    <w:rsid w:val="005F3337"/>
    <w:rsid w:val="00682A97"/>
    <w:rsid w:val="006B3A2F"/>
    <w:rsid w:val="007076E9"/>
    <w:rsid w:val="00785C56"/>
    <w:rsid w:val="007958C5"/>
    <w:rsid w:val="007C7601"/>
    <w:rsid w:val="00821537"/>
    <w:rsid w:val="0082421C"/>
    <w:rsid w:val="008321A8"/>
    <w:rsid w:val="0083533B"/>
    <w:rsid w:val="00893E15"/>
    <w:rsid w:val="008B041F"/>
    <w:rsid w:val="008C3F5C"/>
    <w:rsid w:val="0096726E"/>
    <w:rsid w:val="009B56FB"/>
    <w:rsid w:val="009D0582"/>
    <w:rsid w:val="00AD7CB9"/>
    <w:rsid w:val="00B42D2B"/>
    <w:rsid w:val="00B53FAF"/>
    <w:rsid w:val="00B6532A"/>
    <w:rsid w:val="00BF3AF0"/>
    <w:rsid w:val="00C4068B"/>
    <w:rsid w:val="00CA52C3"/>
    <w:rsid w:val="00CA6E45"/>
    <w:rsid w:val="00CB53DA"/>
    <w:rsid w:val="00CD108F"/>
    <w:rsid w:val="00CE43B6"/>
    <w:rsid w:val="00D0050D"/>
    <w:rsid w:val="00D327C6"/>
    <w:rsid w:val="00D60246"/>
    <w:rsid w:val="00D70718"/>
    <w:rsid w:val="00DF1942"/>
    <w:rsid w:val="00E1206A"/>
    <w:rsid w:val="00E12802"/>
    <w:rsid w:val="00E34482"/>
    <w:rsid w:val="00E3692D"/>
    <w:rsid w:val="00E41C29"/>
    <w:rsid w:val="00E74C83"/>
    <w:rsid w:val="00EC432B"/>
    <w:rsid w:val="00ED1E40"/>
    <w:rsid w:val="00F02F13"/>
    <w:rsid w:val="00F20122"/>
    <w:rsid w:val="00F452FD"/>
    <w:rsid w:val="00F86B2E"/>
    <w:rsid w:val="00F93853"/>
    <w:rsid w:val="00FB3245"/>
    <w:rsid w:val="00FE68A4"/>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7B0925"/>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d631f87c-69ba-44f1-a3d9-a568d5a71488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2018-11-21T16:46:30+00:00</Document_x0020_Date>
    <Document_x0020_No xmlns="4b47aac5-4c46-444f-8595-ce09b406fc61">45051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B071B-3C00-472B-9B38-224601289F91}"/>
</file>

<file path=customXml/itemProps2.xml><?xml version="1.0" encoding="utf-8"?>
<ds:datastoreItem xmlns:ds="http://schemas.openxmlformats.org/officeDocument/2006/customXml" ds:itemID="{1ECBB18B-C3D8-488D-8064-5B7F71B957B8}"/>
</file>

<file path=customXml/itemProps3.xml><?xml version="1.0" encoding="utf-8"?>
<ds:datastoreItem xmlns:ds="http://schemas.openxmlformats.org/officeDocument/2006/customXml" ds:itemID="{742AE1E5-549E-435C-A1FE-DEDA0A41805C}"/>
</file>

<file path=customXml/itemProps4.xml><?xml version="1.0" encoding="utf-8"?>
<ds:datastoreItem xmlns:ds="http://schemas.openxmlformats.org/officeDocument/2006/customXml" ds:itemID="{FCEE7560-F612-4CE4-8E45-EC52A0E97BBD}"/>
</file>

<file path=customXml/itemProps5.xml><?xml version="1.0" encoding="utf-8"?>
<ds:datastoreItem xmlns:ds="http://schemas.openxmlformats.org/officeDocument/2006/customXml" ds:itemID="{2386E873-682F-414C-ACDE-C1D9D1FB87D9}"/>
</file>

<file path=docProps/app.xml><?xml version="1.0" encoding="utf-8"?>
<Properties xmlns="http://schemas.openxmlformats.org/officeDocument/2006/extended-properties" xmlns:vt="http://schemas.openxmlformats.org/officeDocument/2006/docPropsVTypes">
  <Template>Normal</Template>
  <TotalTime>40</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Aravind Menon</cp:lastModifiedBy>
  <cp:revision>11</cp:revision>
  <cp:lastPrinted>2018-11-20T22:06:00Z</cp:lastPrinted>
  <dcterms:created xsi:type="dcterms:W3CDTF">2018-11-20T21:49:00Z</dcterms:created>
  <dcterms:modified xsi:type="dcterms:W3CDTF">2018-11-20T22:28:00Z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6551700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