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Pr="00F2179D" w:rsidRDefault="008717EF" w:rsidP="008717EF">
      <w:pPr>
        <w:spacing w:before="120" w:after="0"/>
        <w:ind w:left="6550" w:hanging="655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6C">
        <w:rPr>
          <w:rFonts w:ascii="Times New Roman" w:eastAsia="Calibri" w:hAnsi="Times New Roman" w:cs="Times New Roman"/>
          <w:sz w:val="24"/>
          <w:szCs w:val="24"/>
        </w:rPr>
        <w:t>October 19, 2018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</w:p>
    <w:p w:rsidR="008717EF" w:rsidRPr="00F2179D" w:rsidRDefault="008717EF" w:rsidP="008717EF">
      <w:pPr>
        <w:spacing w:before="120" w:after="0"/>
        <w:ind w:left="6550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Nasdaq Futures, </w:t>
      </w:r>
      <w:proofErr w:type="gramStart"/>
      <w:r w:rsidRPr="00F2179D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8717EF" w:rsidRPr="00F2179D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F2179D">
        <w:rPr>
          <w:rFonts w:ascii="Times New Roman" w:eastAsia="Calibri" w:hAnsi="Times New Roman"/>
          <w:sz w:val="24"/>
          <w:szCs w:val="24"/>
        </w:rPr>
        <w:tab/>
      </w:r>
      <w:r w:rsidRPr="00F2179D">
        <w:rPr>
          <w:rFonts w:ascii="Times New Roman" w:hAnsi="Times New Roman"/>
          <w:sz w:val="24"/>
          <w:szCs w:val="24"/>
        </w:rPr>
        <w:t xml:space="preserve">FMC Tower, Level 8,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Philadelphia, PA 19104 / USA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hAnsi="Times New Roman" w:cs="Times New Roman"/>
          <w:sz w:val="24"/>
          <w:szCs w:val="24"/>
        </w:rPr>
        <w:t>business.nasdaq.com/futures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1155 21</w:t>
      </w:r>
      <w:r w:rsidRPr="00F2179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F2179D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Pr="00F2179D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 w:rsidRPr="00F2179D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Pr="00F2179D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Pr="00F2179D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Pr="00F2179D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00F18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180303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20C05">
        <w:rPr>
          <w:rFonts w:ascii="Times New Roman" w:eastAsia="Calibri" w:hAnsi="Times New Roman" w:cs="Times New Roman"/>
          <w:b/>
          <w:sz w:val="24"/>
          <w:szCs w:val="24"/>
          <w:u w:val="single"/>
        </w:rPr>
        <w:t>65</w:t>
      </w:r>
    </w:p>
    <w:p w:rsidR="008D2C12" w:rsidRPr="00F2179D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F2179D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F2179D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F2179D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F2179D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2179D">
        <w:rPr>
          <w:rFonts w:ascii="Times New Roman" w:eastAsia="Calibri" w:hAnsi="Times New Roman" w:cs="Times New Roman"/>
          <w:sz w:val="24"/>
          <w:szCs w:val="24"/>
        </w:rPr>
        <w:t>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 w:rsidRPr="00F2179D">
        <w:rPr>
          <w:rFonts w:ascii="Times New Roman" w:eastAsia="Calibri" w:hAnsi="Times New Roman" w:cs="Times New Roman"/>
          <w:sz w:val="24"/>
          <w:szCs w:val="24"/>
        </w:rPr>
        <w:t>d</w:t>
      </w:r>
      <w:r w:rsidRPr="00F2179D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F2179D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(“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Pr="00F2179D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Pr="00F2179D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120C05">
        <w:rPr>
          <w:rFonts w:ascii="Times New Roman" w:eastAsia="Calibri" w:hAnsi="Times New Roman" w:cs="Times New Roman"/>
          <w:sz w:val="24"/>
          <w:szCs w:val="24"/>
        </w:rPr>
        <w:t>November 13</w:t>
      </w:r>
      <w:r w:rsidR="002A2EE7" w:rsidRPr="00F2179D">
        <w:rPr>
          <w:rFonts w:ascii="Times New Roman" w:eastAsia="Calibri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>, the Exchange issued Futures Trader Alert</w:t>
      </w:r>
      <w:r w:rsidR="00120C05">
        <w:rPr>
          <w:rFonts w:ascii="Times New Roman" w:eastAsia="Calibri" w:hAnsi="Times New Roman" w:cs="Times New Roman"/>
          <w:sz w:val="24"/>
          <w:szCs w:val="24"/>
        </w:rPr>
        <w:t>s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#201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20C05">
        <w:rPr>
          <w:rFonts w:ascii="Times New Roman" w:eastAsia="Calibri" w:hAnsi="Times New Roman" w:cs="Times New Roman"/>
          <w:sz w:val="24"/>
          <w:szCs w:val="24"/>
        </w:rPr>
        <w:t>31 and 32</w:t>
      </w:r>
      <w:r w:rsidRPr="00F2179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 w:rsidRPr="00F2179D">
        <w:rPr>
          <w:rFonts w:ascii="Times New Roman" w:eastAsia="Calibri" w:hAnsi="Times New Roman" w:cs="Times New Roman"/>
          <w:sz w:val="24"/>
          <w:szCs w:val="24"/>
        </w:rPr>
        <w:t xml:space="preserve">months in new </w:t>
      </w:r>
      <w:r w:rsidR="00120C05" w:rsidRPr="00120C05">
        <w:rPr>
          <w:rFonts w:ascii="Times New Roman" w:eastAsia="Calibri" w:hAnsi="Times New Roman" w:cs="Times New Roman"/>
          <w:sz w:val="24"/>
          <w:szCs w:val="24"/>
        </w:rPr>
        <w:t xml:space="preserve"> Gulf Coast </w:t>
      </w:r>
      <w:r w:rsidR="00120C05">
        <w:rPr>
          <w:rFonts w:ascii="Times New Roman" w:eastAsia="Calibri" w:hAnsi="Times New Roman" w:cs="Times New Roman"/>
          <w:sz w:val="24"/>
          <w:szCs w:val="24"/>
        </w:rPr>
        <w:t xml:space="preserve">and Canadian </w:t>
      </w:r>
      <w:r w:rsidR="00120C05" w:rsidRPr="00120C05">
        <w:rPr>
          <w:rFonts w:ascii="Times New Roman" w:eastAsia="Calibri" w:hAnsi="Times New Roman" w:cs="Times New Roman"/>
          <w:sz w:val="24"/>
          <w:szCs w:val="24"/>
        </w:rPr>
        <w:t xml:space="preserve">Crude Oil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>Futures</w:t>
      </w:r>
      <w:r w:rsidR="00AE739C">
        <w:rPr>
          <w:rFonts w:ascii="Times New Roman" w:eastAsia="Calibri" w:hAnsi="Times New Roman" w:cs="Times New Roman"/>
          <w:sz w:val="24"/>
          <w:szCs w:val="24"/>
        </w:rPr>
        <w:t xml:space="preserve"> contracts</w:t>
      </w:r>
      <w:r w:rsidRPr="00F2179D">
        <w:rPr>
          <w:rFonts w:ascii="Times New Roman" w:eastAsia="Calibri" w:hAnsi="Times New Roman" w:cs="Times New Roman"/>
          <w:sz w:val="24"/>
          <w:szCs w:val="24"/>
        </w:rPr>
        <w:t>,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120C05">
        <w:rPr>
          <w:rFonts w:ascii="Times New Roman" w:eastAsia="Times New Roman" w:hAnsi="Times New Roman" w:cs="Times New Roman"/>
          <w:sz w:val="24"/>
          <w:szCs w:val="24"/>
        </w:rPr>
        <w:t>November 15</w:t>
      </w:r>
      <w:r w:rsidR="00120C05" w:rsidRPr="00120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120C05"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="006A070C" w:rsidRPr="00F217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20C05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C2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="00120C05">
        <w:rPr>
          <w:rFonts w:ascii="Times New Roman" w:eastAsia="Times New Roman" w:hAnsi="Times New Roman" w:cs="Times New Roman"/>
          <w:sz w:val="24"/>
          <w:szCs w:val="24"/>
        </w:rPr>
        <w:t xml:space="preserve"> in the Gulf Coast Crude Oil Contracts, and January 2018 was the first month available for Canadian Crude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The trading months for the new contract, which were previously certified pursuant to Commission Rule 40.2 on </w:t>
      </w:r>
      <w:r w:rsidR="00120C05">
        <w:rPr>
          <w:rFonts w:ascii="Times New Roman" w:eastAsia="Times New Roman" w:hAnsi="Times New Roman" w:cs="Times New Roman"/>
          <w:sz w:val="24"/>
          <w:szCs w:val="24"/>
        </w:rPr>
        <w:t>November 12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179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Pr="00F2179D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3766"/>
        <w:gridCol w:w="2202"/>
        <w:gridCol w:w="1644"/>
      </w:tblGrid>
      <w:tr w:rsidR="00A206D2" w:rsidRPr="00F2179D" w:rsidTr="00DA5C74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Rulebook </w:t>
            </w: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Appendix A Chapter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D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Energy Futures Contract and Trading Symbol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Contract Months Listed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and Last Months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Argus WTI Trade Month Futures (VSAQ)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Midland (Argus) Trade Month Basis Futures (MIDQ)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Midland (Argus) Trade Month Futures (WTIQ)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Midland (Argus) Basis Futures (MIDC)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Midland (Argus) Financial Futures (XBAQ)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LLS (Argus) Trade Month Basis Futures (LLTQ)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LLS (Argus) Trade Month Futures (AFOQ)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LLS (Argus) Basis Futures (LLCQ)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LLS (Argus) Financial Futures (LLFQ)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Mars (Argus) Trade Month Basis Futures (MARQ)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Mars (Argus) Trade Month Futures (MOAQ)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Mars (Argus) Basis Futures (MARC)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Mars (Argus) Financial Futures (MXAQ)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Houston (Argus) Trade Month Basis Futures (MEHQ)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Dec-2022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Houston (Argus) Trade Month Futures (HTAQ)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Dec-2022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Houston (Argus) Basis Futures (MEHC)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Dec-2022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Houston (Argus) Financial Futures (HIAQ)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Dec-2022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WTS (Argus) Trade Month Basis Futures (FHAQ)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WTS (Argus) Trade Month Futures (AYAQ)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WTS (Argus) Basis Futures (WTAQ)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WTS (Argus) Financial Futures (WTSQ)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Nov-2018 Dec-2023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Condensate (C5) Basis Futures (NC5)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Condensate (C5) Financial Futures (CCFQ)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Light Sweet Crude Oil Basis Futures (NSW)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Light Sweet Crude Oil Financial Futures (CSWQ)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Light Sour Blend Crude Oil Basis Futures (NSR)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Light Sour Blend Crude Oil Financial Futures (CSDQ)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Synthetic Sweet Crude Oil Basis Futures (NSP)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Canadian Synthetic Sweet Crude Oil Financial Futures (CSNQ)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Western Canadian Select Crude Oil Basis Futures (NWC)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  <w:tr w:rsidR="00FD0907" w:rsidRPr="00FD0907" w:rsidTr="00FD09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(C.C.I.) Western Canadian Select Crude Oil Financial Futures (CHYQ)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0907" w:rsidRPr="00FD0907" w:rsidRDefault="00FD0907" w:rsidP="00FD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Jan-2019 Sep-2021</w:t>
            </w:r>
          </w:p>
        </w:tc>
      </w:tr>
    </w:tbl>
    <w:p w:rsidR="008B2E4D" w:rsidRDefault="008B2E4D" w:rsidP="00314DE6">
      <w:pPr>
        <w:keepNext/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F2179D">
        <w:rPr>
          <w:rFonts w:ascii="Times New Roman" w:hAnsi="Times New Roman" w:cs="Times New Roman"/>
          <w:sz w:val="24"/>
          <w:szCs w:val="24"/>
        </w:rPr>
        <w:t>contact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F2179D">
        <w:rPr>
          <w:rFonts w:ascii="Times New Roman" w:hAnsi="Times New Roman" w:cs="Times New Roman"/>
          <w:sz w:val="24"/>
          <w:szCs w:val="24"/>
        </w:rPr>
        <w:t>Please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refer to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SR-NFX-201</w:t>
      </w:r>
      <w:r w:rsidR="0068501D" w:rsidRPr="00F2179D">
        <w:rPr>
          <w:rFonts w:ascii="Times New Roman" w:hAnsi="Times New Roman" w:cs="Times New Roman"/>
          <w:sz w:val="24"/>
          <w:szCs w:val="24"/>
        </w:rPr>
        <w:t>8</w:t>
      </w:r>
      <w:r w:rsidRPr="00F2179D">
        <w:rPr>
          <w:rFonts w:ascii="Times New Roman" w:hAnsi="Times New Roman" w:cs="Times New Roman"/>
          <w:sz w:val="24"/>
          <w:szCs w:val="24"/>
        </w:rPr>
        <w:t>-</w:t>
      </w:r>
      <w:r w:rsidR="00FD0907">
        <w:rPr>
          <w:rFonts w:ascii="Times New Roman" w:hAnsi="Times New Roman" w:cs="Times New Roman"/>
          <w:sz w:val="24"/>
          <w:szCs w:val="24"/>
        </w:rPr>
        <w:t>65</w:t>
      </w:r>
      <w:r w:rsidR="007C4348" w:rsidRPr="00F2179D">
        <w:rPr>
          <w:rFonts w:ascii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F2179D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F2179D" w:rsidRDefault="00120C05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2DFD7D0" wp14:editId="30671384">
            <wp:extent cx="1550788" cy="65722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F2179D" w:rsidRDefault="00120C05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F2179D" w:rsidRDefault="00F2179D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Pr="00F2179D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RPr="00F2179D" w:rsidSect="005444C0">
      <w:headerReference w:type="defaul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C0" w:rsidRDefault="00A95BC0">
      <w:r>
        <w:separator/>
      </w:r>
    </w:p>
  </w:endnote>
  <w:endnote w:type="continuationSeparator" w:id="0">
    <w:p w:rsidR="00A95BC0" w:rsidRDefault="00A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C0" w:rsidRDefault="00A95BC0">
      <w:r>
        <w:separator/>
      </w:r>
    </w:p>
  </w:footnote>
  <w:footnote w:type="continuationSeparator" w:id="0">
    <w:p w:rsidR="00A95BC0" w:rsidRDefault="00A95BC0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180303">
        <w:rPr>
          <w:rFonts w:ascii="Times New Roman" w:hAnsi="Times New Roman" w:cs="Times New Roman"/>
        </w:rPr>
        <w:t>8</w:t>
      </w:r>
      <w:r w:rsidRPr="005A2000">
        <w:rPr>
          <w:rFonts w:ascii="Times New Roman" w:hAnsi="Times New Roman" w:cs="Times New Roman"/>
        </w:rPr>
        <w:t>-</w:t>
      </w:r>
      <w:r w:rsidR="00120C05">
        <w:rPr>
          <w:rFonts w:ascii="Times New Roman" w:hAnsi="Times New Roman" w:cs="Times New Roman"/>
        </w:rPr>
        <w:t>49 and SR-NFX-2018-51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03664">
      <w:rPr>
        <w:rFonts w:ascii="Times New Roman" w:hAnsi="Times New Roman" w:cs="Times New Roman"/>
        <w:noProof/>
        <w:sz w:val="20"/>
        <w:szCs w:val="20"/>
      </w:rPr>
      <w:t>November 29,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68501D">
      <w:rPr>
        <w:rFonts w:ascii="Times New Roman" w:hAnsi="Times New Roman" w:cs="Times New Roman"/>
        <w:sz w:val="20"/>
        <w:szCs w:val="20"/>
      </w:rPr>
      <w:t>8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120C05">
      <w:rPr>
        <w:rFonts w:ascii="Times New Roman" w:hAnsi="Times New Roman" w:cs="Times New Roman"/>
        <w:sz w:val="20"/>
        <w:szCs w:val="20"/>
      </w:rPr>
      <w:t>65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8B2E4D">
      <w:rPr>
        <w:rFonts w:ascii="Times New Roman" w:hAnsi="Times New Roman" w:cs="Times New Roman"/>
        <w:noProof/>
        <w:sz w:val="20"/>
        <w:szCs w:val="20"/>
      </w:rPr>
      <w:t>4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05826"/>
    <w:rsid w:val="0011314A"/>
    <w:rsid w:val="00120C05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1F1793"/>
    <w:rsid w:val="001F5E55"/>
    <w:rsid w:val="001F7DF3"/>
    <w:rsid w:val="002010FF"/>
    <w:rsid w:val="0021084F"/>
    <w:rsid w:val="00210BE0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6B16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4948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501D"/>
    <w:rsid w:val="00687FED"/>
    <w:rsid w:val="006970D0"/>
    <w:rsid w:val="006974BA"/>
    <w:rsid w:val="006A070C"/>
    <w:rsid w:val="006A2157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A68AA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2E4D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95BC0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E739C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331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DFE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C2030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5376C"/>
    <w:rsid w:val="00D61EDD"/>
    <w:rsid w:val="00D632B1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3664"/>
    <w:rsid w:val="00F06109"/>
    <w:rsid w:val="00F06CCD"/>
    <w:rsid w:val="00F07DAD"/>
    <w:rsid w:val="00F10F71"/>
    <w:rsid w:val="00F12343"/>
    <w:rsid w:val="00F16B3B"/>
    <w:rsid w:val="00F16EA3"/>
    <w:rsid w:val="00F17C44"/>
    <w:rsid w:val="00F2179D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C66B1"/>
    <w:rsid w:val="00FD0907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aa0638d0-43f8-4ac4-a4de-ced72623174e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2018-11-29T23:27:44+00:00</Document_x0020_Date>
    <Document_x0020_No xmlns="4b47aac5-4c46-444f-8595-ce09b406fc61">45197</Document_x0020_No>
  </documentManagement>
</p:properties>
</file>

<file path=customXml/itemProps1.xml><?xml version="1.0" encoding="utf-8"?>
<ds:datastoreItem xmlns:ds="http://schemas.openxmlformats.org/officeDocument/2006/customXml" ds:itemID="{8445E87C-A51A-4A16-BC88-A7E775342BCA}"/>
</file>

<file path=customXml/itemProps2.xml><?xml version="1.0" encoding="utf-8"?>
<ds:datastoreItem xmlns:ds="http://schemas.openxmlformats.org/officeDocument/2006/customXml" ds:itemID="{55319C8C-47B4-437E-946B-F3989F4F6E2A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013D7E6A-C8D7-4E4D-A917-1469F635D68F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15</TotalTime>
  <Pages>4</Pages>
  <Words>631</Words>
  <Characters>3602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SR-NFX-2018-65</dc:title>
  <dc:creator>Shari Bradford</dc:creator>
  <cp:lastModifiedBy>Aravind Menon</cp:lastModifiedBy>
  <cp:revision>5</cp:revision>
  <cp:lastPrinted>2018-10-18T18:26:00Z</cp:lastPrinted>
  <dcterms:created xsi:type="dcterms:W3CDTF">2018-11-29T23:03:00Z</dcterms:created>
  <dcterms:modified xsi:type="dcterms:W3CDTF">2018-11-29T23:18:00Z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6577700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