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98" w:rsidRPr="00650B32" w:rsidRDefault="00EC1F98" w:rsidP="001B6ADA">
      <w:pPr>
        <w:pStyle w:val="NoSpacing"/>
        <w:ind w:left="2620" w:firstLine="131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0B32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Rule Self-Certification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101CA" w:rsidRPr="00650B32" w:rsidRDefault="001C47C6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December 14</w:t>
      </w:r>
      <w:r w:rsidR="005101CA">
        <w:rPr>
          <w:rFonts w:ascii="Times New Roman" w:eastAsia="Calibri" w:hAnsi="Times New Roman" w:cs="Times New Roman"/>
          <w:sz w:val="24"/>
          <w:szCs w:val="24"/>
        </w:rPr>
        <w:t>, 201</w:t>
      </w:r>
      <w:r w:rsidR="005A7FD1">
        <w:rPr>
          <w:rFonts w:ascii="Times New Roman" w:eastAsia="Calibri" w:hAnsi="Times New Roman" w:cs="Times New Roman"/>
          <w:sz w:val="24"/>
          <w:szCs w:val="24"/>
        </w:rPr>
        <w:t>8</w:t>
      </w:r>
    </w:p>
    <w:p w:rsidR="005101CA" w:rsidRPr="00650B32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5101CA" w:rsidRPr="00197F7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97F73">
        <w:rPr>
          <w:rFonts w:ascii="Times New Roman" w:eastAsia="Calibri" w:hAnsi="Times New Roman" w:cs="Times New Roman"/>
          <w:sz w:val="24"/>
          <w:szCs w:val="24"/>
        </w:rPr>
        <w:t>Christopher J. Kirkpatrick</w:t>
      </w:r>
    </w:p>
    <w:p w:rsidR="005101CA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97F73">
        <w:rPr>
          <w:rFonts w:ascii="Times New Roman" w:eastAsia="Calibri" w:hAnsi="Times New Roman" w:cs="Times New Roman"/>
          <w:sz w:val="24"/>
          <w:szCs w:val="24"/>
        </w:rPr>
        <w:t>Office of the Secretariat</w:t>
      </w: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Three Lafayette Center</w:t>
      </w: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1155 21</w:t>
      </w:r>
      <w:r w:rsidRPr="00352533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352533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:rsidR="005101CA" w:rsidRPr="00352533" w:rsidRDefault="005101CA" w:rsidP="005101C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5101CA" w:rsidRDefault="005101CA" w:rsidP="00566AD7">
      <w:pPr>
        <w:pStyle w:val="NoSpacing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Re:  </w:t>
      </w:r>
      <w:r w:rsidR="005F6EC0" w:rsidRPr="00352533">
        <w:rPr>
          <w:rFonts w:ascii="Times New Roman" w:eastAsia="Calibri" w:hAnsi="Times New Roman" w:cs="Times New Roman"/>
          <w:b/>
          <w:sz w:val="24"/>
          <w:szCs w:val="24"/>
        </w:rPr>
        <w:t xml:space="preserve">Rule Certification </w:t>
      </w:r>
      <w:r w:rsidR="005F6EC0">
        <w:rPr>
          <w:rFonts w:ascii="Times New Roman" w:eastAsia="Calibri" w:hAnsi="Times New Roman" w:cs="Times New Roman"/>
          <w:b/>
          <w:sz w:val="24"/>
          <w:szCs w:val="24"/>
        </w:rPr>
        <w:t xml:space="preserve">for </w:t>
      </w:r>
      <w:r w:rsidR="00E10EC8">
        <w:rPr>
          <w:rFonts w:ascii="Times New Roman" w:eastAsia="Calibri" w:hAnsi="Times New Roman" w:cs="Times New Roman"/>
          <w:b/>
          <w:sz w:val="24"/>
          <w:szCs w:val="24"/>
        </w:rPr>
        <w:t>Amendment</w:t>
      </w:r>
      <w:r w:rsidR="00B5514C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E10EC8">
        <w:rPr>
          <w:rFonts w:ascii="Times New Roman" w:eastAsia="Calibri" w:hAnsi="Times New Roman" w:cs="Times New Roman"/>
          <w:b/>
          <w:sz w:val="24"/>
          <w:szCs w:val="24"/>
        </w:rPr>
        <w:t xml:space="preserve"> to the</w:t>
      </w:r>
    </w:p>
    <w:p w:rsidR="00566AD7" w:rsidRPr="00352533" w:rsidRDefault="00566AD7" w:rsidP="00566AD7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B35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514C">
        <w:rPr>
          <w:rFonts w:ascii="Times New Roman" w:eastAsia="Calibri" w:hAnsi="Times New Roman" w:cs="Times New Roman"/>
          <w:b/>
          <w:sz w:val="24"/>
          <w:szCs w:val="24"/>
        </w:rPr>
        <w:t>NFX Fee Schedule</w:t>
      </w:r>
    </w:p>
    <w:p w:rsidR="005101CA" w:rsidRPr="00352533" w:rsidRDefault="005101CA" w:rsidP="005101CA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</w:t>
      </w:r>
      <w:r w:rsidRPr="00352533">
        <w:rPr>
          <w:rFonts w:ascii="Times New Roman" w:eastAsia="Calibri" w:hAnsi="Times New Roman" w:cs="Times New Roman"/>
          <w:b/>
          <w:sz w:val="24"/>
          <w:szCs w:val="24"/>
          <w:u w:val="single"/>
        </w:rPr>
        <w:t>eference File: SR-NFX-201</w:t>
      </w:r>
      <w:r w:rsidR="005A7FD1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352533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1C47C6">
        <w:rPr>
          <w:rFonts w:ascii="Times New Roman" w:eastAsia="Calibri" w:hAnsi="Times New Roman" w:cs="Times New Roman"/>
          <w:b/>
          <w:sz w:val="24"/>
          <w:szCs w:val="24"/>
          <w:u w:val="single"/>
        </w:rPr>
        <w:t>70</w:t>
      </w:r>
    </w:p>
    <w:p w:rsidR="005101CA" w:rsidRPr="00352533" w:rsidRDefault="005101CA" w:rsidP="005101CA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Dear Mr. Kirkpatrick:</w:t>
      </w:r>
      <w:r w:rsidR="00526D6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566994" w:rsidRPr="009A5D9B" w:rsidRDefault="00566994" w:rsidP="00566994">
      <w:pPr>
        <w:pStyle w:val="Default"/>
        <w:ind w:firstLine="1310"/>
      </w:pPr>
      <w:r w:rsidRPr="009A5D9B">
        <w:rPr>
          <w:rFonts w:eastAsia="Calibri"/>
        </w:rPr>
        <w:t>Pursuant to Section 5c(c</w:t>
      </w:r>
      <w:proofErr w:type="gramStart"/>
      <w:r w:rsidRPr="009A5D9B">
        <w:rPr>
          <w:rFonts w:eastAsia="Calibri"/>
        </w:rPr>
        <w:t>)(</w:t>
      </w:r>
      <w:proofErr w:type="gramEnd"/>
      <w:r w:rsidRPr="009A5D9B">
        <w:rPr>
          <w:rFonts w:eastAsia="Calibri"/>
        </w:rPr>
        <w:t>1) of the Commodity Exchange Act, as amended (“</w:t>
      </w:r>
      <w:r w:rsidRPr="009A5D9B">
        <w:rPr>
          <w:rFonts w:eastAsia="Calibri"/>
          <w:u w:val="single"/>
        </w:rPr>
        <w:t>Act</w:t>
      </w:r>
      <w:r w:rsidRPr="009A5D9B">
        <w:rPr>
          <w:rFonts w:eastAsia="Calibri"/>
        </w:rPr>
        <w:t xml:space="preserve">”), and Section </w:t>
      </w:r>
      <w:r w:rsidRPr="009A5D9B">
        <w:t xml:space="preserve">40.6 </w:t>
      </w:r>
      <w:r w:rsidRPr="009A5D9B">
        <w:rPr>
          <w:rFonts w:eastAsia="Calibri"/>
        </w:rPr>
        <w:t>of the Commission’s regulations thereunder, NASDAQ Futures, Inc. (“</w:t>
      </w:r>
      <w:r w:rsidRPr="009A5D9B">
        <w:rPr>
          <w:rFonts w:eastAsia="Calibri"/>
          <w:u w:val="single"/>
        </w:rPr>
        <w:t>NFX</w:t>
      </w:r>
      <w:r w:rsidRPr="009A5D9B">
        <w:rPr>
          <w:rFonts w:eastAsia="Calibri"/>
        </w:rPr>
        <w:t>” or “</w:t>
      </w:r>
      <w:r w:rsidRPr="009A5D9B">
        <w:rPr>
          <w:rFonts w:eastAsia="Calibri"/>
          <w:u w:val="single"/>
        </w:rPr>
        <w:t>Exchange</w:t>
      </w:r>
      <w:r w:rsidRPr="009A5D9B">
        <w:rPr>
          <w:rFonts w:eastAsia="Calibri"/>
        </w:rPr>
        <w:t>”) is amending its fee schedule</w:t>
      </w:r>
      <w:r w:rsidR="00324B55">
        <w:rPr>
          <w:rFonts w:eastAsia="Calibri"/>
        </w:rPr>
        <w:t xml:space="preserve"> to</w:t>
      </w:r>
      <w:r w:rsidRPr="009A5D9B">
        <w:rPr>
          <w:rFonts w:eastAsia="Calibri"/>
        </w:rPr>
        <w:t xml:space="preserve"> </w:t>
      </w:r>
      <w:r w:rsidR="00F731C4">
        <w:rPr>
          <w:rFonts w:eastAsia="Calibri"/>
        </w:rPr>
        <w:t xml:space="preserve">(1) </w:t>
      </w:r>
      <w:r w:rsidR="000A7F25">
        <w:rPr>
          <w:rFonts w:eastAsia="Calibri"/>
        </w:rPr>
        <w:t xml:space="preserve">increase </w:t>
      </w:r>
      <w:r w:rsidR="001C47C6">
        <w:rPr>
          <w:rFonts w:eastAsia="Calibri"/>
        </w:rPr>
        <w:t xml:space="preserve">certain </w:t>
      </w:r>
      <w:r w:rsidR="000A7F25">
        <w:rPr>
          <w:rFonts w:eastAsia="Calibri"/>
        </w:rPr>
        <w:t xml:space="preserve">fees for </w:t>
      </w:r>
      <w:r w:rsidR="001C47C6">
        <w:rPr>
          <w:rFonts w:eastAsia="Calibri"/>
        </w:rPr>
        <w:t xml:space="preserve">the Treasury futures  </w:t>
      </w:r>
      <w:r w:rsidR="000A7F25">
        <w:rPr>
          <w:rFonts w:eastAsia="Calibri"/>
        </w:rPr>
        <w:t xml:space="preserve"> </w:t>
      </w:r>
      <w:r w:rsidR="00F731C4">
        <w:rPr>
          <w:rFonts w:eastAsia="Calibri"/>
        </w:rPr>
        <w:t>contracts</w:t>
      </w:r>
      <w:r w:rsidR="001C47C6">
        <w:rPr>
          <w:rFonts w:eastAsia="Calibri"/>
        </w:rPr>
        <w:t xml:space="preserve"> (“</w:t>
      </w:r>
      <w:r w:rsidR="001C47C6" w:rsidRPr="006A6FB4">
        <w:rPr>
          <w:rFonts w:eastAsia="Calibri"/>
          <w:u w:val="single"/>
        </w:rPr>
        <w:t>TF Contracts</w:t>
      </w:r>
      <w:r w:rsidR="001C47C6">
        <w:rPr>
          <w:rFonts w:eastAsia="Calibri"/>
        </w:rPr>
        <w:t>”)</w:t>
      </w:r>
      <w:r w:rsidR="00F731C4">
        <w:rPr>
          <w:rFonts w:eastAsia="Calibri"/>
        </w:rPr>
        <w:t xml:space="preserve">; </w:t>
      </w:r>
      <w:r w:rsidR="001C47C6">
        <w:rPr>
          <w:rFonts w:eastAsia="Calibri"/>
        </w:rPr>
        <w:t xml:space="preserve">and </w:t>
      </w:r>
      <w:r w:rsidR="00F731C4">
        <w:rPr>
          <w:rFonts w:eastAsia="Calibri"/>
        </w:rPr>
        <w:t xml:space="preserve">(2) </w:t>
      </w:r>
      <w:r w:rsidR="000A7F25">
        <w:rPr>
          <w:rFonts w:eastAsia="Calibri"/>
        </w:rPr>
        <w:t xml:space="preserve">introduce a </w:t>
      </w:r>
      <w:r w:rsidR="001C47C6">
        <w:rPr>
          <w:rFonts w:eastAsia="Calibri"/>
        </w:rPr>
        <w:t>distinction between active and passive trades in the T</w:t>
      </w:r>
      <w:r w:rsidR="006A6FB4">
        <w:rPr>
          <w:rFonts w:eastAsia="Calibri"/>
        </w:rPr>
        <w:t>F</w:t>
      </w:r>
      <w:r w:rsidR="001C47C6">
        <w:rPr>
          <w:rFonts w:eastAsia="Calibri"/>
        </w:rPr>
        <w:t xml:space="preserve"> Contracts for pricing purposes</w:t>
      </w:r>
      <w:r w:rsidR="00FC6D30">
        <w:rPr>
          <w:rFonts w:eastAsia="Calibri"/>
        </w:rPr>
        <w:t>.</w:t>
      </w:r>
    </w:p>
    <w:p w:rsidR="00324B55" w:rsidRDefault="00324B55" w:rsidP="00566994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755A05" w:rsidRDefault="00566994" w:rsidP="00566994">
      <w:pPr>
        <w:pStyle w:val="NoSpacing"/>
        <w:ind w:firstLine="1310"/>
      </w:pPr>
      <w:r>
        <w:rPr>
          <w:rFonts w:ascii="Times New Roman" w:eastAsia="Calibri" w:hAnsi="Times New Roman" w:cs="Times New Roman"/>
          <w:sz w:val="24"/>
          <w:szCs w:val="24"/>
        </w:rPr>
        <w:t xml:space="preserve">These changes will become effective on </w:t>
      </w:r>
      <w:r w:rsidR="001C47C6">
        <w:rPr>
          <w:rFonts w:ascii="Times New Roman" w:eastAsia="Calibri" w:hAnsi="Times New Roman" w:cs="Times New Roman"/>
          <w:sz w:val="24"/>
          <w:szCs w:val="24"/>
        </w:rPr>
        <w:t>January</w:t>
      </w:r>
      <w:r w:rsidR="000A7F25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1C47C6">
        <w:rPr>
          <w:rFonts w:ascii="Times New Roman" w:eastAsia="Calibri" w:hAnsi="Times New Roman" w:cs="Times New Roman"/>
          <w:sz w:val="24"/>
          <w:szCs w:val="24"/>
        </w:rPr>
        <w:t>, 2019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A5D9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corresponding amendment is contained in </w:t>
      </w:r>
      <w:r w:rsidRPr="000A3C86">
        <w:rPr>
          <w:rFonts w:ascii="Times New Roman" w:eastAsia="Calibri" w:hAnsi="Times New Roman" w:cs="Times New Roman"/>
          <w:sz w:val="24"/>
          <w:szCs w:val="24"/>
          <w:u w:val="single"/>
        </w:rPr>
        <w:t>Exhibit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47C6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1C47C6" w:rsidRPr="001C47C6">
        <w:rPr>
          <w:rFonts w:ascii="Times New Roman" w:eastAsia="Calibri" w:hAnsi="Times New Roman" w:cs="Times New Roman"/>
          <w:sz w:val="24"/>
          <w:szCs w:val="24"/>
          <w:u w:val="single"/>
        </w:rPr>
        <w:t>Exhibit B</w:t>
      </w:r>
      <w:r w:rsidR="001C47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below.</w:t>
      </w:r>
      <w:r w:rsidR="00755A05" w:rsidRPr="00755A05">
        <w:t xml:space="preserve"> </w:t>
      </w:r>
    </w:p>
    <w:p w:rsidR="00324B55" w:rsidRDefault="00324B55" w:rsidP="004A75CC">
      <w:pPr>
        <w:spacing w:after="0" w:line="240" w:lineRule="auto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D91713" w:rsidRDefault="00D91713" w:rsidP="004A75CC">
      <w:pPr>
        <w:spacing w:after="0" w:line="240" w:lineRule="auto"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755A05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reduced fee for </w:t>
      </w:r>
      <w:r>
        <w:rPr>
          <w:rFonts w:ascii="Times New Roman" w:hAnsi="Times New Roman" w:cs="Times New Roman"/>
          <w:sz w:val="24"/>
          <w:szCs w:val="24"/>
        </w:rPr>
        <w:t>DMMs</w:t>
      </w:r>
      <w:r w:rsidRPr="00755A05">
        <w:rPr>
          <w:rFonts w:ascii="Times New Roman" w:eastAsia="Calibri" w:hAnsi="Times New Roman" w:cs="Times New Roman"/>
          <w:sz w:val="24"/>
          <w:szCs w:val="24"/>
        </w:rPr>
        <w:t xml:space="preserve"> is included in the fee schedule and will be offered to any market participant who is willing to make markets by providing continuous quotes during the hours of 8AM – 4PM E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755A05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55A05">
        <w:rPr>
          <w:rFonts w:ascii="Times New Roman" w:eastAsia="Calibri" w:hAnsi="Times New Roman" w:cs="Times New Roman"/>
          <w:sz w:val="24"/>
          <w:szCs w:val="24"/>
        </w:rPr>
        <w:t xml:space="preserve"> Monday through Friday.  </w:t>
      </w:r>
      <w:r>
        <w:rPr>
          <w:rFonts w:ascii="Times New Roman" w:eastAsia="Calibri" w:hAnsi="Times New Roman" w:cs="Times New Roman"/>
          <w:sz w:val="24"/>
          <w:szCs w:val="24"/>
        </w:rPr>
        <w:t>Participation as a DMM will be by simple application to the Exchange, and completion of a participation agreement.  There will be no competitive tender process, and no limit to the number of firms able to participate.  If a participant fails to provide continuous quoting in the TF Contracts it will no longer be eligible for the reduced fee.</w:t>
      </w:r>
    </w:p>
    <w:p w:rsidR="00D91713" w:rsidRDefault="00D91713" w:rsidP="004A75CC">
      <w:pPr>
        <w:spacing w:after="0" w:line="240" w:lineRule="auto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8E3547" w:rsidRDefault="00D91713" w:rsidP="004A75CC">
      <w:pPr>
        <w:spacing w:after="0" w:line="240" w:lineRule="auto"/>
        <w:ind w:firstLine="13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changes also introduce a distinction between “active” and “passive” trades.  </w:t>
      </w:r>
      <w:r w:rsidRPr="00D91713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D91713">
        <w:rPr>
          <w:rFonts w:ascii="Times New Roman" w:eastAsia="Calibri" w:hAnsi="Times New Roman" w:cs="Times New Roman"/>
          <w:sz w:val="24"/>
          <w:szCs w:val="24"/>
        </w:rPr>
        <w:t xml:space="preserve">assive” </w:t>
      </w:r>
      <w:r>
        <w:rPr>
          <w:rFonts w:ascii="Times New Roman" w:eastAsia="Calibri" w:hAnsi="Times New Roman" w:cs="Times New Roman"/>
          <w:sz w:val="24"/>
          <w:szCs w:val="24"/>
        </w:rPr>
        <w:t>refers to</w:t>
      </w:r>
      <w:r w:rsidRPr="00D91713">
        <w:rPr>
          <w:rFonts w:ascii="Times New Roman" w:eastAsia="Calibri" w:hAnsi="Times New Roman" w:cs="Times New Roman"/>
          <w:sz w:val="24"/>
          <w:szCs w:val="24"/>
        </w:rPr>
        <w:t xml:space="preserve"> adding liquidity</w:t>
      </w:r>
      <w:r>
        <w:rPr>
          <w:rFonts w:ascii="Times New Roman" w:eastAsia="Calibri" w:hAnsi="Times New Roman" w:cs="Times New Roman"/>
          <w:sz w:val="24"/>
          <w:szCs w:val="24"/>
        </w:rPr>
        <w:t>, or</w:t>
      </w:r>
      <w:r w:rsidRPr="00D91713">
        <w:rPr>
          <w:rFonts w:ascii="Times New Roman" w:eastAsia="Calibri" w:hAnsi="Times New Roman" w:cs="Times New Roman"/>
          <w:sz w:val="24"/>
          <w:szCs w:val="24"/>
        </w:rPr>
        <w:t xml:space="preserve"> resting liquidity.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91713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D91713">
        <w:rPr>
          <w:rFonts w:ascii="Times New Roman" w:eastAsia="Calibri" w:hAnsi="Times New Roman" w:cs="Times New Roman"/>
          <w:sz w:val="24"/>
          <w:szCs w:val="24"/>
        </w:rPr>
        <w:t xml:space="preserve">ctive” </w:t>
      </w:r>
      <w:r>
        <w:rPr>
          <w:rFonts w:ascii="Times New Roman" w:eastAsia="Calibri" w:hAnsi="Times New Roman" w:cs="Times New Roman"/>
          <w:sz w:val="24"/>
          <w:szCs w:val="24"/>
        </w:rPr>
        <w:t>refers to taking liquidity, or executing against resting liquidity</w:t>
      </w:r>
      <w:r w:rsidRPr="00D91713">
        <w:rPr>
          <w:rFonts w:ascii="Times New Roman" w:eastAsia="Calibri" w:hAnsi="Times New Roman" w:cs="Times New Roman"/>
          <w:sz w:val="24"/>
          <w:szCs w:val="24"/>
        </w:rPr>
        <w:t>.</w:t>
      </w:r>
      <w:r w:rsidR="006A6FB4">
        <w:rPr>
          <w:rFonts w:ascii="Times New Roman" w:eastAsia="Calibri" w:hAnsi="Times New Roman" w:cs="Times New Roman"/>
          <w:sz w:val="24"/>
          <w:szCs w:val="24"/>
        </w:rPr>
        <w:t xml:space="preserve">  The fees are currently the same for the Standard Screen Fee, but differ for DMMs.  DMMs do not pay a fee for “passive” trades.</w:t>
      </w:r>
      <w:bookmarkStart w:id="0" w:name="_GoBack"/>
      <w:bookmarkEnd w:id="0"/>
    </w:p>
    <w:p w:rsidR="008E3547" w:rsidRDefault="008E35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66994" w:rsidRPr="0066257B" w:rsidRDefault="00566994" w:rsidP="00566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57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DCM Core Principles</w:t>
      </w:r>
    </w:p>
    <w:p w:rsidR="00566994" w:rsidRPr="009A5D9B" w:rsidRDefault="00566994" w:rsidP="00566994">
      <w:pPr>
        <w:autoSpaceDE w:val="0"/>
        <w:autoSpaceDN w:val="0"/>
        <w:adjustRightInd w:val="0"/>
        <w:spacing w:after="0" w:line="240" w:lineRule="auto"/>
        <w:ind w:firstLine="1310"/>
        <w:rPr>
          <w:rFonts w:ascii="Times New Roman" w:hAnsi="Times New Roman" w:cs="Times New Roman"/>
          <w:sz w:val="24"/>
          <w:szCs w:val="24"/>
        </w:rPr>
      </w:pPr>
    </w:p>
    <w:p w:rsidR="001615F2" w:rsidRDefault="00566994" w:rsidP="00755A05">
      <w:pPr>
        <w:spacing w:after="0" w:line="240" w:lineRule="auto"/>
        <w:ind w:firstLine="1310"/>
        <w:rPr>
          <w:rFonts w:ascii="Times New Roman" w:eastAsia="Times New Roman" w:hAnsi="Times New Roman" w:cs="Times New Roman"/>
          <w:sz w:val="24"/>
          <w:szCs w:val="24"/>
        </w:rPr>
      </w:pPr>
      <w:r w:rsidRPr="009A5D9B">
        <w:rPr>
          <w:rFonts w:ascii="Times New Roman" w:hAnsi="Times New Roman" w:cs="Times New Roman"/>
          <w:sz w:val="24"/>
          <w:szCs w:val="24"/>
        </w:rPr>
        <w:t>The Exchange believes the fee schedule amendments are consistent with Designated Contract Market (“</w:t>
      </w:r>
      <w:r w:rsidRPr="009A5D9B">
        <w:rPr>
          <w:rFonts w:ascii="Times New Roman" w:hAnsi="Times New Roman" w:cs="Times New Roman"/>
          <w:sz w:val="24"/>
          <w:szCs w:val="24"/>
          <w:u w:val="single"/>
        </w:rPr>
        <w:t>DCM</w:t>
      </w:r>
      <w:r w:rsidRPr="009A5D9B">
        <w:rPr>
          <w:rFonts w:ascii="Times New Roman" w:hAnsi="Times New Roman" w:cs="Times New Roman"/>
          <w:sz w:val="24"/>
          <w:szCs w:val="24"/>
        </w:rPr>
        <w:t xml:space="preserve">”) Core Principles.  The Exchange will publish the amended fee schedule on its website to ensure that market participants have been advised </w:t>
      </w:r>
      <w:r>
        <w:rPr>
          <w:rFonts w:ascii="Times New Roman" w:hAnsi="Times New Roman" w:cs="Times New Roman"/>
          <w:sz w:val="24"/>
          <w:szCs w:val="24"/>
        </w:rPr>
        <w:t>of the changes</w:t>
      </w:r>
      <w:r w:rsidRPr="009A5D9B">
        <w:rPr>
          <w:rFonts w:ascii="Times New Roman" w:hAnsi="Times New Roman" w:cs="Times New Roman"/>
          <w:sz w:val="24"/>
          <w:szCs w:val="24"/>
        </w:rPr>
        <w:t xml:space="preserve">.  The Exchange believes the </w:t>
      </w:r>
      <w:r w:rsidR="00CC09A5">
        <w:rPr>
          <w:rFonts w:ascii="Times New Roman" w:hAnsi="Times New Roman" w:cs="Times New Roman"/>
          <w:sz w:val="24"/>
          <w:szCs w:val="24"/>
        </w:rPr>
        <w:t>amendments are</w:t>
      </w:r>
      <w:r w:rsidRPr="009A5D9B">
        <w:rPr>
          <w:rFonts w:ascii="Times New Roman" w:hAnsi="Times New Roman" w:cs="Times New Roman"/>
          <w:sz w:val="24"/>
          <w:szCs w:val="24"/>
        </w:rPr>
        <w:t xml:space="preserve"> reasonable and </w:t>
      </w:r>
      <w:r w:rsidR="00CC09A5">
        <w:rPr>
          <w:rFonts w:ascii="Times New Roman" w:hAnsi="Times New Roman" w:cs="Times New Roman"/>
          <w:sz w:val="24"/>
          <w:szCs w:val="24"/>
        </w:rPr>
        <w:t xml:space="preserve">that they </w:t>
      </w:r>
      <w:r>
        <w:rPr>
          <w:rFonts w:ascii="Times New Roman" w:hAnsi="Times New Roman" w:cs="Times New Roman"/>
          <w:sz w:val="24"/>
          <w:szCs w:val="24"/>
        </w:rPr>
        <w:t>continue</w:t>
      </w:r>
      <w:r w:rsidRPr="009A5D9B">
        <w:rPr>
          <w:rFonts w:ascii="Times New Roman" w:eastAsia="Times New Roman" w:hAnsi="Times New Roman" w:cs="Times New Roman"/>
          <w:sz w:val="24"/>
          <w:szCs w:val="24"/>
        </w:rPr>
        <w:t xml:space="preserve"> the Exchange’s goal of offering </w:t>
      </w:r>
      <w:r w:rsidR="00755A05">
        <w:rPr>
          <w:rFonts w:ascii="Times New Roman" w:eastAsia="Times New Roman" w:hAnsi="Times New Roman" w:cs="Times New Roman"/>
          <w:sz w:val="24"/>
          <w:szCs w:val="24"/>
        </w:rPr>
        <w:t xml:space="preserve">liquidity </w:t>
      </w:r>
      <w:r w:rsidRPr="009A5D9B">
        <w:rPr>
          <w:rFonts w:ascii="Times New Roman" w:eastAsia="Times New Roman" w:hAnsi="Times New Roman" w:cs="Times New Roman"/>
          <w:sz w:val="24"/>
          <w:szCs w:val="24"/>
        </w:rPr>
        <w:t>to the marketplace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A05" w:rsidRDefault="00755A05" w:rsidP="00566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A05" w:rsidRPr="00043462" w:rsidRDefault="00755A05" w:rsidP="00755A05">
      <w:pPr>
        <w:pStyle w:val="Default"/>
        <w:ind w:firstLine="1310"/>
      </w:pPr>
      <w:r w:rsidRPr="00043462">
        <w:t xml:space="preserve">The Exchange believes </w:t>
      </w:r>
      <w:r>
        <w:t xml:space="preserve">that </w:t>
      </w:r>
      <w:r w:rsidRPr="00043462">
        <w:t>the</w:t>
      </w:r>
      <w:r w:rsidR="00CC09A5">
        <w:t>se</w:t>
      </w:r>
      <w:r w:rsidRPr="00043462">
        <w:t xml:space="preserve"> </w:t>
      </w:r>
      <w:r w:rsidR="00D72946">
        <w:t>amendment</w:t>
      </w:r>
      <w:r w:rsidR="00CC09A5">
        <w:t>s</w:t>
      </w:r>
      <w:r>
        <w:t xml:space="preserve"> compl</w:t>
      </w:r>
      <w:r w:rsidR="00500EE5">
        <w:t>y</w:t>
      </w:r>
      <w:r w:rsidRPr="00043462">
        <w:t xml:space="preserve"> with Core Principle 4 (Monitoring of Trading), Core Principle 9 (Execution of Transactions) and Core Principle 12 (Protection of Market Participants). </w:t>
      </w:r>
      <w:r>
        <w:t xml:space="preserve"> </w:t>
      </w:r>
      <w:r w:rsidRPr="00043462">
        <w:t xml:space="preserve">The </w:t>
      </w:r>
      <w:r w:rsidR="00CC09A5">
        <w:t>amendments</w:t>
      </w:r>
      <w:r w:rsidR="00D72946">
        <w:t xml:space="preserve"> wi</w:t>
      </w:r>
      <w:r w:rsidRPr="00043462">
        <w:t xml:space="preserve">ll not impact order execution priority or otherwise give participants any execution preference or advantage. </w:t>
      </w:r>
      <w:r>
        <w:t xml:space="preserve"> </w:t>
      </w:r>
      <w:r w:rsidRPr="00043462">
        <w:t>The</w:t>
      </w:r>
      <w:r w:rsidR="00CC09A5">
        <w:t>y</w:t>
      </w:r>
      <w:r w:rsidRPr="00043462">
        <w:t xml:space="preserve"> will not impact the Exchange’s ability to perform its trade practice and market surveillance obligations under the Act and Exchange staff will monitor trading </w:t>
      </w:r>
      <w:r w:rsidR="00C36D24">
        <w:t xml:space="preserve">by </w:t>
      </w:r>
      <w:r w:rsidR="00D72946">
        <w:t>market participants</w:t>
      </w:r>
      <w:r w:rsidRPr="00043462">
        <w:t xml:space="preserve"> to prevent manipulative trading and market abuse. </w:t>
      </w:r>
      <w:r>
        <w:t xml:space="preserve"> </w:t>
      </w:r>
      <w:r w:rsidRPr="00043462">
        <w:t xml:space="preserve">Additionally, the Exchange has systems to track </w:t>
      </w:r>
      <w:r>
        <w:t>p</w:t>
      </w:r>
      <w:r w:rsidRPr="00043462">
        <w:t>rogram participants’ volume to ensure proper distribution of earned incentives.</w:t>
      </w:r>
      <w:r>
        <w:t xml:space="preserve"> </w:t>
      </w:r>
      <w:r w:rsidRPr="00043462">
        <w:t xml:space="preserve"> Finally, NFX rules include prohibitions against fraudulent, non-competitive, unfair or abusive practices.  </w:t>
      </w:r>
    </w:p>
    <w:p w:rsidR="00755A05" w:rsidRPr="00043462" w:rsidRDefault="00755A05" w:rsidP="00755A05">
      <w:pPr>
        <w:pStyle w:val="Default"/>
        <w:rPr>
          <w:color w:val="auto"/>
        </w:rPr>
      </w:pPr>
    </w:p>
    <w:p w:rsidR="00755A05" w:rsidRDefault="00755A05" w:rsidP="00C36D24">
      <w:pPr>
        <w:spacing w:after="0" w:line="240" w:lineRule="auto"/>
        <w:ind w:firstLine="1310"/>
        <w:rPr>
          <w:rFonts w:ascii="Times New Roman" w:hAnsi="Times New Roman" w:cs="Times New Roman"/>
          <w:sz w:val="24"/>
          <w:szCs w:val="24"/>
        </w:rPr>
      </w:pPr>
      <w:r w:rsidRPr="00043462">
        <w:rPr>
          <w:rFonts w:ascii="Times New Roman" w:hAnsi="Times New Roman" w:cs="Times New Roman"/>
          <w:sz w:val="24"/>
          <w:szCs w:val="24"/>
        </w:rPr>
        <w:t xml:space="preserve">The Exchange has reviewed the designated contract market core principles as set forth in the Act in connection with the amendments presented herein.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462">
        <w:rPr>
          <w:rFonts w:ascii="Times New Roman" w:hAnsi="Times New Roman" w:cs="Times New Roman"/>
          <w:sz w:val="24"/>
          <w:szCs w:val="24"/>
        </w:rPr>
        <w:t xml:space="preserve">Consistent with Core Principle 7 - Availability of General Information, the Exchange will post general information, including the NFX Rulebook as amended herein, on its website: </w:t>
      </w:r>
      <w:hyperlink r:id="rId11" w:history="1">
        <w:r w:rsidRPr="00043462">
          <w:rPr>
            <w:rStyle w:val="Hyperlink"/>
            <w:rFonts w:ascii="Times New Roman" w:hAnsi="Times New Roman" w:cs="Times New Roman"/>
            <w:sz w:val="24"/>
            <w:szCs w:val="24"/>
          </w:rPr>
          <w:t>business.nasdaq.com/futures</w:t>
        </w:r>
      </w:hyperlink>
      <w:r w:rsidRPr="00043462">
        <w:rPr>
          <w:rFonts w:ascii="Times New Roman" w:hAnsi="Times New Roman" w:cs="Times New Roman"/>
          <w:sz w:val="24"/>
          <w:szCs w:val="24"/>
        </w:rPr>
        <w:t>.</w:t>
      </w:r>
    </w:p>
    <w:p w:rsidR="00755A05" w:rsidRDefault="00755A05" w:rsidP="00755A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3"/>
          <w:u w:val="single"/>
        </w:rPr>
      </w:pPr>
    </w:p>
    <w:p w:rsidR="001615F2" w:rsidRPr="0013104F" w:rsidRDefault="001615F2" w:rsidP="001615F2">
      <w:pPr>
        <w:pStyle w:val="Default"/>
        <w:ind w:left="2620" w:firstLine="1310"/>
        <w:rPr>
          <w:b/>
          <w:bCs/>
          <w:color w:val="auto"/>
          <w:szCs w:val="23"/>
          <w:u w:val="single"/>
        </w:rPr>
      </w:pPr>
      <w:r w:rsidRPr="0013104F">
        <w:rPr>
          <w:b/>
          <w:bCs/>
          <w:color w:val="auto"/>
          <w:szCs w:val="23"/>
          <w:u w:val="single"/>
        </w:rPr>
        <w:t xml:space="preserve">Certifications </w:t>
      </w:r>
    </w:p>
    <w:p w:rsidR="001615F2" w:rsidRPr="0013104F" w:rsidRDefault="001615F2" w:rsidP="001615F2">
      <w:pPr>
        <w:pStyle w:val="Default"/>
        <w:ind w:left="2620"/>
        <w:rPr>
          <w:color w:val="auto"/>
        </w:rPr>
      </w:pPr>
    </w:p>
    <w:p w:rsidR="001615F2" w:rsidRPr="0013104F" w:rsidRDefault="001615F2" w:rsidP="001615F2">
      <w:pPr>
        <w:pStyle w:val="PlainText"/>
        <w:ind w:firstLine="1310"/>
        <w:rPr>
          <w:rFonts w:ascii="Times New Roman" w:eastAsia="Calibri" w:hAnsi="Times New Roman"/>
          <w:sz w:val="24"/>
          <w:szCs w:val="24"/>
        </w:rPr>
      </w:pPr>
      <w:r w:rsidRPr="0013104F">
        <w:rPr>
          <w:rFonts w:ascii="Times New Roman" w:hAnsi="Times New Roman"/>
          <w:sz w:val="24"/>
          <w:szCs w:val="23"/>
        </w:rPr>
        <w:t xml:space="preserve">There were no opposing views among NFX’s Board of Directors, members or market participants. </w:t>
      </w:r>
      <w:r>
        <w:rPr>
          <w:rFonts w:ascii="Times New Roman" w:hAnsi="Times New Roman"/>
          <w:sz w:val="24"/>
          <w:szCs w:val="23"/>
        </w:rPr>
        <w:t xml:space="preserve"> </w:t>
      </w:r>
      <w:r w:rsidRPr="0013104F">
        <w:rPr>
          <w:rFonts w:ascii="Times New Roman" w:hAnsi="Times New Roman"/>
          <w:sz w:val="24"/>
          <w:szCs w:val="23"/>
        </w:rPr>
        <w:t xml:space="preserve">The Exchange hereby certifies that the </w:t>
      </w:r>
      <w:r w:rsidR="00C36D24">
        <w:rPr>
          <w:rFonts w:ascii="Times New Roman" w:hAnsi="Times New Roman"/>
          <w:sz w:val="24"/>
          <w:szCs w:val="23"/>
        </w:rPr>
        <w:t>amendments to the fee schedule</w:t>
      </w:r>
      <w:r w:rsidRPr="0013104F">
        <w:rPr>
          <w:rFonts w:ascii="Times New Roman" w:hAnsi="Times New Roman"/>
          <w:sz w:val="24"/>
          <w:szCs w:val="23"/>
        </w:rPr>
        <w:t xml:space="preserve"> set forth herein compl</w:t>
      </w:r>
      <w:r>
        <w:rPr>
          <w:rFonts w:ascii="Times New Roman" w:hAnsi="Times New Roman"/>
          <w:sz w:val="24"/>
          <w:szCs w:val="23"/>
        </w:rPr>
        <w:t>ies</w:t>
      </w:r>
      <w:r w:rsidRPr="0013104F">
        <w:rPr>
          <w:rFonts w:ascii="Times New Roman" w:hAnsi="Times New Roman"/>
          <w:sz w:val="24"/>
          <w:szCs w:val="23"/>
        </w:rPr>
        <w:t xml:space="preserve"> with the Act and the Commission’s regulations thereunder. </w:t>
      </w:r>
      <w:r>
        <w:rPr>
          <w:rFonts w:ascii="Times New Roman" w:hAnsi="Times New Roman"/>
          <w:sz w:val="24"/>
          <w:szCs w:val="23"/>
        </w:rPr>
        <w:t xml:space="preserve"> </w:t>
      </w:r>
      <w:r w:rsidRPr="0013104F">
        <w:rPr>
          <w:rFonts w:ascii="Times New Roman" w:hAnsi="Times New Roman"/>
          <w:sz w:val="24"/>
          <w:szCs w:val="23"/>
        </w:rPr>
        <w:t xml:space="preserve">The Exchange also certifies that notice of pending certification and a copy of this submission have been concurrently posted on the Exchange’s website at </w:t>
      </w:r>
      <w:hyperlink r:id="rId12" w:history="1">
        <w:r>
          <w:rPr>
            <w:rStyle w:val="Hyperlink"/>
            <w:rFonts w:ascii="Times New Roman" w:hAnsi="Times New Roman"/>
            <w:sz w:val="24"/>
          </w:rPr>
          <w:t>business.nasdaq.com/futures</w:t>
        </w:r>
      </w:hyperlink>
      <w:r w:rsidRPr="0013104F">
        <w:rPr>
          <w:rFonts w:ascii="Times New Roman" w:hAnsi="Times New Roman"/>
          <w:sz w:val="24"/>
          <w:szCs w:val="23"/>
        </w:rPr>
        <w:t>.</w:t>
      </w:r>
    </w:p>
    <w:p w:rsidR="001615F2" w:rsidRPr="0013104F" w:rsidRDefault="001615F2" w:rsidP="001615F2">
      <w:pPr>
        <w:pStyle w:val="PlainText"/>
        <w:ind w:firstLine="1310"/>
        <w:rPr>
          <w:rFonts w:ascii="Times New Roman" w:hAnsi="Times New Roman"/>
          <w:sz w:val="24"/>
          <w:szCs w:val="24"/>
        </w:rPr>
      </w:pPr>
    </w:p>
    <w:p w:rsidR="002B56C0" w:rsidRPr="0013104F" w:rsidRDefault="001615F2" w:rsidP="0066257B">
      <w:pPr>
        <w:keepNext/>
        <w:spacing w:after="0" w:line="240" w:lineRule="auto"/>
        <w:ind w:firstLine="1310"/>
        <w:rPr>
          <w:rFonts w:ascii="Times New Roman" w:eastAsia="Times New Roman" w:hAnsi="Times New Roman" w:cs="Times New Roman"/>
          <w:sz w:val="24"/>
          <w:szCs w:val="24"/>
        </w:rPr>
      </w:pPr>
      <w:r w:rsidRPr="0013104F">
        <w:rPr>
          <w:rFonts w:ascii="Times New Roman" w:eastAsia="Calibri" w:hAnsi="Times New Roman" w:cs="Times New Roman"/>
          <w:sz w:val="24"/>
          <w:szCs w:val="24"/>
        </w:rPr>
        <w:t>If you require any additional information regarding th</w:t>
      </w:r>
      <w:r>
        <w:rPr>
          <w:rFonts w:ascii="Times New Roman" w:eastAsia="Calibri" w:hAnsi="Times New Roman" w:cs="Times New Roman"/>
          <w:sz w:val="24"/>
          <w:szCs w:val="24"/>
        </w:rPr>
        <w:t>is</w:t>
      </w:r>
      <w:r w:rsidRPr="0013104F">
        <w:rPr>
          <w:rFonts w:ascii="Times New Roman" w:eastAsia="Calibri" w:hAnsi="Times New Roman" w:cs="Times New Roman"/>
          <w:sz w:val="24"/>
          <w:szCs w:val="24"/>
        </w:rPr>
        <w:t xml:space="preserve"> submission, please </w:t>
      </w:r>
      <w:r w:rsidRPr="0013104F">
        <w:rPr>
          <w:rFonts w:ascii="Times New Roman" w:hAnsi="Times New Roman" w:cs="Times New Roman"/>
          <w:sz w:val="24"/>
          <w:szCs w:val="24"/>
        </w:rPr>
        <w:t>contact</w:t>
      </w:r>
      <w:r w:rsidRPr="001310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Stephen Matthews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D27">
        <w:rPr>
          <w:rFonts w:ascii="Times New Roman" w:eastAsia="Times New Roman" w:hAnsi="Times New Roman" w:cs="Times New Roman"/>
          <w:sz w:val="24"/>
          <w:szCs w:val="24"/>
        </w:rPr>
        <w:t>at (301) 978-84</w:t>
      </w:r>
      <w:r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1310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104F">
        <w:rPr>
          <w:rFonts w:ascii="Times New Roman" w:hAnsi="Times New Roman" w:cs="Times New Roman"/>
          <w:sz w:val="24"/>
          <w:szCs w:val="24"/>
        </w:rPr>
        <w:t>or</w:t>
      </w:r>
      <w:r w:rsidRPr="001310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steve.matthews</w:t>
      </w:r>
      <w:r w:rsidRPr="0013104F">
        <w:rPr>
          <w:rFonts w:ascii="Times New Roman" w:hAnsi="Times New Roman" w:cs="Times New Roman"/>
          <w:sz w:val="24"/>
          <w:szCs w:val="24"/>
        </w:rPr>
        <w:t>@nasdaq.com</w:t>
      </w:r>
      <w:r w:rsidRPr="0013104F">
        <w:rPr>
          <w:rFonts w:ascii="Times New Roman" w:hAnsi="Times New Roman" w:cs="Times New Roman"/>
          <w:spacing w:val="-6"/>
          <w:sz w:val="24"/>
          <w:szCs w:val="24"/>
        </w:rPr>
        <w:t xml:space="preserve">.  </w:t>
      </w:r>
      <w:r w:rsidRPr="0013104F">
        <w:rPr>
          <w:rFonts w:ascii="Times New Roman" w:hAnsi="Times New Roman" w:cs="Times New Roman"/>
          <w:sz w:val="24"/>
          <w:szCs w:val="24"/>
        </w:rPr>
        <w:t>Please</w:t>
      </w:r>
      <w:r w:rsidRPr="001310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3578">
        <w:rPr>
          <w:rFonts w:ascii="Times New Roman" w:hAnsi="Times New Roman" w:cs="Times New Roman"/>
          <w:sz w:val="24"/>
          <w:szCs w:val="24"/>
        </w:rPr>
        <w:t>refer to</w:t>
      </w:r>
      <w:r w:rsidRPr="002B357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SR-NFX-2018</w:t>
      </w:r>
      <w:r w:rsidRPr="002B3578">
        <w:rPr>
          <w:rFonts w:ascii="Times New Roman" w:hAnsi="Times New Roman" w:cs="Times New Roman"/>
          <w:sz w:val="24"/>
          <w:szCs w:val="24"/>
        </w:rPr>
        <w:t>-</w:t>
      </w:r>
      <w:r w:rsidR="008E3547">
        <w:rPr>
          <w:rFonts w:ascii="Times New Roman" w:hAnsi="Times New Roman" w:cs="Times New Roman"/>
          <w:sz w:val="24"/>
          <w:szCs w:val="24"/>
        </w:rPr>
        <w:t>70</w:t>
      </w:r>
      <w:r w:rsidRPr="002B357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B3578">
        <w:rPr>
          <w:rFonts w:ascii="Times New Roman" w:eastAsia="Calibri" w:hAnsi="Times New Roman" w:cs="Times New Roman"/>
          <w:sz w:val="24"/>
          <w:szCs w:val="24"/>
        </w:rPr>
        <w:t>in any related correspondence.</w:t>
      </w:r>
    </w:p>
    <w:p w:rsidR="002B56C0" w:rsidRPr="0013104F" w:rsidRDefault="002B56C0" w:rsidP="002B56C0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</w:p>
    <w:p w:rsidR="008E3547" w:rsidRPr="00F2179D" w:rsidRDefault="008E3547" w:rsidP="008E3547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8E3547" w:rsidRPr="00F2179D" w:rsidRDefault="008E3547" w:rsidP="008E3547">
      <w:pPr>
        <w:pStyle w:val="NoSpacing"/>
        <w:keepNext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379BD7C2" wp14:editId="70B0EFB6">
            <wp:extent cx="1550670" cy="654050"/>
            <wp:effectExtent l="0" t="0" r="0" b="0"/>
            <wp:docPr id="1" name="Picture 1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A78BF0-F405-40C9-8F94-49DE09D2EBB8" descr="image1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00" cy="69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547" w:rsidRPr="00F2179D" w:rsidRDefault="008E3547" w:rsidP="008E3547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Kevin Kennedy</w:t>
      </w:r>
    </w:p>
    <w:p w:rsidR="008E3547" w:rsidRPr="00F2179D" w:rsidRDefault="008E3547" w:rsidP="008E3547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Chief Executive Officer</w:t>
      </w:r>
    </w:p>
    <w:p w:rsidR="00C711C9" w:rsidRPr="00D06205" w:rsidRDefault="00C711C9" w:rsidP="00C711C9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2B56C0" w:rsidRPr="0013104F" w:rsidRDefault="002B56C0" w:rsidP="002B56C0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4F4E47" w:rsidRDefault="00335313" w:rsidP="002B5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</w:t>
      </w:r>
      <w:r w:rsidR="00692851">
        <w:rPr>
          <w:rFonts w:ascii="Times New Roman" w:hAnsi="Times New Roman" w:cs="Times New Roman"/>
          <w:sz w:val="24"/>
          <w:szCs w:val="24"/>
        </w:rPr>
        <w:t>ments:</w:t>
      </w:r>
    </w:p>
    <w:p w:rsidR="00692851" w:rsidRDefault="00692851" w:rsidP="002B5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547" w:rsidRDefault="008E3547" w:rsidP="00692851">
      <w:pPr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Exhibit A: </w:t>
      </w:r>
      <w:r w:rsidR="0024703B" w:rsidRPr="009A5D9B">
        <w:rPr>
          <w:rFonts w:ascii="Times New Roman" w:hAnsi="Times New Roman" w:cs="Times New Roman"/>
          <w:sz w:val="24"/>
          <w:szCs w:val="24"/>
        </w:rPr>
        <w:t>NASDAQ Futures, Inc. Fee Schedule Amendments</w:t>
      </w:r>
    </w:p>
    <w:p w:rsidR="00692851" w:rsidRDefault="00692851" w:rsidP="00692851">
      <w:pPr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6707F7">
        <w:rPr>
          <w:rFonts w:ascii="Times New Roman" w:hAnsi="Times New Roman" w:cs="Times New Roman"/>
          <w:sz w:val="24"/>
          <w:szCs w:val="24"/>
          <w:u w:val="single"/>
        </w:rPr>
        <w:t xml:space="preserve">Exhibit </w:t>
      </w:r>
      <w:r w:rsidR="008E3547">
        <w:rPr>
          <w:rFonts w:ascii="Times New Roman" w:hAnsi="Times New Roman" w:cs="Times New Roman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: Amended Fee Schedule effective </w:t>
      </w:r>
      <w:r w:rsidR="0024703B">
        <w:rPr>
          <w:rFonts w:ascii="Times New Roman" w:hAnsi="Times New Roman" w:cs="Times New Roman"/>
          <w:sz w:val="24"/>
          <w:szCs w:val="24"/>
        </w:rPr>
        <w:t>January</w:t>
      </w:r>
      <w:r w:rsidR="000A7F25">
        <w:rPr>
          <w:rFonts w:ascii="Times New Roman" w:hAnsi="Times New Roman" w:cs="Times New Roman"/>
          <w:sz w:val="24"/>
          <w:szCs w:val="24"/>
        </w:rPr>
        <w:t xml:space="preserve"> 1</w:t>
      </w:r>
      <w:r w:rsidR="0024703B">
        <w:rPr>
          <w:rFonts w:ascii="Times New Roman" w:hAnsi="Times New Roman" w:cs="Times New Roman"/>
          <w:sz w:val="24"/>
          <w:szCs w:val="24"/>
        </w:rPr>
        <w:t>, 2019</w:t>
      </w:r>
    </w:p>
    <w:sectPr w:rsidR="00692851" w:rsidSect="005444C0">
      <w:headerReference w:type="default" r:id="rId15"/>
      <w:headerReference w:type="first" r:id="rId16"/>
      <w:footerReference w:type="first" r:id="rId17"/>
      <w:pgSz w:w="12242" w:h="15842" w:code="1"/>
      <w:pgMar w:top="760" w:right="1393" w:bottom="709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92C" w:rsidRDefault="00BD192C">
      <w:r>
        <w:separator/>
      </w:r>
    </w:p>
  </w:endnote>
  <w:endnote w:type="continuationSeparator" w:id="0">
    <w:p w:rsidR="00BD192C" w:rsidRDefault="00BD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48D9C04B-BDD8-41D5-93C4-C595066D4F01}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2" w:fontKey="{749E8263-4094-46D0-874C-FCA013E1CF2A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98" w:rsidRDefault="00B67098" w:rsidP="00F06CCD">
    <w:pPr>
      <w:pStyle w:val="Footer"/>
      <w:spacing w:before="6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92C" w:rsidRDefault="00BD192C">
      <w:r>
        <w:separator/>
      </w:r>
    </w:p>
  </w:footnote>
  <w:footnote w:type="continuationSeparator" w:id="0">
    <w:p w:rsidR="00BD192C" w:rsidRDefault="00BD1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98" w:rsidRPr="00B67098" w:rsidRDefault="00B67098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371610" w:rsidRDefault="008E3547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December 14</w:t>
    </w:r>
    <w:r w:rsidR="00D9388D">
      <w:rPr>
        <w:rFonts w:ascii="Times New Roman" w:hAnsi="Times New Roman" w:cs="Times New Roman"/>
        <w:sz w:val="20"/>
        <w:szCs w:val="20"/>
      </w:rPr>
      <w:t>, 201</w:t>
    </w:r>
    <w:r w:rsidR="00700B1A">
      <w:rPr>
        <w:rFonts w:ascii="Times New Roman" w:hAnsi="Times New Roman" w:cs="Times New Roman"/>
        <w:sz w:val="20"/>
        <w:szCs w:val="20"/>
      </w:rPr>
      <w:t>8</w:t>
    </w:r>
  </w:p>
  <w:p w:rsidR="005444C0" w:rsidRDefault="008225AC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SR-NFX-201</w:t>
    </w:r>
    <w:r w:rsidR="00700B1A">
      <w:rPr>
        <w:rFonts w:ascii="Times New Roman" w:hAnsi="Times New Roman" w:cs="Times New Roman"/>
        <w:sz w:val="20"/>
        <w:szCs w:val="20"/>
      </w:rPr>
      <w:t>8</w:t>
    </w:r>
    <w:r w:rsidR="00371610">
      <w:rPr>
        <w:rFonts w:ascii="Times New Roman" w:hAnsi="Times New Roman" w:cs="Times New Roman"/>
        <w:sz w:val="20"/>
        <w:szCs w:val="20"/>
      </w:rPr>
      <w:t>-</w:t>
    </w:r>
    <w:r w:rsidR="008E3547">
      <w:rPr>
        <w:rFonts w:ascii="Times New Roman" w:hAnsi="Times New Roman" w:cs="Times New Roman"/>
        <w:sz w:val="20"/>
        <w:szCs w:val="20"/>
      </w:rPr>
      <w:t>70</w:t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6A6FB4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DA" w:rsidRDefault="001B6ADA">
    <w:pPr>
      <w:spacing w:after="960"/>
    </w:pPr>
  </w:p>
  <w:p w:rsidR="001B6ADA" w:rsidRPr="00CF4B16" w:rsidRDefault="001B6ADA" w:rsidP="001B6ADA">
    <w:pPr>
      <w:pStyle w:val="LetterheadAddress"/>
      <w:ind w:left="6550"/>
      <w:rPr>
        <w:sz w:val="20"/>
      </w:rPr>
    </w:pPr>
    <w:r w:rsidRPr="00CF4B16">
      <w:rPr>
        <w:sz w:val="20"/>
      </w:rPr>
      <w:t>Nasdaq Futures, Inc.</w:t>
    </w:r>
  </w:p>
  <w:p w:rsidR="001B6ADA" w:rsidRPr="00CF4B16" w:rsidRDefault="0040735E" w:rsidP="001B6ADA">
    <w:pPr>
      <w:pStyle w:val="LetterheadAddress"/>
      <w:ind w:left="6550"/>
      <w:rPr>
        <w:sz w:val="20"/>
      </w:rPr>
    </w:pPr>
    <w:r>
      <w:rPr>
        <w:sz w:val="20"/>
      </w:rPr>
      <w:t>2929 Walnut Street</w:t>
    </w:r>
  </w:p>
  <w:p w:rsidR="001B6ADA" w:rsidRPr="00CF4B16" w:rsidRDefault="001B6ADA" w:rsidP="001B6ADA">
    <w:pPr>
      <w:pStyle w:val="LetterheadAddress"/>
      <w:ind w:left="6550"/>
      <w:rPr>
        <w:sz w:val="20"/>
      </w:rPr>
    </w:pPr>
    <w:r w:rsidRPr="00CF4B16">
      <w:rPr>
        <w:sz w:val="20"/>
      </w:rPr>
      <w:t>Philadelphia, PA 1910</w:t>
    </w:r>
    <w:r w:rsidR="0040735E">
      <w:rPr>
        <w:sz w:val="20"/>
      </w:rPr>
      <w:t>4</w:t>
    </w:r>
    <w:r w:rsidRPr="00CF4B16">
      <w:rPr>
        <w:sz w:val="20"/>
      </w:rPr>
      <w:t xml:space="preserve"> / USA</w:t>
    </w:r>
  </w:p>
  <w:p w:rsidR="00300E44" w:rsidRPr="0032079E" w:rsidRDefault="001B6ADA" w:rsidP="0032079E">
    <w:pPr>
      <w:spacing w:before="120" w:after="0"/>
      <w:ind w:left="6550"/>
      <w:rPr>
        <w:rFonts w:asciiTheme="majorHAnsi" w:hAnsiTheme="majorHAnsi" w:cs="Times New Roman"/>
        <w:sz w:val="20"/>
        <w:szCs w:val="18"/>
      </w:rPr>
    </w:pPr>
    <w:r w:rsidRPr="00CF4B16">
      <w:rPr>
        <w:rFonts w:asciiTheme="majorHAnsi" w:hAnsiTheme="majorHAnsi" w:cs="Times New Roman"/>
        <w:sz w:val="20"/>
        <w:szCs w:val="18"/>
      </w:rPr>
      <w:t>business.nasdaq.com/futures</w:t>
    </w:r>
    <w:r w:rsidR="005A7FD1" w:rsidRPr="00151B94">
      <w:rPr>
        <w:noProof/>
        <w:sz w:val="18"/>
        <w:szCs w:val="18"/>
      </w:rPr>
      <w:drawing>
        <wp:anchor distT="0" distB="0" distL="114300" distR="114300" simplePos="0" relativeHeight="251664384" behindDoc="0" locked="1" layoutInCell="1" allowOverlap="1" wp14:anchorId="57F3EAF1" wp14:editId="438907C7">
          <wp:simplePos x="0" y="0"/>
          <wp:positionH relativeFrom="margin">
            <wp:posOffset>3565837</wp:posOffset>
          </wp:positionH>
          <wp:positionV relativeFrom="page">
            <wp:posOffset>690113</wp:posOffset>
          </wp:positionV>
          <wp:extent cx="1673225" cy="474345"/>
          <wp:effectExtent l="0" t="0" r="317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2005-2010:Desktop:NDAQ_Letterhead_2014:ndaq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9297E"/>
    <w:multiLevelType w:val="hybridMultilevel"/>
    <w:tmpl w:val="08B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064EB1"/>
    <w:multiLevelType w:val="hybridMultilevel"/>
    <w:tmpl w:val="6A20D2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9DF6C5E"/>
    <w:multiLevelType w:val="hybridMultilevel"/>
    <w:tmpl w:val="D8B8C1D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81E9B"/>
    <w:multiLevelType w:val="hybridMultilevel"/>
    <w:tmpl w:val="C1487580"/>
    <w:lvl w:ilvl="0" w:tplc="4DC86C3A">
      <w:start w:val="1"/>
      <w:numFmt w:val="bullet"/>
      <w:pStyle w:val="Bullets"/>
      <w:lvlText w:val=""/>
      <w:lvlJc w:val="left"/>
      <w:pPr>
        <w:ind w:left="0" w:hanging="360"/>
      </w:pPr>
      <w:rPr>
        <w:rFonts w:ascii="Symbol" w:hAnsi="Symbol" w:hint="default"/>
        <w:color w:val="009FC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832AE"/>
    <w:multiLevelType w:val="hybridMultilevel"/>
    <w:tmpl w:val="D80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8234D"/>
    <w:multiLevelType w:val="hybridMultilevel"/>
    <w:tmpl w:val="1B18AF3E"/>
    <w:lvl w:ilvl="0" w:tplc="95BE270A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565E25CF"/>
    <w:multiLevelType w:val="hybridMultilevel"/>
    <w:tmpl w:val="5A28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4" w15:restartNumberingAfterBreak="0">
    <w:nsid w:val="721D1FF7"/>
    <w:multiLevelType w:val="hybridMultilevel"/>
    <w:tmpl w:val="51327A2A"/>
    <w:lvl w:ilvl="0" w:tplc="040822AA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835EC7"/>
    <w:multiLevelType w:val="hybridMultilevel"/>
    <w:tmpl w:val="8A569372"/>
    <w:lvl w:ilvl="0" w:tplc="AB52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5"/>
  </w:num>
  <w:num w:numId="5">
    <w:abstractNumId w:val="17"/>
  </w:num>
  <w:num w:numId="6">
    <w:abstractNumId w:val="14"/>
  </w:num>
  <w:num w:numId="7">
    <w:abstractNumId w:val="1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25"/>
  </w:num>
  <w:num w:numId="18">
    <w:abstractNumId w:val="9"/>
  </w:num>
  <w:num w:numId="19">
    <w:abstractNumId w:val="12"/>
  </w:num>
  <w:num w:numId="20">
    <w:abstractNumId w:val="10"/>
  </w:num>
  <w:num w:numId="21">
    <w:abstractNumId w:val="25"/>
  </w:num>
  <w:num w:numId="22">
    <w:abstractNumId w:val="9"/>
  </w:num>
  <w:num w:numId="23">
    <w:abstractNumId w:val="12"/>
  </w:num>
  <w:num w:numId="24">
    <w:abstractNumId w:val="10"/>
  </w:num>
  <w:num w:numId="25">
    <w:abstractNumId w:val="25"/>
  </w:num>
  <w:num w:numId="26">
    <w:abstractNumId w:val="23"/>
  </w:num>
  <w:num w:numId="27">
    <w:abstractNumId w:val="25"/>
  </w:num>
  <w:num w:numId="28">
    <w:abstractNumId w:val="23"/>
  </w:num>
  <w:num w:numId="29">
    <w:abstractNumId w:val="22"/>
  </w:num>
  <w:num w:numId="30">
    <w:abstractNumId w:val="24"/>
  </w:num>
  <w:num w:numId="31">
    <w:abstractNumId w:val="19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1"/>
  </w:num>
  <w:num w:numId="35">
    <w:abstractNumId w:val="18"/>
  </w:num>
  <w:num w:numId="36">
    <w:abstractNumId w:val="16"/>
  </w:num>
  <w:num w:numId="37">
    <w:abstractNumId w:val="2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90"/>
  <w:embedTrueTypeFonts/>
  <w:saveSubsetFonts/>
  <w:proofState w:spelling="clean" w:grammar="clean"/>
  <w:attachedTemplate r:id="rId1"/>
  <w:doNotTrackFormatting/>
  <w:defaultTabStop w:val="1310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d0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38"/>
    <w:rsid w:val="000049A2"/>
    <w:rsid w:val="00010152"/>
    <w:rsid w:val="000141C6"/>
    <w:rsid w:val="000277E6"/>
    <w:rsid w:val="000313E1"/>
    <w:rsid w:val="00035AE7"/>
    <w:rsid w:val="0004373F"/>
    <w:rsid w:val="00043BF8"/>
    <w:rsid w:val="000467B2"/>
    <w:rsid w:val="00051023"/>
    <w:rsid w:val="00053DDB"/>
    <w:rsid w:val="00054E16"/>
    <w:rsid w:val="000718CD"/>
    <w:rsid w:val="000764FA"/>
    <w:rsid w:val="00091E20"/>
    <w:rsid w:val="00095F3F"/>
    <w:rsid w:val="000A0FF7"/>
    <w:rsid w:val="000A3874"/>
    <w:rsid w:val="000A7F25"/>
    <w:rsid w:val="000B0B22"/>
    <w:rsid w:val="000B0F2E"/>
    <w:rsid w:val="000B5E2C"/>
    <w:rsid w:val="000C579C"/>
    <w:rsid w:val="000D02B9"/>
    <w:rsid w:val="000D1939"/>
    <w:rsid w:val="000D4A76"/>
    <w:rsid w:val="000D6BF4"/>
    <w:rsid w:val="000E23FC"/>
    <w:rsid w:val="000F3BC3"/>
    <w:rsid w:val="00124AE5"/>
    <w:rsid w:val="001265C8"/>
    <w:rsid w:val="00135BE1"/>
    <w:rsid w:val="00153179"/>
    <w:rsid w:val="001615F2"/>
    <w:rsid w:val="001746B9"/>
    <w:rsid w:val="00177BCC"/>
    <w:rsid w:val="0018088D"/>
    <w:rsid w:val="00197F73"/>
    <w:rsid w:val="001B6ADA"/>
    <w:rsid w:val="001C4306"/>
    <w:rsid w:val="001C47C6"/>
    <w:rsid w:val="001D0916"/>
    <w:rsid w:val="001D4C1F"/>
    <w:rsid w:val="001E53F3"/>
    <w:rsid w:val="001F20FA"/>
    <w:rsid w:val="00210AE7"/>
    <w:rsid w:val="002230A7"/>
    <w:rsid w:val="00232FFF"/>
    <w:rsid w:val="00242C21"/>
    <w:rsid w:val="00243744"/>
    <w:rsid w:val="0024703B"/>
    <w:rsid w:val="00252BCC"/>
    <w:rsid w:val="00261A57"/>
    <w:rsid w:val="0026668C"/>
    <w:rsid w:val="00273392"/>
    <w:rsid w:val="002A147E"/>
    <w:rsid w:val="002A70DC"/>
    <w:rsid w:val="002B0DB3"/>
    <w:rsid w:val="002B3578"/>
    <w:rsid w:val="002B56C0"/>
    <w:rsid w:val="002D1A0E"/>
    <w:rsid w:val="002E0658"/>
    <w:rsid w:val="002F2442"/>
    <w:rsid w:val="00300E44"/>
    <w:rsid w:val="003017B3"/>
    <w:rsid w:val="00304F17"/>
    <w:rsid w:val="00310833"/>
    <w:rsid w:val="00314DE6"/>
    <w:rsid w:val="0032079E"/>
    <w:rsid w:val="00324B55"/>
    <w:rsid w:val="00335313"/>
    <w:rsid w:val="0033684D"/>
    <w:rsid w:val="00337B63"/>
    <w:rsid w:val="00337BAB"/>
    <w:rsid w:val="00352533"/>
    <w:rsid w:val="003579D4"/>
    <w:rsid w:val="00363601"/>
    <w:rsid w:val="003658B4"/>
    <w:rsid w:val="00371610"/>
    <w:rsid w:val="00372973"/>
    <w:rsid w:val="003742C7"/>
    <w:rsid w:val="00385EB8"/>
    <w:rsid w:val="00390E54"/>
    <w:rsid w:val="00394142"/>
    <w:rsid w:val="003962C7"/>
    <w:rsid w:val="003A1E6B"/>
    <w:rsid w:val="003B3012"/>
    <w:rsid w:val="003D071F"/>
    <w:rsid w:val="003D65F8"/>
    <w:rsid w:val="003D7D45"/>
    <w:rsid w:val="003E42E3"/>
    <w:rsid w:val="003F1332"/>
    <w:rsid w:val="003F5035"/>
    <w:rsid w:val="00400D58"/>
    <w:rsid w:val="0040735E"/>
    <w:rsid w:val="0041155D"/>
    <w:rsid w:val="004166F5"/>
    <w:rsid w:val="00420946"/>
    <w:rsid w:val="00425E24"/>
    <w:rsid w:val="00431D5C"/>
    <w:rsid w:val="004351A1"/>
    <w:rsid w:val="004416D1"/>
    <w:rsid w:val="004446AE"/>
    <w:rsid w:val="00444B42"/>
    <w:rsid w:val="004468C6"/>
    <w:rsid w:val="00451810"/>
    <w:rsid w:val="004520D0"/>
    <w:rsid w:val="004623F3"/>
    <w:rsid w:val="00470435"/>
    <w:rsid w:val="00471651"/>
    <w:rsid w:val="004A4B7C"/>
    <w:rsid w:val="004A673F"/>
    <w:rsid w:val="004A75CC"/>
    <w:rsid w:val="004B0ADE"/>
    <w:rsid w:val="004B4800"/>
    <w:rsid w:val="004C1038"/>
    <w:rsid w:val="004C595C"/>
    <w:rsid w:val="004E0359"/>
    <w:rsid w:val="004E0D16"/>
    <w:rsid w:val="004F42A5"/>
    <w:rsid w:val="004F4A5F"/>
    <w:rsid w:val="004F4E47"/>
    <w:rsid w:val="004F6A14"/>
    <w:rsid w:val="00500EE5"/>
    <w:rsid w:val="005101CA"/>
    <w:rsid w:val="005112E4"/>
    <w:rsid w:val="00517EAC"/>
    <w:rsid w:val="00521FB4"/>
    <w:rsid w:val="00522259"/>
    <w:rsid w:val="00526D6A"/>
    <w:rsid w:val="00543FF5"/>
    <w:rsid w:val="005444C0"/>
    <w:rsid w:val="00550D5C"/>
    <w:rsid w:val="0055465F"/>
    <w:rsid w:val="0055547F"/>
    <w:rsid w:val="00557005"/>
    <w:rsid w:val="0056301F"/>
    <w:rsid w:val="00566994"/>
    <w:rsid w:val="00566AD7"/>
    <w:rsid w:val="00575375"/>
    <w:rsid w:val="005948D5"/>
    <w:rsid w:val="0059608D"/>
    <w:rsid w:val="005A2793"/>
    <w:rsid w:val="005A7FD1"/>
    <w:rsid w:val="005B121C"/>
    <w:rsid w:val="005B3A86"/>
    <w:rsid w:val="005C2E8D"/>
    <w:rsid w:val="005C4063"/>
    <w:rsid w:val="005C40E6"/>
    <w:rsid w:val="005D6916"/>
    <w:rsid w:val="005E244B"/>
    <w:rsid w:val="005E4060"/>
    <w:rsid w:val="005E518E"/>
    <w:rsid w:val="005F1A38"/>
    <w:rsid w:val="005F6EC0"/>
    <w:rsid w:val="005F7738"/>
    <w:rsid w:val="00613FF8"/>
    <w:rsid w:val="00615BE5"/>
    <w:rsid w:val="0061772D"/>
    <w:rsid w:val="006231E5"/>
    <w:rsid w:val="00623F3F"/>
    <w:rsid w:val="00631422"/>
    <w:rsid w:val="0064234D"/>
    <w:rsid w:val="00642E1A"/>
    <w:rsid w:val="00645538"/>
    <w:rsid w:val="006505E1"/>
    <w:rsid w:val="006532B0"/>
    <w:rsid w:val="0066257B"/>
    <w:rsid w:val="006626EB"/>
    <w:rsid w:val="00662BF1"/>
    <w:rsid w:val="00672BD3"/>
    <w:rsid w:val="00674E96"/>
    <w:rsid w:val="00682E52"/>
    <w:rsid w:val="00687FED"/>
    <w:rsid w:val="00692851"/>
    <w:rsid w:val="006974BA"/>
    <w:rsid w:val="006A23F0"/>
    <w:rsid w:val="006A2E0C"/>
    <w:rsid w:val="006A58E9"/>
    <w:rsid w:val="006A6FB4"/>
    <w:rsid w:val="006B55A4"/>
    <w:rsid w:val="006C2820"/>
    <w:rsid w:val="006C2BD3"/>
    <w:rsid w:val="006C7C6D"/>
    <w:rsid w:val="006D0516"/>
    <w:rsid w:val="006D7316"/>
    <w:rsid w:val="006E620B"/>
    <w:rsid w:val="006F78A0"/>
    <w:rsid w:val="006F7FBF"/>
    <w:rsid w:val="00700B1A"/>
    <w:rsid w:val="00704A07"/>
    <w:rsid w:val="00723F8E"/>
    <w:rsid w:val="00744134"/>
    <w:rsid w:val="00746658"/>
    <w:rsid w:val="00746EFF"/>
    <w:rsid w:val="0075023F"/>
    <w:rsid w:val="007525F5"/>
    <w:rsid w:val="00752A6A"/>
    <w:rsid w:val="00755A05"/>
    <w:rsid w:val="007667BD"/>
    <w:rsid w:val="007824A2"/>
    <w:rsid w:val="00792782"/>
    <w:rsid w:val="0079548F"/>
    <w:rsid w:val="00796FBD"/>
    <w:rsid w:val="007A3EEC"/>
    <w:rsid w:val="007B39B4"/>
    <w:rsid w:val="007C6CA5"/>
    <w:rsid w:val="007D48A6"/>
    <w:rsid w:val="007F6B89"/>
    <w:rsid w:val="00803051"/>
    <w:rsid w:val="008225AC"/>
    <w:rsid w:val="00822AF5"/>
    <w:rsid w:val="00823846"/>
    <w:rsid w:val="0083294B"/>
    <w:rsid w:val="00832D54"/>
    <w:rsid w:val="00834CB0"/>
    <w:rsid w:val="008365F1"/>
    <w:rsid w:val="00840E13"/>
    <w:rsid w:val="00843CD2"/>
    <w:rsid w:val="008443E9"/>
    <w:rsid w:val="00845388"/>
    <w:rsid w:val="00847210"/>
    <w:rsid w:val="008504E3"/>
    <w:rsid w:val="008601E9"/>
    <w:rsid w:val="00862FB8"/>
    <w:rsid w:val="008A5035"/>
    <w:rsid w:val="008A6E96"/>
    <w:rsid w:val="008A6F33"/>
    <w:rsid w:val="008B0D0C"/>
    <w:rsid w:val="008D0EA0"/>
    <w:rsid w:val="008D2006"/>
    <w:rsid w:val="008D3674"/>
    <w:rsid w:val="008D3A95"/>
    <w:rsid w:val="008D575B"/>
    <w:rsid w:val="008E113C"/>
    <w:rsid w:val="008E3547"/>
    <w:rsid w:val="008E5622"/>
    <w:rsid w:val="008F2A00"/>
    <w:rsid w:val="008F34CB"/>
    <w:rsid w:val="008F39CF"/>
    <w:rsid w:val="008F696F"/>
    <w:rsid w:val="00901585"/>
    <w:rsid w:val="00901E0C"/>
    <w:rsid w:val="009159EA"/>
    <w:rsid w:val="009325A9"/>
    <w:rsid w:val="00933EC3"/>
    <w:rsid w:val="00940AE9"/>
    <w:rsid w:val="00944D95"/>
    <w:rsid w:val="00962C60"/>
    <w:rsid w:val="0096505D"/>
    <w:rsid w:val="00977F03"/>
    <w:rsid w:val="00980C72"/>
    <w:rsid w:val="00993F41"/>
    <w:rsid w:val="009A2490"/>
    <w:rsid w:val="009A68A7"/>
    <w:rsid w:val="009D5AA9"/>
    <w:rsid w:val="009D691D"/>
    <w:rsid w:val="009D7164"/>
    <w:rsid w:val="009F4FCF"/>
    <w:rsid w:val="009F7A70"/>
    <w:rsid w:val="00A01B4B"/>
    <w:rsid w:val="00A03815"/>
    <w:rsid w:val="00A06C10"/>
    <w:rsid w:val="00A137D7"/>
    <w:rsid w:val="00A35B1F"/>
    <w:rsid w:val="00A3713A"/>
    <w:rsid w:val="00A42CAB"/>
    <w:rsid w:val="00A43066"/>
    <w:rsid w:val="00A554C3"/>
    <w:rsid w:val="00A568CC"/>
    <w:rsid w:val="00A62A66"/>
    <w:rsid w:val="00A85786"/>
    <w:rsid w:val="00A863E3"/>
    <w:rsid w:val="00A87D38"/>
    <w:rsid w:val="00AB3F9C"/>
    <w:rsid w:val="00AB4A64"/>
    <w:rsid w:val="00AB5353"/>
    <w:rsid w:val="00AB6119"/>
    <w:rsid w:val="00AB649F"/>
    <w:rsid w:val="00AC119B"/>
    <w:rsid w:val="00AD07B6"/>
    <w:rsid w:val="00AD646A"/>
    <w:rsid w:val="00AD784F"/>
    <w:rsid w:val="00AF47D9"/>
    <w:rsid w:val="00B01B83"/>
    <w:rsid w:val="00B03B90"/>
    <w:rsid w:val="00B03D03"/>
    <w:rsid w:val="00B040FC"/>
    <w:rsid w:val="00B04429"/>
    <w:rsid w:val="00B15314"/>
    <w:rsid w:val="00B16521"/>
    <w:rsid w:val="00B34650"/>
    <w:rsid w:val="00B45B23"/>
    <w:rsid w:val="00B46E8E"/>
    <w:rsid w:val="00B5273F"/>
    <w:rsid w:val="00B5514C"/>
    <w:rsid w:val="00B569C1"/>
    <w:rsid w:val="00B61518"/>
    <w:rsid w:val="00B65CC7"/>
    <w:rsid w:val="00B67098"/>
    <w:rsid w:val="00B679D2"/>
    <w:rsid w:val="00B75523"/>
    <w:rsid w:val="00B817A8"/>
    <w:rsid w:val="00B8408C"/>
    <w:rsid w:val="00B90BF8"/>
    <w:rsid w:val="00BB1623"/>
    <w:rsid w:val="00BB22FB"/>
    <w:rsid w:val="00BC7B09"/>
    <w:rsid w:val="00BD192C"/>
    <w:rsid w:val="00BD5978"/>
    <w:rsid w:val="00BD66AD"/>
    <w:rsid w:val="00BF0157"/>
    <w:rsid w:val="00BF1A81"/>
    <w:rsid w:val="00BF2D2F"/>
    <w:rsid w:val="00BF3818"/>
    <w:rsid w:val="00BF6A76"/>
    <w:rsid w:val="00C03127"/>
    <w:rsid w:val="00C0680F"/>
    <w:rsid w:val="00C17C3F"/>
    <w:rsid w:val="00C2091F"/>
    <w:rsid w:val="00C22DCB"/>
    <w:rsid w:val="00C31E26"/>
    <w:rsid w:val="00C32D24"/>
    <w:rsid w:val="00C36D24"/>
    <w:rsid w:val="00C42A1F"/>
    <w:rsid w:val="00C43D2B"/>
    <w:rsid w:val="00C628A0"/>
    <w:rsid w:val="00C654A6"/>
    <w:rsid w:val="00C711C9"/>
    <w:rsid w:val="00CA65E5"/>
    <w:rsid w:val="00CB1969"/>
    <w:rsid w:val="00CB6A80"/>
    <w:rsid w:val="00CC09A5"/>
    <w:rsid w:val="00CD6D2F"/>
    <w:rsid w:val="00CE3693"/>
    <w:rsid w:val="00CE4500"/>
    <w:rsid w:val="00CF7C6B"/>
    <w:rsid w:val="00D05049"/>
    <w:rsid w:val="00D1196E"/>
    <w:rsid w:val="00D138C3"/>
    <w:rsid w:val="00D31404"/>
    <w:rsid w:val="00D33F34"/>
    <w:rsid w:val="00D44C87"/>
    <w:rsid w:val="00D525A3"/>
    <w:rsid w:val="00D527EA"/>
    <w:rsid w:val="00D55CB9"/>
    <w:rsid w:val="00D61EDD"/>
    <w:rsid w:val="00D63C07"/>
    <w:rsid w:val="00D63C25"/>
    <w:rsid w:val="00D70163"/>
    <w:rsid w:val="00D72946"/>
    <w:rsid w:val="00D86679"/>
    <w:rsid w:val="00D86D6F"/>
    <w:rsid w:val="00D91713"/>
    <w:rsid w:val="00D9388D"/>
    <w:rsid w:val="00D97F5B"/>
    <w:rsid w:val="00DA6428"/>
    <w:rsid w:val="00DB1B21"/>
    <w:rsid w:val="00DC305C"/>
    <w:rsid w:val="00DD389D"/>
    <w:rsid w:val="00E00A30"/>
    <w:rsid w:val="00E0574E"/>
    <w:rsid w:val="00E05D32"/>
    <w:rsid w:val="00E07DDC"/>
    <w:rsid w:val="00E10EC8"/>
    <w:rsid w:val="00E149BA"/>
    <w:rsid w:val="00E20958"/>
    <w:rsid w:val="00E31039"/>
    <w:rsid w:val="00E360CB"/>
    <w:rsid w:val="00E36D1C"/>
    <w:rsid w:val="00E418B5"/>
    <w:rsid w:val="00E453F6"/>
    <w:rsid w:val="00E462DD"/>
    <w:rsid w:val="00E50F10"/>
    <w:rsid w:val="00E67374"/>
    <w:rsid w:val="00E74ECF"/>
    <w:rsid w:val="00E81CD4"/>
    <w:rsid w:val="00E87C9F"/>
    <w:rsid w:val="00E90BCF"/>
    <w:rsid w:val="00EA57C7"/>
    <w:rsid w:val="00EC12B3"/>
    <w:rsid w:val="00EC1F98"/>
    <w:rsid w:val="00EC4E56"/>
    <w:rsid w:val="00EE0EE5"/>
    <w:rsid w:val="00F06CCD"/>
    <w:rsid w:val="00F10F71"/>
    <w:rsid w:val="00F114E3"/>
    <w:rsid w:val="00F12343"/>
    <w:rsid w:val="00F16B3B"/>
    <w:rsid w:val="00F16EA3"/>
    <w:rsid w:val="00F17C44"/>
    <w:rsid w:val="00F240F8"/>
    <w:rsid w:val="00F255EE"/>
    <w:rsid w:val="00F25FF4"/>
    <w:rsid w:val="00F2689F"/>
    <w:rsid w:val="00F46C4F"/>
    <w:rsid w:val="00F535EB"/>
    <w:rsid w:val="00F609A9"/>
    <w:rsid w:val="00F731C4"/>
    <w:rsid w:val="00F9047B"/>
    <w:rsid w:val="00F978A6"/>
    <w:rsid w:val="00FB5305"/>
    <w:rsid w:val="00FC6574"/>
    <w:rsid w:val="00FC6D30"/>
    <w:rsid w:val="00FD25EA"/>
    <w:rsid w:val="00FE61BC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3d0073"/>
    </o:shapedefaults>
    <o:shapelayout v:ext="edit">
      <o:idmap v:ext="edit" data="1"/>
    </o:shapelayout>
  </w:shapeDefaults>
  <w:decimalSymbol w:val="."/>
  <w:listSeparator w:val=","/>
  <w15:docId w15:val="{7AEBF246-D7BE-4DAD-A2AD-13C5F4BB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link w:val="Heading3Char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F39CF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C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B3A8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B3A86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F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22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DC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rsid w:val="00C22DCB"/>
    <w:rPr>
      <w:vertAlign w:val="superscript"/>
    </w:rPr>
  </w:style>
  <w:style w:type="character" w:styleId="CommentReference">
    <w:name w:val="annotation reference"/>
    <w:basedOn w:val="DefaultParagraphFont"/>
    <w:rsid w:val="00076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64F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07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4FA"/>
    <w:rPr>
      <w:rFonts w:asciiTheme="minorHAnsi" w:eastAsiaTheme="minorHAnsi" w:hAnsiTheme="minorHAnsi" w:cstheme="minorBidi"/>
      <w:b/>
      <w:bCs/>
    </w:rPr>
  </w:style>
  <w:style w:type="paragraph" w:customStyle="1" w:styleId="LetterheadAddress">
    <w:name w:val="Letterhead Address"/>
    <w:basedOn w:val="Normal"/>
    <w:qFormat/>
    <w:rsid w:val="001B6ADA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B90B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ubhead1Style">
    <w:name w:val="Subhead 1 Style"/>
    <w:basedOn w:val="Normal"/>
    <w:qFormat/>
    <w:rsid w:val="0032079E"/>
    <w:pPr>
      <w:spacing w:before="360" w:after="120" w:line="240" w:lineRule="auto"/>
      <w:ind w:left="-720"/>
    </w:pPr>
    <w:rPr>
      <w:rFonts w:ascii="Calibri" w:eastAsia="Arial" w:hAnsi="Calibri" w:cs="Times New Roman"/>
      <w:b/>
      <w:color w:val="009FC3"/>
      <w:spacing w:val="-4"/>
      <w:szCs w:val="20"/>
      <w:lang w:eastAsia="sv-SE"/>
    </w:rPr>
  </w:style>
  <w:style w:type="paragraph" w:customStyle="1" w:styleId="MainText">
    <w:name w:val="Main Text"/>
    <w:basedOn w:val="Normal"/>
    <w:autoRedefine/>
    <w:qFormat/>
    <w:rsid w:val="0032079E"/>
    <w:pPr>
      <w:spacing w:after="0" w:line="260" w:lineRule="atLeast"/>
      <w:ind w:left="-720"/>
      <w:jc w:val="both"/>
    </w:pPr>
    <w:rPr>
      <w:rFonts w:ascii="Calibri" w:eastAsia="Arial" w:hAnsi="Calibri" w:cs="Times New Roman"/>
      <w:color w:val="000000"/>
      <w:spacing w:val="-4"/>
      <w:sz w:val="20"/>
      <w:szCs w:val="20"/>
    </w:rPr>
  </w:style>
  <w:style w:type="paragraph" w:customStyle="1" w:styleId="Bullets">
    <w:name w:val="Bullets"/>
    <w:basedOn w:val="ListParagraph"/>
    <w:qFormat/>
    <w:rsid w:val="0032079E"/>
    <w:pPr>
      <w:numPr>
        <w:numId w:val="35"/>
      </w:numPr>
      <w:spacing w:after="120" w:line="260" w:lineRule="atLeast"/>
      <w:contextualSpacing w:val="0"/>
    </w:pPr>
    <w:rPr>
      <w:rFonts w:ascii="Calibri" w:eastAsia="Arial" w:hAnsi="Calibri" w:cs="Times New Roman"/>
      <w:spacing w:val="-4"/>
      <w:sz w:val="20"/>
      <w:szCs w:val="20"/>
      <w:lang w:eastAsia="sv-SE"/>
    </w:rPr>
  </w:style>
  <w:style w:type="paragraph" w:customStyle="1" w:styleId="Subhead2Style">
    <w:name w:val="Subhead 2 Style"/>
    <w:basedOn w:val="MainText"/>
    <w:qFormat/>
    <w:rsid w:val="0032079E"/>
    <w:rPr>
      <w:b/>
    </w:rPr>
  </w:style>
  <w:style w:type="table" w:customStyle="1" w:styleId="NLXStx">
    <w:name w:val="NLX Stx"/>
    <w:basedOn w:val="TableNormal"/>
    <w:uiPriority w:val="99"/>
    <w:rsid w:val="0032079E"/>
    <w:rPr>
      <w:rFonts w:ascii="Arial Narrow" w:hAnsi="Arial Narrow"/>
      <w:sz w:val="18"/>
      <w:szCs w:val="24"/>
      <w:lang w:eastAsia="zh-CN"/>
    </w:rPr>
    <w:tblPr>
      <w:tblStyleRowBandSize w:val="1"/>
      <w:tblBorders>
        <w:top w:val="single" w:sz="4" w:space="0" w:color="0094B3"/>
        <w:left w:val="single" w:sz="4" w:space="0" w:color="0094B3"/>
        <w:bottom w:val="single" w:sz="4" w:space="0" w:color="0094B3"/>
        <w:right w:val="single" w:sz="4" w:space="0" w:color="0094B3"/>
        <w:insideH w:val="single" w:sz="4" w:space="0" w:color="0094B3"/>
        <w:insideV w:val="single" w:sz="4" w:space="0" w:color="0094B3"/>
      </w:tblBorders>
    </w:tblPr>
    <w:tcPr>
      <w:vAlign w:val="center"/>
    </w:tcPr>
    <w:tblStylePr w:type="firstRow">
      <w:rPr>
        <w:b/>
        <w:color w:val="FFFFFF" w:themeColor="background1"/>
        <w:sz w:val="20"/>
      </w:rPr>
      <w:tblPr/>
      <w:tcPr>
        <w:shd w:val="clear" w:color="auto" w:fill="0094B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rsid w:val="00543FF5"/>
    <w:rPr>
      <w:rFonts w:ascii="Verdana" w:hAnsi="Verdana"/>
      <w:b/>
      <w:kern w:val="20"/>
      <w:sz w:val="18"/>
      <w:lang w:eastAsia="sv-SE"/>
    </w:rPr>
  </w:style>
  <w:style w:type="paragraph" w:styleId="Revision">
    <w:name w:val="Revision"/>
    <w:hidden/>
    <w:uiPriority w:val="99"/>
    <w:semiHidden/>
    <w:rsid w:val="00500EE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usiness.nasdaq.com/nasdaq-futures/nfx-marke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usiness.nasdaq.com/nasdaq-futures/nfx-mark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48A78BF0-F405-40C9-8F94-49DE09D2EBB8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radfors\Local%20Settings\Temporary%20Internet%20Files\Content.Outlook\IHSB84SX\NASDAQ%20Futures%20NFX_Philadelphi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CT xmlns="4b47aac5-4c46-444f-8595-ce09b406fc61">false</RCT>
    <DocGuid xmlns="4b47aac5-4c46-444f-8595-ce09b406fc61">b53d7242-89a5-426d-91ec-a98d5b73de02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2018-12-14T20:28:43+00:00</Document_x0020_Date>
    <Document_x0020_No xmlns="4b47aac5-4c46-444f-8595-ce09b406fc61">45570</Document_x0020_N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F78D-E5C4-4174-8A81-59D3AB42B933}"/>
</file>

<file path=customXml/itemProps2.xml><?xml version="1.0" encoding="utf-8"?>
<ds:datastoreItem xmlns:ds="http://schemas.openxmlformats.org/officeDocument/2006/customXml" ds:itemID="{EF15CA83-F73B-409E-94A8-CA292E015980}"/>
</file>

<file path=customXml/itemProps3.xml><?xml version="1.0" encoding="utf-8"?>
<ds:datastoreItem xmlns:ds="http://schemas.openxmlformats.org/officeDocument/2006/customXml" ds:itemID="{B184A8EE-3483-42B9-B39C-FFC6B1B9097D}"/>
</file>

<file path=customXml/itemProps4.xml><?xml version="1.0" encoding="utf-8"?>
<ds:datastoreItem xmlns:ds="http://schemas.openxmlformats.org/officeDocument/2006/customXml" ds:itemID="{3810A838-B8CB-473D-91EC-6CA79B28D964}"/>
</file>

<file path=customXml/itemProps5.xml><?xml version="1.0" encoding="utf-8"?>
<ds:datastoreItem xmlns:ds="http://schemas.openxmlformats.org/officeDocument/2006/customXml" ds:itemID="{1AA2D387-C2BB-4380-8492-11491EB67C67}"/>
</file>

<file path=docProps/app.xml><?xml version="1.0" encoding="utf-8"?>
<Properties xmlns="http://schemas.openxmlformats.org/officeDocument/2006/extended-properties" xmlns:vt="http://schemas.openxmlformats.org/officeDocument/2006/docPropsVTypes">
  <Template>NASDAQ Futures NFX_Philadelphia letterhead</Template>
  <TotalTime>36</TotalTime>
  <Pages>2</Pages>
  <Words>650</Words>
  <Characters>3705</Characters>
  <Application>Microsoft Office Word</Application>
  <DocSecurity>2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write Company</vt:lpstr>
    </vt:vector>
  </TitlesOfParts>
  <Company>The Nasdaq OMX Group, Inc.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creator>Shari Bradford</dc:creator>
  <cp:lastModifiedBy>Steve Matthews</cp:lastModifiedBy>
  <cp:revision>5</cp:revision>
  <cp:lastPrinted>2016-04-01T15:42:00Z</cp:lastPrinted>
  <dcterms:created xsi:type="dcterms:W3CDTF">2018-12-14T18:22:00Z</dcterms:created>
  <dcterms:modified xsi:type="dcterms:W3CDTF">2018-12-14T19:15:00Z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6648500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