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a1b659ba-6624-460b-be48-bb041d866808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2016-01-14T18:14:34+00:00</Document_x0020_Date>
    <Document_x0020_No xmlns="4b47aac5-4c46-444f-8595-ce09b406fc61">21832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E4D6-555C-47D0-B263-7B30292C599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D77A3CD-C6FB-4C41-9384-8BCD79514019}"/>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