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1854af66-91c5-4863-b0ad-2457cd4b86fa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2016-01-22T19:15:16+00:00</Document_x0020_Date>
    <Document_x0020_No xmlns="4b47aac5-4c46-444f-8595-ce09b406fc61">22129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4830-8FE0-4FB2-B18D-60CCAF3C215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83B440E-C68C-4EB3-8EA5-3F69B2E8150C}"/>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