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BE" w:rsidRPr="009D70AA" w:rsidRDefault="00A972E7" w:rsidP="00F058BE">
      <w:pPr>
        <w:ind w:left="5256" w:right="-720"/>
        <w:rPr>
          <w:b/>
        </w:rPr>
      </w:pPr>
      <w:r>
        <w:rPr>
          <w:b/>
        </w:rPr>
        <w:t>Stephen Matthews</w:t>
      </w:r>
    </w:p>
    <w:p w:rsidR="00F058BE" w:rsidRPr="009D70AA" w:rsidRDefault="00A972E7" w:rsidP="00F058BE">
      <w:pPr>
        <w:ind w:left="5256" w:right="-720"/>
      </w:pPr>
      <w:r>
        <w:t xml:space="preserve">Senior </w:t>
      </w:r>
      <w:r w:rsidR="00F058BE" w:rsidRPr="009D70AA">
        <w:t>Associate General Counsel</w:t>
      </w:r>
    </w:p>
    <w:p w:rsidR="00F058BE" w:rsidRPr="009D70AA" w:rsidRDefault="00A972E7" w:rsidP="00F058BE">
      <w:pPr>
        <w:ind w:left="5256" w:right="-720"/>
      </w:pPr>
      <w:r>
        <w:t>805 King Farm Blvd</w:t>
      </w:r>
    </w:p>
    <w:p w:rsidR="00F058BE" w:rsidRPr="009D70AA" w:rsidRDefault="00A972E7" w:rsidP="00F058BE">
      <w:pPr>
        <w:ind w:left="5256" w:right="-720"/>
        <w:rPr>
          <w:lang w:val="it-IT"/>
        </w:rPr>
      </w:pPr>
      <w:r>
        <w:rPr>
          <w:lang w:val="it-IT"/>
        </w:rPr>
        <w:t>Rockville</w:t>
      </w:r>
      <w:r w:rsidR="00C51FAC" w:rsidRPr="009D70AA">
        <w:rPr>
          <w:lang w:val="it-IT"/>
        </w:rPr>
        <w:t xml:space="preserve">, </w:t>
      </w:r>
      <w:r>
        <w:rPr>
          <w:lang w:val="it-IT"/>
        </w:rPr>
        <w:t>MD</w:t>
      </w:r>
      <w:r w:rsidR="00C51FAC" w:rsidRPr="009D70AA">
        <w:rPr>
          <w:lang w:val="it-IT"/>
        </w:rPr>
        <w:t xml:space="preserve"> </w:t>
      </w:r>
      <w:r>
        <w:rPr>
          <w:lang w:val="it-IT"/>
        </w:rPr>
        <w:t>20850</w:t>
      </w:r>
    </w:p>
    <w:p w:rsidR="00F058BE" w:rsidRPr="009D70AA" w:rsidRDefault="00F058BE" w:rsidP="00F058BE">
      <w:pPr>
        <w:ind w:left="5256" w:right="-720"/>
        <w:rPr>
          <w:lang w:val="it-IT"/>
        </w:rPr>
      </w:pPr>
      <w:r w:rsidRPr="009D70AA">
        <w:rPr>
          <w:b/>
          <w:color w:val="00B8E0"/>
          <w:lang w:val="it-IT"/>
        </w:rPr>
        <w:t>P:</w:t>
      </w:r>
      <w:r w:rsidR="00C51FAC" w:rsidRPr="009D70AA">
        <w:rPr>
          <w:lang w:val="it-IT"/>
        </w:rPr>
        <w:t xml:space="preserve"> </w:t>
      </w:r>
      <w:r w:rsidR="00A972E7">
        <w:rPr>
          <w:lang w:val="it-IT"/>
        </w:rPr>
        <w:t>301</w:t>
      </w:r>
      <w:r w:rsidR="00C51FAC" w:rsidRPr="009D70AA">
        <w:rPr>
          <w:lang w:val="it-IT"/>
        </w:rPr>
        <w:t>.</w:t>
      </w:r>
      <w:r w:rsidR="00A972E7">
        <w:rPr>
          <w:lang w:val="it-IT"/>
        </w:rPr>
        <w:t>978</w:t>
      </w:r>
      <w:r w:rsidR="00C51FAC" w:rsidRPr="009D70AA">
        <w:rPr>
          <w:lang w:val="it-IT"/>
        </w:rPr>
        <w:t>.</w:t>
      </w:r>
      <w:r w:rsidR="00A972E7">
        <w:rPr>
          <w:lang w:val="it-IT"/>
        </w:rPr>
        <w:t>8458</w:t>
      </w:r>
    </w:p>
    <w:p w:rsidR="005D1E56" w:rsidRPr="009D70AA" w:rsidRDefault="00F058BE" w:rsidP="00DB3D56">
      <w:pPr>
        <w:ind w:left="5256" w:right="-720"/>
        <w:rPr>
          <w:lang w:val="it-IT"/>
        </w:rPr>
      </w:pPr>
      <w:r w:rsidRPr="009D70AA">
        <w:rPr>
          <w:color w:val="00B8E0"/>
          <w:lang w:val="it-IT"/>
        </w:rPr>
        <w:t>E:</w:t>
      </w:r>
      <w:r w:rsidRPr="009D70AA">
        <w:rPr>
          <w:lang w:val="it-IT"/>
        </w:rPr>
        <w:t xml:space="preserve"> </w:t>
      </w:r>
      <w:r w:rsidR="00A972E7">
        <w:rPr>
          <w:lang w:val="it-IT"/>
        </w:rPr>
        <w:t>steve.matthews</w:t>
      </w:r>
      <w:r w:rsidR="00C51FAC" w:rsidRPr="009D70AA">
        <w:rPr>
          <w:lang w:val="it-IT"/>
        </w:rPr>
        <w:t>@nasdaq.com</w:t>
      </w:r>
    </w:p>
    <w:p w:rsidR="00855246" w:rsidRPr="009D70AA" w:rsidRDefault="00CB0FF8" w:rsidP="005D1E56">
      <w:pPr>
        <w:tabs>
          <w:tab w:val="left" w:pos="4320"/>
        </w:tabs>
        <w:jc w:val="both"/>
        <w:rPr>
          <w:lang w:val="it-IT"/>
        </w:rPr>
      </w:pPr>
      <w:r w:rsidRPr="009D70AA">
        <w:rPr>
          <w:lang w:val="it-IT"/>
        </w:rPr>
        <w:tab/>
      </w:r>
    </w:p>
    <w:p w:rsidR="009D70AA" w:rsidRDefault="009D70AA" w:rsidP="00B0621B">
      <w:pPr>
        <w:tabs>
          <w:tab w:val="left" w:pos="4320"/>
        </w:tabs>
        <w:spacing w:after="240"/>
        <w:jc w:val="both"/>
      </w:pPr>
    </w:p>
    <w:p w:rsidR="005D1E56" w:rsidRPr="009D70AA" w:rsidRDefault="0086223D" w:rsidP="00B0621B">
      <w:pPr>
        <w:tabs>
          <w:tab w:val="left" w:pos="4320"/>
        </w:tabs>
        <w:spacing w:after="240"/>
        <w:jc w:val="both"/>
      </w:pPr>
      <w:r>
        <w:t xml:space="preserve">January </w:t>
      </w:r>
      <w:r w:rsidR="009F1714">
        <w:t>22</w:t>
      </w:r>
      <w:r w:rsidR="00C51FAC" w:rsidRPr="009D70AA">
        <w:t>, 201</w:t>
      </w:r>
      <w:r>
        <w:t>6</w:t>
      </w:r>
    </w:p>
    <w:p w:rsidR="005D1E56" w:rsidRPr="009D70AA" w:rsidRDefault="005D1E56" w:rsidP="00DB3D56">
      <w:pPr>
        <w:pStyle w:val="Heading1"/>
        <w:rPr>
          <w:rFonts w:ascii="Times New Roman" w:hAnsi="Times New Roman"/>
          <w:b/>
          <w:sz w:val="24"/>
          <w:u w:val="single"/>
        </w:rPr>
      </w:pPr>
      <w:r w:rsidRPr="009D70AA">
        <w:rPr>
          <w:rFonts w:ascii="Times New Roman" w:hAnsi="Times New Roman"/>
          <w:b/>
          <w:sz w:val="24"/>
          <w:u w:val="single"/>
        </w:rPr>
        <w:t>FOIA Confidential Treatment Request</w:t>
      </w:r>
    </w:p>
    <w:p w:rsidR="005D1E56" w:rsidRPr="009D70AA" w:rsidRDefault="007E0DF1" w:rsidP="005D1E56">
      <w:r w:rsidRPr="009D70AA">
        <w:t>Assistant Secretary of the Commission for FOIA Matters</w:t>
      </w:r>
    </w:p>
    <w:p w:rsidR="007E0DF1" w:rsidRPr="009D70AA" w:rsidRDefault="007E0DF1" w:rsidP="005D1E56">
      <w:r w:rsidRPr="009D70AA">
        <w:t>Commodity Futures Trading Commission</w:t>
      </w:r>
    </w:p>
    <w:p w:rsidR="007E0DF1" w:rsidRPr="009D70AA" w:rsidRDefault="007E0DF1" w:rsidP="005D1E56">
      <w:r w:rsidRPr="009D70AA">
        <w:t>Three Lafayette Centre</w:t>
      </w:r>
    </w:p>
    <w:p w:rsidR="005D1E56" w:rsidRPr="009D70AA" w:rsidRDefault="007E0DF1" w:rsidP="005D1E56">
      <w:r w:rsidRPr="009D70AA">
        <w:t>1155 21</w:t>
      </w:r>
      <w:r w:rsidRPr="009D70AA">
        <w:rPr>
          <w:vertAlign w:val="superscript"/>
        </w:rPr>
        <w:t>st</w:t>
      </w:r>
      <w:r w:rsidRPr="009D70AA">
        <w:t xml:space="preserve"> </w:t>
      </w:r>
      <w:r w:rsidR="005D1E56" w:rsidRPr="009D70AA">
        <w:t>Street, NW</w:t>
      </w:r>
    </w:p>
    <w:p w:rsidR="005D1E56" w:rsidRPr="009D70AA" w:rsidRDefault="005D1E56" w:rsidP="00B0621B">
      <w:pPr>
        <w:spacing w:after="240"/>
      </w:pPr>
      <w:r w:rsidRPr="009D70AA">
        <w:t>Washington, DC</w:t>
      </w:r>
      <w:r w:rsidR="007E0DF1" w:rsidRPr="009D70AA">
        <w:t xml:space="preserve"> 20581</w:t>
      </w:r>
    </w:p>
    <w:p w:rsidR="005D1E56" w:rsidRPr="009D70AA" w:rsidRDefault="007C50D5" w:rsidP="00B0621B">
      <w:pPr>
        <w:spacing w:after="240"/>
        <w:ind w:left="1440" w:hanging="720"/>
      </w:pPr>
      <w:r w:rsidRPr="009D70AA">
        <w:t>Re:</w:t>
      </w:r>
      <w:r w:rsidRPr="009D70AA">
        <w:tab/>
        <w:t xml:space="preserve">FOIA Confidential Treatment Request </w:t>
      </w:r>
      <w:r w:rsidR="006E5E6A" w:rsidRPr="009D70AA">
        <w:t xml:space="preserve">and Detailed Written Justification </w:t>
      </w:r>
      <w:r w:rsidRPr="009D70AA">
        <w:t xml:space="preserve">– </w:t>
      </w:r>
      <w:r w:rsidR="00C51FAC" w:rsidRPr="009D70AA">
        <w:t xml:space="preserve">NASDAQ Futures </w:t>
      </w:r>
      <w:r w:rsidR="00CA5DA6" w:rsidRPr="009D70AA">
        <w:t>Rule Certification</w:t>
      </w:r>
      <w:r w:rsidRPr="009D70AA">
        <w:t xml:space="preserve"> </w:t>
      </w:r>
      <w:r w:rsidR="00C51FAC" w:rsidRPr="009D70AA">
        <w:t>SR-NFX-201</w:t>
      </w:r>
      <w:r w:rsidR="0086223D">
        <w:t>6</w:t>
      </w:r>
      <w:r w:rsidR="00C51FAC" w:rsidRPr="009D70AA">
        <w:t>-</w:t>
      </w:r>
      <w:r w:rsidR="0086223D">
        <w:t>0</w:t>
      </w:r>
      <w:r w:rsidR="000B3AF6">
        <w:t>7</w:t>
      </w:r>
    </w:p>
    <w:p w:rsidR="005D1E56" w:rsidRPr="009D70AA" w:rsidRDefault="005D1E56" w:rsidP="00B0621B">
      <w:pPr>
        <w:spacing w:after="240"/>
      </w:pPr>
      <w:r w:rsidRPr="009D70AA">
        <w:t>De</w:t>
      </w:r>
      <w:r w:rsidR="005F17E5" w:rsidRPr="009D70AA">
        <w:t xml:space="preserve">ar </w:t>
      </w:r>
      <w:r w:rsidR="007E0DF1" w:rsidRPr="009D70AA">
        <w:t>Secretary:</w:t>
      </w:r>
    </w:p>
    <w:p w:rsidR="00D44913" w:rsidRPr="009D70AA" w:rsidRDefault="00B806E9" w:rsidP="00C76B32">
      <w:pPr>
        <w:spacing w:after="240"/>
        <w:jc w:val="both"/>
      </w:pPr>
      <w:r w:rsidRPr="009D70AA">
        <w:t xml:space="preserve">I am writing on behalf of </w:t>
      </w:r>
      <w:r w:rsidR="00C51FAC" w:rsidRPr="009D70AA">
        <w:t>NASDAQ Futures</w:t>
      </w:r>
      <w:r w:rsidR="009D70AA">
        <w:t>, Inc.</w:t>
      </w:r>
      <w:r w:rsidRPr="009D70AA">
        <w:t xml:space="preserve"> </w:t>
      </w:r>
      <w:r w:rsidR="00C51FAC" w:rsidRPr="009D70AA">
        <w:t xml:space="preserve">(the </w:t>
      </w:r>
      <w:r w:rsidR="00586577" w:rsidRPr="009D70AA">
        <w:t>“</w:t>
      </w:r>
      <w:r w:rsidR="00C51FAC" w:rsidRPr="009D70AA">
        <w:rPr>
          <w:u w:val="single"/>
        </w:rPr>
        <w:t>Exchange</w:t>
      </w:r>
      <w:r w:rsidR="00586577" w:rsidRPr="009D70AA">
        <w:t>”</w:t>
      </w:r>
      <w:r w:rsidR="00C51FAC" w:rsidRPr="009D70AA">
        <w:t xml:space="preserve">) </w:t>
      </w:r>
      <w:r w:rsidRPr="009D70AA">
        <w:t>to request confidential treatment in accordance with CFTC Regulation</w:t>
      </w:r>
      <w:r w:rsidR="00D44913" w:rsidRPr="009D70AA">
        <w:t>s 40.8(c) and</w:t>
      </w:r>
      <w:r w:rsidRPr="009D70AA">
        <w:t xml:space="preserve"> 145.9 </w:t>
      </w:r>
      <w:r w:rsidR="00D44913" w:rsidRPr="009D70AA">
        <w:t xml:space="preserve">for certain confidential information contained in the </w:t>
      </w:r>
      <w:r w:rsidR="00C51FAC" w:rsidRPr="009D70AA">
        <w:t>Exchange’s</w:t>
      </w:r>
      <w:r w:rsidR="00D44913" w:rsidRPr="009D70AA">
        <w:t xml:space="preserve"> Rule Certification </w:t>
      </w:r>
      <w:r w:rsidR="00C51FAC" w:rsidRPr="009D70AA">
        <w:t>SR-NFX-201</w:t>
      </w:r>
      <w:r w:rsidR="0086223D">
        <w:t>6</w:t>
      </w:r>
      <w:r w:rsidR="00C51FAC" w:rsidRPr="009D70AA">
        <w:t>-</w:t>
      </w:r>
      <w:r w:rsidR="0086223D">
        <w:t>0</w:t>
      </w:r>
      <w:r w:rsidR="000B3AF6">
        <w:t>7</w:t>
      </w:r>
      <w:r w:rsidR="00C51FAC" w:rsidRPr="009D70AA">
        <w:t xml:space="preserve"> </w:t>
      </w:r>
      <w:r w:rsidR="00D44913" w:rsidRPr="009D70AA">
        <w:t>(the “</w:t>
      </w:r>
      <w:r w:rsidR="00D44913" w:rsidRPr="009D70AA">
        <w:rPr>
          <w:u w:val="single"/>
        </w:rPr>
        <w:t>Submission</w:t>
      </w:r>
      <w:r w:rsidR="00D44913" w:rsidRPr="009D70AA">
        <w:t>”).</w:t>
      </w:r>
    </w:p>
    <w:p w:rsidR="00CA5DA6" w:rsidRPr="009D70AA" w:rsidRDefault="00CA5DA6" w:rsidP="00C76B32">
      <w:pPr>
        <w:spacing w:after="240"/>
        <w:jc w:val="both"/>
      </w:pPr>
      <w:r w:rsidRPr="009D70AA">
        <w:t xml:space="preserve">Specifically, the </w:t>
      </w:r>
      <w:r w:rsidR="00C51FAC" w:rsidRPr="009D70AA">
        <w:t>Exchange</w:t>
      </w:r>
      <w:r w:rsidRPr="009D70AA">
        <w:t xml:space="preserve"> is requesting confidential treatment for </w:t>
      </w:r>
      <w:r w:rsidR="000B3AF6">
        <w:t xml:space="preserve">the Cash Market </w:t>
      </w:r>
      <w:r w:rsidR="000B3AF6">
        <w:t>Description</w:t>
      </w:r>
      <w:r w:rsidR="000B3AF6">
        <w:t xml:space="preserve"> and Deliverable Supply Analysis</w:t>
      </w:r>
      <w:r w:rsidR="00D2756B" w:rsidRPr="009D70AA">
        <w:t xml:space="preserve"> </w:t>
      </w:r>
      <w:r w:rsidR="00586577" w:rsidRPr="009D70AA">
        <w:t>(the “</w:t>
      </w:r>
      <w:r w:rsidR="00586577" w:rsidRPr="009D70AA">
        <w:rPr>
          <w:u w:val="single"/>
        </w:rPr>
        <w:t>Confidential Information</w:t>
      </w:r>
      <w:r w:rsidR="00586577" w:rsidRPr="009D70AA">
        <w:t xml:space="preserve">”) </w:t>
      </w:r>
      <w:r w:rsidR="00034113" w:rsidRPr="009D70AA">
        <w:t xml:space="preserve">and </w:t>
      </w:r>
      <w:r w:rsidR="0083636E" w:rsidRPr="009D70AA">
        <w:t xml:space="preserve">has been segregated and attached as Confidential </w:t>
      </w:r>
      <w:r w:rsidR="000033C3" w:rsidRPr="009D70AA">
        <w:t xml:space="preserve">Appendix </w:t>
      </w:r>
      <w:r w:rsidR="000B3AF6">
        <w:t>3</w:t>
      </w:r>
      <w:r w:rsidR="000033C3" w:rsidRPr="009D70AA">
        <w:t xml:space="preserve"> </w:t>
      </w:r>
      <w:r w:rsidR="0083636E" w:rsidRPr="009D70AA">
        <w:t>to the Submission in accordance with Commission Regulation 40.8(c)(2).  In accordance with Commission Regulation 40.8(c</w:t>
      </w:r>
      <w:proofErr w:type="gramStart"/>
      <w:r w:rsidR="0083636E" w:rsidRPr="009D70AA">
        <w:t>)(</w:t>
      </w:r>
      <w:proofErr w:type="gramEnd"/>
      <w:r w:rsidR="0083636E" w:rsidRPr="009D70AA">
        <w:t>3), the Submission also indicates that the Confidential Information has been segregated.</w:t>
      </w:r>
    </w:p>
    <w:p w:rsidR="00B806E9" w:rsidRPr="009D70AA" w:rsidRDefault="00B806E9" w:rsidP="00C76B32">
      <w:pPr>
        <w:spacing w:after="240"/>
        <w:jc w:val="both"/>
      </w:pPr>
      <w:r w:rsidRPr="009D70AA">
        <w:t>Pursuant to Commission Regula</w:t>
      </w:r>
      <w:r w:rsidR="00AC22BD" w:rsidRPr="009D70AA">
        <w:t>tion 145.9(d)</w:t>
      </w:r>
      <w:r w:rsidRPr="009D70AA">
        <w:t xml:space="preserve">, the </w:t>
      </w:r>
      <w:r w:rsidR="00C51FAC" w:rsidRPr="009D70AA">
        <w:t>Exchange</w:t>
      </w:r>
      <w:r w:rsidRPr="009D70AA">
        <w:t xml:space="preserve"> requests that confidential treatment be maint</w:t>
      </w:r>
      <w:r w:rsidR="00B2016E" w:rsidRPr="009D70AA">
        <w:t>ained</w:t>
      </w:r>
      <w:r w:rsidRPr="009D70AA">
        <w:t xml:space="preserve"> for the </w:t>
      </w:r>
      <w:r w:rsidR="0016079E" w:rsidRPr="009D70AA">
        <w:t xml:space="preserve">Confidential Information </w:t>
      </w:r>
      <w:r w:rsidRPr="009D70AA">
        <w:t xml:space="preserve">until further notice.  We also request that the Commission notify the undersigned immediately after receiving any FOIA request for </w:t>
      </w:r>
      <w:r w:rsidR="0016079E" w:rsidRPr="009D70AA">
        <w:t xml:space="preserve">the Confidential Information </w:t>
      </w:r>
      <w:r w:rsidRPr="009D70AA">
        <w:t xml:space="preserve">or any other court order, subpoena or summons for same.  Finally, we request that we be notified in the event the Commission intends to disclose </w:t>
      </w:r>
      <w:r w:rsidR="0016079E" w:rsidRPr="009D70AA">
        <w:t xml:space="preserve">the Confidential Information </w:t>
      </w:r>
      <w:r w:rsidRPr="009D70AA">
        <w:t>to Congress or to any other governmental agency or</w:t>
      </w:r>
      <w:r w:rsidR="00B2016E" w:rsidRPr="009D70AA">
        <w:t xml:space="preserve"> </w:t>
      </w:r>
      <w:r w:rsidRPr="009D70AA">
        <w:t xml:space="preserve">unit pursuant to Section 8 of the CEA.  The </w:t>
      </w:r>
      <w:r w:rsidR="00C51FAC" w:rsidRPr="009D70AA">
        <w:t>Exchange</w:t>
      </w:r>
      <w:r w:rsidRPr="009D70AA">
        <w:t xml:space="preserve"> does not waive its notification rights under Section 8(f) of the CEA with respect to any subpoena or summons for </w:t>
      </w:r>
      <w:r w:rsidR="007372B0" w:rsidRPr="009D70AA">
        <w:t>the Confidential Information.</w:t>
      </w:r>
    </w:p>
    <w:p w:rsidR="007372B0" w:rsidRPr="009D70AA" w:rsidRDefault="007372B0" w:rsidP="00C76B32">
      <w:pPr>
        <w:spacing w:after="240"/>
        <w:jc w:val="both"/>
        <w:rPr>
          <w:b/>
        </w:rPr>
      </w:pPr>
      <w:r w:rsidRPr="009D70AA">
        <w:lastRenderedPageBreak/>
        <w:t xml:space="preserve">The basis for this confidential treatment request is that disclosure of the Confidential Information would reveal confidential commercial information of </w:t>
      </w:r>
      <w:r w:rsidR="005D2C05" w:rsidRPr="009D70AA">
        <w:t xml:space="preserve">the </w:t>
      </w:r>
      <w:r w:rsidR="00C51FAC" w:rsidRPr="009D70AA">
        <w:t>Exchange</w:t>
      </w:r>
      <w:r w:rsidR="00B1324E" w:rsidRPr="009D70AA">
        <w:t xml:space="preserve">.  </w:t>
      </w:r>
      <w:r w:rsidRPr="009D70AA">
        <w:t>Th</w:t>
      </w:r>
      <w:r w:rsidR="00B1324E" w:rsidRPr="009D70AA">
        <w:t xml:space="preserve">is information is </w:t>
      </w:r>
      <w:r w:rsidRPr="009D70AA">
        <w:t xml:space="preserve">not made </w:t>
      </w:r>
      <w:r w:rsidR="00B1324E" w:rsidRPr="009D70AA">
        <w:t xml:space="preserve">generally </w:t>
      </w:r>
      <w:r w:rsidRPr="009D70AA">
        <w:t xml:space="preserve">available to the public and </w:t>
      </w:r>
      <w:r w:rsidR="00C51FAC" w:rsidRPr="009D70AA">
        <w:t xml:space="preserve">will </w:t>
      </w:r>
      <w:r w:rsidR="00B1324E" w:rsidRPr="009D70AA">
        <w:t>only be provided to regulators</w:t>
      </w:r>
      <w:r w:rsidR="00586577" w:rsidRPr="009D70AA">
        <w:t>,</w:t>
      </w:r>
      <w:r w:rsidR="00C51FAC" w:rsidRPr="009D70AA">
        <w:t xml:space="preserve"> and</w:t>
      </w:r>
      <w:r w:rsidR="00586577" w:rsidRPr="009D70AA">
        <w:t xml:space="preserve"> to</w:t>
      </w:r>
      <w:r w:rsidR="00C51FAC" w:rsidRPr="009D70AA">
        <w:t xml:space="preserve"> others</w:t>
      </w:r>
      <w:r w:rsidR="00B1324E" w:rsidRPr="009D70AA">
        <w:t xml:space="preserve"> that sign a confidentiality agreement with respect to such information.  </w:t>
      </w:r>
      <w:r w:rsidRPr="009D70AA">
        <w:t>The disclosure of the Confidential Information to the public would cause competitive harm to</w:t>
      </w:r>
      <w:r w:rsidR="00B1324E" w:rsidRPr="009D70AA">
        <w:t xml:space="preserve"> the </w:t>
      </w:r>
      <w:r w:rsidR="00C51FAC" w:rsidRPr="009D70AA">
        <w:t>Exchange</w:t>
      </w:r>
      <w:r w:rsidR="00B1324E" w:rsidRPr="009D70AA">
        <w:t xml:space="preserve"> as it </w:t>
      </w:r>
      <w:r w:rsidR="00716479" w:rsidRPr="009D70AA">
        <w:t xml:space="preserve">would allow </w:t>
      </w:r>
      <w:r w:rsidR="004C6E04" w:rsidRPr="009D70AA">
        <w:t xml:space="preserve">competitors of the </w:t>
      </w:r>
      <w:r w:rsidR="00C51FAC" w:rsidRPr="009D70AA">
        <w:t>Exchange</w:t>
      </w:r>
      <w:r w:rsidR="004C6E04" w:rsidRPr="009D70AA">
        <w:t xml:space="preserve"> to replicate its</w:t>
      </w:r>
      <w:r w:rsidR="000B3AF6" w:rsidRPr="000B3AF6">
        <w:t xml:space="preserve"> </w:t>
      </w:r>
      <w:r w:rsidR="000B3AF6">
        <w:t>Cash Market Description and Deliverable Supply Analysis</w:t>
      </w:r>
      <w:bookmarkStart w:id="0" w:name="_GoBack"/>
      <w:bookmarkEnd w:id="0"/>
      <w:r w:rsidR="009D70AA">
        <w:t>,</w:t>
      </w:r>
      <w:r w:rsidR="0007266A" w:rsidRPr="009D70AA">
        <w:t xml:space="preserve"> and therefore </w:t>
      </w:r>
      <w:r w:rsidR="00C56C37" w:rsidRPr="009D70AA">
        <w:t xml:space="preserve">potentially </w:t>
      </w:r>
      <w:r w:rsidR="0007266A" w:rsidRPr="009D70AA">
        <w:t>undermine any competit</w:t>
      </w:r>
      <w:r w:rsidR="00591020" w:rsidRPr="009D70AA">
        <w:t>ive advantage the Exchange may</w:t>
      </w:r>
      <w:r w:rsidR="0007266A" w:rsidRPr="009D70AA">
        <w:t xml:space="preserve"> have as a result of the information reflected in that document</w:t>
      </w:r>
      <w:r w:rsidR="0010773F" w:rsidRPr="009D70AA">
        <w:t xml:space="preserve">. </w:t>
      </w:r>
    </w:p>
    <w:p w:rsidR="007372B0" w:rsidRPr="009D70AA" w:rsidRDefault="007372B0" w:rsidP="00C76B32">
      <w:pPr>
        <w:spacing w:after="240"/>
        <w:jc w:val="both"/>
      </w:pPr>
      <w:r w:rsidRPr="009D70AA">
        <w:t>The Confidential Information is therefore exempt from disclosure pursuant to Section (b</w:t>
      </w:r>
      <w:proofErr w:type="gramStart"/>
      <w:r w:rsidRPr="009D70AA">
        <w:t>)(</w:t>
      </w:r>
      <w:proofErr w:type="gramEnd"/>
      <w:r w:rsidRPr="009D70AA">
        <w:t>4) of the Freedom of Information Act (5 USC 552(b)(4)) (commonly referred to as “Exemption 4”), which exempts from disclosure “trade secrets and commercial or financial information obtained from a person</w:t>
      </w:r>
      <w:r w:rsidR="00C56C37" w:rsidRPr="009D70AA">
        <w:t xml:space="preserve"> and privileged or confidential</w:t>
      </w:r>
      <w:r w:rsidR="00034113" w:rsidRPr="009D70AA">
        <w:t xml:space="preserve">;” </w:t>
      </w:r>
      <w:r w:rsidRPr="009D70AA">
        <w:t>and Commission Regulation 145.9(d)(ii</w:t>
      </w:r>
      <w:r w:rsidR="00C56C37" w:rsidRPr="009D70AA">
        <w:t>), which implements Exemption 4</w:t>
      </w:r>
      <w:r w:rsidR="00A570F5" w:rsidRPr="009D70AA">
        <w:t>. This request is also consistent with</w:t>
      </w:r>
      <w:r w:rsidR="00C56C37" w:rsidRPr="009D70AA">
        <w:t xml:space="preserve"> </w:t>
      </w:r>
      <w:r w:rsidR="00C56C37" w:rsidRPr="009D70AA">
        <w:rPr>
          <w:color w:val="222222"/>
        </w:rPr>
        <w:t>Section 8 of the CEA.</w:t>
      </w:r>
    </w:p>
    <w:p w:rsidR="007372B0" w:rsidRPr="009D70AA" w:rsidRDefault="007372B0" w:rsidP="00C76B32">
      <w:pPr>
        <w:spacing w:after="240"/>
        <w:jc w:val="both"/>
      </w:pPr>
      <w:r w:rsidRPr="009D70AA">
        <w:t xml:space="preserve">Exemption 4 is generally viewed to cover two broad categories of information in federal agency records: (1) trade secrets; and (2) information that is (a) commercial or financial, </w:t>
      </w:r>
      <w:r w:rsidRPr="009D70AA">
        <w:rPr>
          <w:u w:val="single"/>
        </w:rPr>
        <w:t>and</w:t>
      </w:r>
      <w:r w:rsidRPr="009D70AA">
        <w:t xml:space="preserve"> (b) obtained from a person, </w:t>
      </w:r>
      <w:r w:rsidRPr="009D70AA">
        <w:rPr>
          <w:u w:val="single"/>
        </w:rPr>
        <w:t>and</w:t>
      </w:r>
      <w:r w:rsidRPr="009D70AA">
        <w:t xml:space="preserve"> (c) privileged or confidential.  </w:t>
      </w:r>
    </w:p>
    <w:p w:rsidR="007372B0" w:rsidRPr="009D70AA" w:rsidRDefault="007372B0" w:rsidP="00C76B32">
      <w:pPr>
        <w:spacing w:after="240"/>
        <w:jc w:val="both"/>
      </w:pPr>
      <w:r w:rsidRPr="009D70AA">
        <w:t xml:space="preserve">The </w:t>
      </w:r>
      <w:r w:rsidR="00034113" w:rsidRPr="009D70AA">
        <w:t xml:space="preserve">United States </w:t>
      </w:r>
      <w:r w:rsidRPr="009D70AA">
        <w:t xml:space="preserve">Court of Appeals for the District of Columbia Circuit has firmly held that the terms “commercial and financial” should be given their “ordinary meanings” and </w:t>
      </w:r>
      <w:r w:rsidR="0013761A" w:rsidRPr="009D70AA">
        <w:t>that Exemption 4 is not</w:t>
      </w:r>
      <w:r w:rsidRPr="009D70AA">
        <w:t xml:space="preserve"> confined to records that “reveal basic commercial operations,” holding instead that records are commercial so long as the </w:t>
      </w:r>
      <w:r w:rsidR="00586577" w:rsidRPr="009D70AA">
        <w:t>provider of the information has a “commercial interest” in the information submitted to the agency.</w:t>
      </w:r>
      <w:r w:rsidRPr="009D70AA">
        <w:rPr>
          <w:rStyle w:val="FootnoteReference"/>
        </w:rPr>
        <w:footnoteReference w:id="2"/>
      </w:r>
      <w:r w:rsidRPr="009D70AA">
        <w:t xml:space="preserve">  </w:t>
      </w:r>
      <w:r w:rsidR="0007266A" w:rsidRPr="009D70AA">
        <w:t xml:space="preserve">A commercial interest is present where, for example, disclosure of the relevant documents </w:t>
      </w:r>
      <w:r w:rsidR="00C56C37" w:rsidRPr="009D70AA">
        <w:t>c</w:t>
      </w:r>
      <w:r w:rsidR="0007266A" w:rsidRPr="009D70AA">
        <w:t>ould help rivals to identify and exploit a company’s competitive position.</w:t>
      </w:r>
      <w:r w:rsidR="0007266A" w:rsidRPr="009D70AA">
        <w:rPr>
          <w:rStyle w:val="FootnoteReference"/>
        </w:rPr>
        <w:footnoteReference w:id="3"/>
      </w:r>
      <w:r w:rsidR="0007266A" w:rsidRPr="009D70AA">
        <w:t xml:space="preserve"> </w:t>
      </w:r>
      <w:r w:rsidR="009D70AA">
        <w:t xml:space="preserve"> </w:t>
      </w:r>
      <w:r w:rsidR="001E10B3" w:rsidRPr="009D70AA">
        <w:t>Because, a</w:t>
      </w:r>
      <w:r w:rsidRPr="009D70AA">
        <w:t xml:space="preserve">s described above, </w:t>
      </w:r>
      <w:r w:rsidR="004C6E04" w:rsidRPr="009D70AA">
        <w:t xml:space="preserve">the </w:t>
      </w:r>
      <w:r w:rsidR="00C51FAC" w:rsidRPr="009D70AA">
        <w:t>Exchange</w:t>
      </w:r>
      <w:r w:rsidRPr="009D70AA">
        <w:t xml:space="preserve"> has a “commercial interest” in the Confidential</w:t>
      </w:r>
      <w:r w:rsidR="001E10B3" w:rsidRPr="009D70AA">
        <w:t xml:space="preserve"> Information, it is “commercial” information for purposes of Exemption 4.</w:t>
      </w:r>
    </w:p>
    <w:p w:rsidR="007372B0" w:rsidRPr="009D70AA" w:rsidRDefault="007372B0" w:rsidP="00C76B32">
      <w:pPr>
        <w:spacing w:after="240"/>
        <w:jc w:val="both"/>
      </w:pPr>
      <w:r w:rsidRPr="009D70AA">
        <w:lastRenderedPageBreak/>
        <w:t xml:space="preserve">Only information “obtained from a person” is included under Exemption 4.  </w:t>
      </w:r>
      <w:r w:rsidR="004C6E04" w:rsidRPr="009D70AA">
        <w:t xml:space="preserve">The </w:t>
      </w:r>
      <w:r w:rsidR="00C51FAC" w:rsidRPr="009D70AA">
        <w:t>Exchange</w:t>
      </w:r>
      <w:r w:rsidRPr="009D70AA">
        <w:t xml:space="preserve"> is a person, as the term “person” includes entities such as corporations.</w:t>
      </w:r>
      <w:r w:rsidRPr="009D70AA">
        <w:rPr>
          <w:rStyle w:val="FootnoteReference"/>
        </w:rPr>
        <w:footnoteReference w:id="4"/>
      </w:r>
    </w:p>
    <w:p w:rsidR="007372B0" w:rsidRPr="009D70AA" w:rsidRDefault="001E10B3" w:rsidP="00C76B32">
      <w:pPr>
        <w:spacing w:after="240"/>
        <w:jc w:val="both"/>
      </w:pPr>
      <w:r w:rsidRPr="009D70AA">
        <w:t>The Confidential Information also qualifies as “confidential” for purposes of Exemption 4. The D.C. Circuit has made clear that when information is submitted to an agency voluntarily, it will be treated as confidential under Exemption 4 if it</w:t>
      </w:r>
      <w:r w:rsidR="007372B0" w:rsidRPr="009D70AA">
        <w:t xml:space="preserve"> is of a kind the provider would not customarily make available to the public.</w:t>
      </w:r>
      <w:r w:rsidR="007372B0" w:rsidRPr="009D70AA">
        <w:rPr>
          <w:rStyle w:val="FootnoteReference"/>
        </w:rPr>
        <w:footnoteReference w:id="5"/>
      </w:r>
      <w:r w:rsidR="007372B0" w:rsidRPr="009D70AA">
        <w:t xml:space="preserve">  </w:t>
      </w:r>
      <w:r w:rsidR="00A84BE8" w:rsidRPr="009D70AA">
        <w:t xml:space="preserve">The </w:t>
      </w:r>
      <w:r w:rsidR="00C51FAC" w:rsidRPr="009D70AA">
        <w:t>Exchange</w:t>
      </w:r>
      <w:r w:rsidR="00A84BE8" w:rsidRPr="009D70AA">
        <w:t xml:space="preserve"> </w:t>
      </w:r>
      <w:r w:rsidR="007372B0" w:rsidRPr="009D70AA">
        <w:t xml:space="preserve">provided the Confidential Information to the Commission voluntarily in connection with the Submission in order to </w:t>
      </w:r>
      <w:r w:rsidR="00C51FAC" w:rsidRPr="009D70AA">
        <w:t xml:space="preserve">comply with </w:t>
      </w:r>
      <w:r w:rsidR="007372B0" w:rsidRPr="009D70AA">
        <w:t>Commission Regulations</w:t>
      </w:r>
      <w:r w:rsidR="00C51FAC" w:rsidRPr="009D70AA">
        <w:t xml:space="preserve"> regarding filing of proposed </w:t>
      </w:r>
      <w:r w:rsidR="00F612F3">
        <w:t>market maker</w:t>
      </w:r>
      <w:r w:rsidR="00C51FAC" w:rsidRPr="009D70AA">
        <w:t xml:space="preserve"> programs by designated contract markets</w:t>
      </w:r>
      <w:r w:rsidR="007372B0" w:rsidRPr="009D70AA">
        <w:t xml:space="preserve">.  </w:t>
      </w:r>
      <w:r w:rsidR="00DB7A2D" w:rsidRPr="009D70AA">
        <w:t>Whether such information customarily would be made available is determined by evaluating how the particular submitting party customarily treats the information</w:t>
      </w:r>
      <w:r w:rsidR="003018EB" w:rsidRPr="009D70AA">
        <w:t>,</w:t>
      </w:r>
      <w:r w:rsidR="00DB7A2D" w:rsidRPr="009D70AA">
        <w:rPr>
          <w:rStyle w:val="FootnoteReference"/>
        </w:rPr>
        <w:footnoteReference w:id="6"/>
      </w:r>
      <w:r w:rsidR="00DB7A2D" w:rsidRPr="009D70AA">
        <w:t xml:space="preserve"> </w:t>
      </w:r>
      <w:r w:rsidR="003018EB" w:rsidRPr="009D70AA">
        <w:t>and</w:t>
      </w:r>
      <w:r w:rsidR="00034113" w:rsidRPr="009D70AA">
        <w:t>,</w:t>
      </w:r>
      <w:r w:rsidR="003018EB" w:rsidRPr="009D70AA">
        <w:t xml:space="preserve"> as noted above</w:t>
      </w:r>
      <w:r w:rsidR="00034113" w:rsidRPr="009D70AA">
        <w:t>,</w:t>
      </w:r>
      <w:r w:rsidR="003018EB" w:rsidRPr="009D70AA">
        <w:t xml:space="preserve"> t</w:t>
      </w:r>
      <w:r w:rsidR="007372B0" w:rsidRPr="009D70AA">
        <w:t xml:space="preserve">he Confidential Information is not customarily made available to the public by </w:t>
      </w:r>
      <w:r w:rsidR="00A84BE8" w:rsidRPr="009D70AA">
        <w:t xml:space="preserve">the </w:t>
      </w:r>
      <w:r w:rsidR="00C51FAC" w:rsidRPr="009D70AA">
        <w:t>Exchange</w:t>
      </w:r>
      <w:r w:rsidR="007372B0" w:rsidRPr="009D70AA">
        <w:t>.</w:t>
      </w:r>
    </w:p>
    <w:p w:rsidR="00922102" w:rsidRPr="009D70AA" w:rsidRDefault="00A570F5" w:rsidP="00922102">
      <w:pPr>
        <w:spacing w:after="240"/>
        <w:jc w:val="both"/>
      </w:pPr>
      <w:r w:rsidRPr="009D70AA">
        <w:t>Even if</w:t>
      </w:r>
      <w:r w:rsidR="003018EB" w:rsidRPr="009D70AA">
        <w:t xml:space="preserve"> the </w:t>
      </w:r>
      <w:r w:rsidR="007372B0" w:rsidRPr="009D70AA">
        <w:t xml:space="preserve">Confidential Information </w:t>
      </w:r>
      <w:r w:rsidRPr="009D70AA">
        <w:t xml:space="preserve">were not submitted voluntarily, it </w:t>
      </w:r>
      <w:r w:rsidR="003018EB" w:rsidRPr="009D70AA">
        <w:t xml:space="preserve">still </w:t>
      </w:r>
      <w:r w:rsidR="007372B0" w:rsidRPr="009D70AA">
        <w:t xml:space="preserve">would </w:t>
      </w:r>
      <w:r w:rsidR="003018EB" w:rsidRPr="009D70AA">
        <w:t>be considered</w:t>
      </w:r>
      <w:r w:rsidR="007372B0" w:rsidRPr="009D70AA">
        <w:t xml:space="preserve"> “confidential” </w:t>
      </w:r>
      <w:r w:rsidRPr="009D70AA">
        <w:t>under</w:t>
      </w:r>
      <w:r w:rsidR="003018EB" w:rsidRPr="009D70AA">
        <w:t xml:space="preserve"> Exemption 4 if disclosure would cause </w:t>
      </w:r>
      <w:r w:rsidR="00135034" w:rsidRPr="009D70AA">
        <w:t>“s</w:t>
      </w:r>
      <w:r w:rsidR="003018EB" w:rsidRPr="009D70AA">
        <w:t>ubstantial harm</w:t>
      </w:r>
      <w:r w:rsidR="009D70AA">
        <w:t>”</w:t>
      </w:r>
      <w:r w:rsidR="003018EB" w:rsidRPr="009D70AA">
        <w:t xml:space="preserve"> to the competitive position of the person from whom the information was obtained.</w:t>
      </w:r>
      <w:r w:rsidR="007372B0" w:rsidRPr="009D70AA">
        <w:rPr>
          <w:rStyle w:val="FootnoteReference"/>
        </w:rPr>
        <w:footnoteReference w:id="7"/>
      </w:r>
      <w:r w:rsidR="007372B0" w:rsidRPr="009D70AA">
        <w:t xml:space="preserve">  </w:t>
      </w:r>
      <w:r w:rsidR="00DE7965" w:rsidRPr="009D70AA">
        <w:t>“Substantial harm” is established by a showing of actual competition and a likelihood of substantial competitive injury</w:t>
      </w:r>
      <w:r w:rsidR="00034113" w:rsidRPr="009D70AA">
        <w:t xml:space="preserve"> </w:t>
      </w:r>
      <w:r w:rsidR="00116706" w:rsidRPr="009D70AA">
        <w:t>that</w:t>
      </w:r>
      <w:r w:rsidR="00922102" w:rsidRPr="009D70AA">
        <w:t xml:space="preserve"> flows from the potential for affirmative use by a competitor of the submitter’s proprietary information</w:t>
      </w:r>
      <w:r w:rsidR="00DE7965" w:rsidRPr="009D70AA">
        <w:t>.</w:t>
      </w:r>
      <w:r w:rsidR="00DE7965" w:rsidRPr="009D70AA">
        <w:rPr>
          <w:rStyle w:val="FootnoteReference"/>
        </w:rPr>
        <w:footnoteReference w:id="8"/>
      </w:r>
      <w:r w:rsidR="007372B0" w:rsidRPr="009D70AA">
        <w:t xml:space="preserve">  Neither the Commission nor the courts </w:t>
      </w:r>
      <w:r w:rsidR="00034113" w:rsidRPr="009D70AA">
        <w:t xml:space="preserve">need </w:t>
      </w:r>
      <w:r w:rsidR="007372B0" w:rsidRPr="009D70AA">
        <w:t xml:space="preserve">conduct a sophisticated economic analysis to determine the likely effects of disclosure; evidence demonstrating the </w:t>
      </w:r>
      <w:r w:rsidR="007372B0" w:rsidRPr="009D70AA">
        <w:rPr>
          <w:i/>
        </w:rPr>
        <w:t>potential</w:t>
      </w:r>
      <w:r w:rsidR="007372B0" w:rsidRPr="009D70AA">
        <w:t xml:space="preserve"> for economic harm is sufficient.</w:t>
      </w:r>
      <w:r w:rsidR="007372B0" w:rsidRPr="009D70AA">
        <w:rPr>
          <w:rStyle w:val="FootnoteReference"/>
        </w:rPr>
        <w:footnoteReference w:id="9"/>
      </w:r>
      <w:r w:rsidR="007372B0" w:rsidRPr="009D70AA">
        <w:t xml:space="preserve">  </w:t>
      </w:r>
    </w:p>
    <w:p w:rsidR="005D1E56" w:rsidRPr="009D70AA" w:rsidRDefault="009D70AA" w:rsidP="00C76B32">
      <w:pPr>
        <w:spacing w:after="240"/>
        <w:jc w:val="both"/>
      </w:pPr>
      <w:r>
        <w:br w:type="page"/>
      </w:r>
      <w:r w:rsidR="007372B0" w:rsidRPr="009D70AA">
        <w:lastRenderedPageBreak/>
        <w:t xml:space="preserve">For the foregoing reasons, </w:t>
      </w:r>
      <w:r w:rsidR="00B0621B" w:rsidRPr="009D70AA">
        <w:t xml:space="preserve">the </w:t>
      </w:r>
      <w:r w:rsidR="000033C3" w:rsidRPr="009D70AA">
        <w:t>Exchange</w:t>
      </w:r>
      <w:r w:rsidR="007372B0" w:rsidRPr="009D70AA">
        <w:t xml:space="preserve"> respectfully request</w:t>
      </w:r>
      <w:r w:rsidR="000033C3" w:rsidRPr="009D70AA">
        <w:t>s</w:t>
      </w:r>
      <w:r w:rsidR="007372B0" w:rsidRPr="009D70AA">
        <w:t xml:space="preserve"> that the Commission staff make an initial determination to maintain the confidentiality of the Confidential Information.  Please contact me at </w:t>
      </w:r>
      <w:r>
        <w:t>(</w:t>
      </w:r>
      <w:r w:rsidR="00A972E7">
        <w:t>301</w:t>
      </w:r>
      <w:r>
        <w:t>)</w:t>
      </w:r>
      <w:r w:rsidR="00A972E7">
        <w:t xml:space="preserve"> 978</w:t>
      </w:r>
      <w:r>
        <w:t>-</w:t>
      </w:r>
      <w:r w:rsidR="00A972E7">
        <w:t>8458</w:t>
      </w:r>
      <w:r w:rsidR="000033C3" w:rsidRPr="009D70AA">
        <w:t xml:space="preserve"> </w:t>
      </w:r>
      <w:r w:rsidR="007372B0" w:rsidRPr="009D70AA">
        <w:t>if you have any questions regarding this matter or in the event that the Confidential Information becomes subject to inquiry.</w:t>
      </w:r>
    </w:p>
    <w:p w:rsidR="00942068" w:rsidRDefault="005D1E56" w:rsidP="00C76B32">
      <w:pPr>
        <w:pStyle w:val="BodyTextIndent"/>
        <w:tabs>
          <w:tab w:val="left" w:pos="4320"/>
        </w:tabs>
        <w:spacing w:after="480" w:afterAutospacing="0"/>
        <w:ind w:firstLine="4320"/>
        <w:jc w:val="both"/>
      </w:pPr>
      <w:r w:rsidRPr="009D70AA">
        <w:t>Very truly yours,</w:t>
      </w:r>
    </w:p>
    <w:p w:rsidR="00606291" w:rsidRDefault="00F23070" w:rsidP="00606291">
      <w:pPr>
        <w:pStyle w:val="NoSpacing"/>
        <w:ind w:left="2880" w:firstLine="720"/>
        <w:rPr>
          <w:rFonts w:ascii="Times New Roman" w:hAnsi="Times New Roman" w:cs="Times New Roman"/>
          <w:sz w:val="24"/>
          <w:szCs w:val="24"/>
        </w:rPr>
      </w:pPr>
      <w:r>
        <w:rPr>
          <w:noProof/>
        </w:rPr>
        <w:drawing>
          <wp:inline distT="0" distB="0" distL="0" distR="0">
            <wp:extent cx="2886075" cy="850306"/>
            <wp:effectExtent l="0" t="0" r="0" b="0"/>
            <wp:docPr id="1" name="Picture 1" descr="cid:image001.png@01D10C19.E39D2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0C19.E39D2F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86075" cy="850306"/>
                    </a:xfrm>
                    <a:prstGeom prst="rect">
                      <a:avLst/>
                    </a:prstGeom>
                    <a:noFill/>
                    <a:ln>
                      <a:noFill/>
                    </a:ln>
                  </pic:spPr>
                </pic:pic>
              </a:graphicData>
            </a:graphic>
          </wp:inline>
        </w:drawing>
      </w:r>
    </w:p>
    <w:p w:rsidR="00F058BE" w:rsidRPr="009D70AA" w:rsidRDefault="009218E3" w:rsidP="00DB3D56">
      <w:pPr>
        <w:pStyle w:val="BodyTextIndent"/>
        <w:tabs>
          <w:tab w:val="left" w:pos="4320"/>
        </w:tabs>
        <w:ind w:firstLine="4320"/>
        <w:jc w:val="both"/>
      </w:pPr>
      <w:r>
        <w:t>S</w:t>
      </w:r>
      <w:r w:rsidR="00A972E7">
        <w:t>tephen Matthews</w:t>
      </w:r>
      <w:r w:rsidR="000033C3" w:rsidRPr="009D70AA">
        <w:t xml:space="preserve"> </w:t>
      </w:r>
    </w:p>
    <w:p w:rsidR="00A92DC5" w:rsidRPr="009D70AA" w:rsidRDefault="006C27B4" w:rsidP="000033C3">
      <w:pPr>
        <w:tabs>
          <w:tab w:val="left" w:pos="450"/>
        </w:tabs>
      </w:pPr>
      <w:r w:rsidRPr="009D70AA">
        <w:t xml:space="preserve">  </w:t>
      </w:r>
      <w:r w:rsidR="00B806E9" w:rsidRPr="009D70AA">
        <w:tab/>
      </w:r>
    </w:p>
    <w:sectPr w:rsidR="00A92DC5" w:rsidRPr="009D70AA" w:rsidSect="00D2756B">
      <w:footerReference w:type="default" r:id="rId11"/>
      <w:headerReference w:type="first" r:id="rId12"/>
      <w:type w:val="continuous"/>
      <w:pgSz w:w="12242" w:h="15842" w:code="1"/>
      <w:pgMar w:top="1890" w:right="1800" w:bottom="1440" w:left="180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C8" w:rsidRDefault="007D75C8">
      <w:r>
        <w:separator/>
      </w:r>
    </w:p>
  </w:endnote>
  <w:endnote w:type="continuationSeparator" w:id="0">
    <w:p w:rsidR="007D75C8" w:rsidRDefault="007D75C8">
      <w:r>
        <w:continuationSeparator/>
      </w:r>
    </w:p>
  </w:endnote>
  <w:endnote w:type="continuationNotice" w:id="1">
    <w:p w:rsidR="007D75C8" w:rsidRDefault="007D7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04" w:rsidRPr="007B445B" w:rsidRDefault="00596604" w:rsidP="00437891">
    <w:pPr>
      <w:pStyle w:val="Footer"/>
      <w:jc w:val="center"/>
      <w:rPr>
        <w:rFonts w:ascii="Arial" w:hAnsi="Arial" w:cs="Arial"/>
        <w:sz w:val="20"/>
        <w:szCs w:val="20"/>
      </w:rPr>
    </w:pPr>
    <w:r w:rsidRPr="007B445B">
      <w:rPr>
        <w:rFonts w:ascii="Arial" w:hAnsi="Arial" w:cs="Arial"/>
        <w:sz w:val="20"/>
        <w:szCs w:val="20"/>
      </w:rPr>
      <w:fldChar w:fldCharType="begin"/>
    </w:r>
    <w:r w:rsidRPr="007B445B">
      <w:rPr>
        <w:rFonts w:ascii="Arial" w:hAnsi="Arial" w:cs="Arial"/>
        <w:sz w:val="20"/>
        <w:szCs w:val="20"/>
      </w:rPr>
      <w:instrText xml:space="preserve"> PAGE   \* MERGEFORMAT </w:instrText>
    </w:r>
    <w:r w:rsidRPr="007B445B">
      <w:rPr>
        <w:rFonts w:ascii="Arial" w:hAnsi="Arial" w:cs="Arial"/>
        <w:sz w:val="20"/>
        <w:szCs w:val="20"/>
      </w:rPr>
      <w:fldChar w:fldCharType="separate"/>
    </w:r>
    <w:r w:rsidR="000B3AF6">
      <w:rPr>
        <w:rFonts w:ascii="Arial" w:hAnsi="Arial" w:cs="Arial"/>
        <w:noProof/>
        <w:sz w:val="20"/>
        <w:szCs w:val="20"/>
      </w:rPr>
      <w:t>2</w:t>
    </w:r>
    <w:r w:rsidRPr="007B445B">
      <w:rPr>
        <w:rFonts w:ascii="Arial" w:hAnsi="Arial" w:cs="Arial"/>
        <w:noProof/>
        <w:sz w:val="20"/>
        <w:szCs w:val="20"/>
      </w:rPr>
      <w:fldChar w:fldCharType="end"/>
    </w:r>
  </w:p>
  <w:p w:rsidR="00596604" w:rsidRPr="005B0FA8" w:rsidRDefault="00596604" w:rsidP="00C76B32">
    <w:pPr>
      <w:pStyle w:val="Footer"/>
      <w:tabs>
        <w:tab w:val="clear" w:pos="4459"/>
        <w:tab w:val="clear" w:pos="8901"/>
        <w:tab w:val="right" w:pos="92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C8" w:rsidRDefault="007D75C8">
      <w:r>
        <w:separator/>
      </w:r>
    </w:p>
  </w:footnote>
  <w:footnote w:type="continuationSeparator" w:id="0">
    <w:p w:rsidR="007D75C8" w:rsidRDefault="007D75C8">
      <w:r>
        <w:continuationSeparator/>
      </w:r>
    </w:p>
  </w:footnote>
  <w:footnote w:type="continuationNotice" w:id="1">
    <w:p w:rsidR="007D75C8" w:rsidRDefault="007D75C8"/>
  </w:footnote>
  <w:footnote w:id="2">
    <w:p w:rsidR="00596604" w:rsidRPr="009D70AA" w:rsidRDefault="00596604" w:rsidP="007372B0">
      <w:pPr>
        <w:pStyle w:val="FootnoteText"/>
      </w:pPr>
      <w:r w:rsidRPr="009D70AA">
        <w:rPr>
          <w:rStyle w:val="FootnoteReference"/>
        </w:rPr>
        <w:footnoteRef/>
      </w:r>
      <w:r w:rsidRPr="009D70AA">
        <w:t xml:space="preserve"> </w:t>
      </w:r>
      <w:r w:rsidRPr="009D70AA">
        <w:rPr>
          <w:u w:val="single"/>
        </w:rPr>
        <w:t>Baker &amp; Hostetler LLP v. United States Dep’t of Commerce</w:t>
      </w:r>
      <w:proofErr w:type="gramStart"/>
      <w:r w:rsidRPr="009D70AA">
        <w:t>,473</w:t>
      </w:r>
      <w:proofErr w:type="gramEnd"/>
      <w:r w:rsidRPr="009D70AA">
        <w:t xml:space="preserve"> F.3d 312, 319 (D.C. Cir. 2006); </w:t>
      </w:r>
      <w:r w:rsidRPr="009D70AA">
        <w:rPr>
          <w:u w:val="single"/>
        </w:rPr>
        <w:t xml:space="preserve">Nat’l </w:t>
      </w:r>
      <w:proofErr w:type="spellStart"/>
      <w:r w:rsidRPr="009D70AA">
        <w:rPr>
          <w:u w:val="single"/>
        </w:rPr>
        <w:t>Ass’n</w:t>
      </w:r>
      <w:proofErr w:type="spellEnd"/>
      <w:r w:rsidRPr="009D70AA">
        <w:rPr>
          <w:u w:val="single"/>
        </w:rPr>
        <w:t xml:space="preserve"> of Home Builders v. Norton</w:t>
      </w:r>
      <w:r w:rsidRPr="009D70AA">
        <w:t xml:space="preserve">, 309 F.3d 26, 38 (D.C. Cir. 2002); </w:t>
      </w:r>
      <w:r w:rsidRPr="009D70AA">
        <w:rPr>
          <w:u w:val="single"/>
        </w:rPr>
        <w:t>Pub. Citizen Health Research Group v. FDA</w:t>
      </w:r>
      <w:r w:rsidRPr="009D70AA">
        <w:t xml:space="preserve">, 704 F.2d 1280, 1290 (D.C. Cir. 1983) (citing </w:t>
      </w:r>
      <w:r w:rsidRPr="009D70AA">
        <w:rPr>
          <w:u w:val="single"/>
        </w:rPr>
        <w:t>Wash. Post Co. v. HHS</w:t>
      </w:r>
      <w:r w:rsidRPr="009D70AA">
        <w:t xml:space="preserve">, 690 F.2d 252, 266 (D.C. Cir. 1982), and </w:t>
      </w:r>
      <w:r w:rsidRPr="009D70AA">
        <w:rPr>
          <w:u w:val="single"/>
        </w:rPr>
        <w:t xml:space="preserve">Bd. of Trade v. Commodity Futures Trading </w:t>
      </w:r>
      <w:proofErr w:type="spellStart"/>
      <w:r w:rsidRPr="009D70AA">
        <w:rPr>
          <w:u w:val="single"/>
        </w:rPr>
        <w:t>Comm'n</w:t>
      </w:r>
      <w:proofErr w:type="spellEnd"/>
      <w:r w:rsidRPr="009D70AA">
        <w:t xml:space="preserve">, 627 F.2d 392, 403 (D.C. Cir. 1980)). </w:t>
      </w:r>
      <w:r w:rsidRPr="009D70AA">
        <w:rPr>
          <w:u w:val="single"/>
        </w:rPr>
        <w:t>See also</w:t>
      </w:r>
      <w:r w:rsidRPr="009D70AA">
        <w:t xml:space="preserve"> </w:t>
      </w:r>
      <w:proofErr w:type="spellStart"/>
      <w:r w:rsidRPr="009D70AA">
        <w:rPr>
          <w:u w:val="single"/>
        </w:rPr>
        <w:t>Soghoian</w:t>
      </w:r>
      <w:proofErr w:type="spellEnd"/>
      <w:r w:rsidRPr="009D70AA">
        <w:rPr>
          <w:u w:val="single"/>
        </w:rPr>
        <w:t xml:space="preserve"> v. Off. of Mgmt. &amp; Budget</w:t>
      </w:r>
      <w:r w:rsidRPr="009D70AA">
        <w:t>, 923 F. Supp. 2d 167, 174–75 (D.D.C. 2013) (“Commercial information withheld under Exemption 4 includes any document that ‘in and of itself’ serves a ‘commercial function or is of a commercial nature.’”);</w:t>
      </w:r>
      <w:r w:rsidRPr="009D70AA">
        <w:rPr>
          <w:u w:val="single"/>
        </w:rPr>
        <w:t xml:space="preserve"> Judicial Watch, Inc. v. United States Dep't of Energy</w:t>
      </w:r>
      <w:r w:rsidRPr="009D70AA">
        <w:t xml:space="preserve">, No. 01-0981, 2004 WL 635180, at *24 (D.D.C. Mar. 31, 2004) (holding that reports that “constitute work done for clients” are “'commercial' in nature”), </w:t>
      </w:r>
      <w:r w:rsidRPr="009D70AA">
        <w:rPr>
          <w:u w:val="single"/>
        </w:rPr>
        <w:t>stay pending appeal on other grounds granted</w:t>
      </w:r>
      <w:r w:rsidRPr="009D70AA">
        <w:t xml:space="preserve"> (May 26, 2004); </w:t>
      </w:r>
      <w:r w:rsidRPr="009D70AA">
        <w:rPr>
          <w:u w:val="single"/>
        </w:rPr>
        <w:t>Brockway v. Dep't of the Air Force</w:t>
      </w:r>
      <w:r w:rsidRPr="009D70AA">
        <w:t xml:space="preserve">, 370 F. Supp. 738, 740 (N.D. Iowa 1974) (concluding that reports generated by commercial enterprise “must generally be considered commercial information”), </w:t>
      </w:r>
      <w:proofErr w:type="spellStart"/>
      <w:r w:rsidRPr="009D70AA">
        <w:rPr>
          <w:u w:val="single"/>
        </w:rPr>
        <w:t>rev'd</w:t>
      </w:r>
      <w:proofErr w:type="spellEnd"/>
      <w:r w:rsidRPr="009D70AA">
        <w:rPr>
          <w:u w:val="single"/>
        </w:rPr>
        <w:t xml:space="preserve"> on other grounds</w:t>
      </w:r>
      <w:r w:rsidRPr="009D70AA">
        <w:t>, 518 F.2d 1184 (8th Cir. 1975).</w:t>
      </w:r>
    </w:p>
    <w:p w:rsidR="00D2756B" w:rsidRPr="009D70AA" w:rsidRDefault="00D2756B" w:rsidP="007372B0">
      <w:pPr>
        <w:pStyle w:val="FootnoteText"/>
      </w:pPr>
    </w:p>
  </w:footnote>
  <w:footnote w:id="3">
    <w:p w:rsidR="00596604" w:rsidRPr="009D70AA" w:rsidRDefault="00596604">
      <w:pPr>
        <w:pStyle w:val="FootnoteText"/>
      </w:pPr>
      <w:r w:rsidRPr="009D70AA">
        <w:rPr>
          <w:rStyle w:val="FootnoteReference"/>
        </w:rPr>
        <w:footnoteRef/>
      </w:r>
      <w:r w:rsidRPr="009D70AA">
        <w:t xml:space="preserve"> </w:t>
      </w:r>
      <w:r w:rsidRPr="009D70AA">
        <w:rPr>
          <w:u w:val="single"/>
        </w:rPr>
        <w:t>Baker &amp; Hostetler</w:t>
      </w:r>
      <w:r w:rsidRPr="009D70AA">
        <w:t xml:space="preserve">, </w:t>
      </w:r>
      <w:proofErr w:type="gramStart"/>
      <w:r w:rsidRPr="009D70AA">
        <w:t>473 F.3d at 319–20</w:t>
      </w:r>
      <w:proofErr w:type="gramEnd"/>
      <w:r w:rsidRPr="009D70AA">
        <w:t>.</w:t>
      </w:r>
    </w:p>
    <w:p w:rsidR="00D2756B" w:rsidRPr="009D70AA" w:rsidRDefault="00D2756B">
      <w:pPr>
        <w:pStyle w:val="FootnoteText"/>
      </w:pPr>
    </w:p>
  </w:footnote>
  <w:footnote w:id="4">
    <w:p w:rsidR="00596604" w:rsidRPr="009D70AA" w:rsidRDefault="00596604" w:rsidP="007372B0">
      <w:pPr>
        <w:pStyle w:val="FootnoteText"/>
      </w:pPr>
      <w:r w:rsidRPr="009D70AA">
        <w:rPr>
          <w:rStyle w:val="FootnoteReference"/>
        </w:rPr>
        <w:footnoteRef/>
      </w:r>
      <w:r w:rsidRPr="009D70AA">
        <w:t xml:space="preserve"> </w:t>
      </w:r>
      <w:proofErr w:type="gramStart"/>
      <w:r w:rsidRPr="009D70AA">
        <w:rPr>
          <w:u w:val="single"/>
        </w:rPr>
        <w:t>Id.</w:t>
      </w:r>
      <w:r w:rsidRPr="009D70AA">
        <w:t xml:space="preserve"> at 319.</w:t>
      </w:r>
      <w:proofErr w:type="gramEnd"/>
    </w:p>
    <w:p w:rsidR="00D2756B" w:rsidRPr="009D70AA" w:rsidRDefault="00D2756B" w:rsidP="007372B0">
      <w:pPr>
        <w:pStyle w:val="FootnoteText"/>
      </w:pPr>
    </w:p>
  </w:footnote>
  <w:footnote w:id="5">
    <w:p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320; </w:t>
      </w:r>
      <w:r w:rsidRPr="009D70AA">
        <w:rPr>
          <w:u w:val="single"/>
        </w:rPr>
        <w:t>see also</w:t>
      </w:r>
      <w:r w:rsidRPr="009D70AA">
        <w:t xml:space="preserve"> </w:t>
      </w:r>
      <w:proofErr w:type="spellStart"/>
      <w:r w:rsidRPr="009D70AA">
        <w:rPr>
          <w:u w:val="single"/>
        </w:rPr>
        <w:t>Soghoian</w:t>
      </w:r>
      <w:proofErr w:type="spellEnd"/>
      <w:r w:rsidRPr="009D70AA">
        <w:t>, 923 F. Supp. 2d at 175.</w:t>
      </w:r>
    </w:p>
    <w:p w:rsidR="00D2756B" w:rsidRPr="009D70AA" w:rsidRDefault="00D2756B" w:rsidP="007372B0">
      <w:pPr>
        <w:pStyle w:val="FootnoteText"/>
      </w:pPr>
    </w:p>
  </w:footnote>
  <w:footnote w:id="6">
    <w:p w:rsidR="00596604" w:rsidRPr="009D70AA" w:rsidRDefault="00596604" w:rsidP="00DB7A2D">
      <w:pPr>
        <w:pStyle w:val="FootnoteText"/>
      </w:pPr>
      <w:r w:rsidRPr="009D70AA">
        <w:rPr>
          <w:rStyle w:val="FootnoteReference"/>
        </w:rPr>
        <w:footnoteRef/>
      </w:r>
      <w:r w:rsidRPr="009D70AA">
        <w:t xml:space="preserve"> </w:t>
      </w:r>
      <w:proofErr w:type="spellStart"/>
      <w:proofErr w:type="gramStart"/>
      <w:r w:rsidRPr="009D70AA">
        <w:rPr>
          <w:u w:val="single"/>
        </w:rPr>
        <w:t>Soghoian</w:t>
      </w:r>
      <w:proofErr w:type="spellEnd"/>
      <w:r w:rsidRPr="009D70AA">
        <w:t>, 923 F. Supp. 2d at 176.</w:t>
      </w:r>
      <w:proofErr w:type="gramEnd"/>
    </w:p>
  </w:footnote>
  <w:footnote w:id="7">
    <w:p w:rsidR="00596604" w:rsidRPr="009D70AA" w:rsidRDefault="00596604" w:rsidP="007372B0">
      <w:pPr>
        <w:pStyle w:val="FootnoteText"/>
      </w:pPr>
    </w:p>
    <w:p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175 (citing </w:t>
      </w:r>
      <w:r w:rsidRPr="009D70AA">
        <w:rPr>
          <w:u w:val="single"/>
        </w:rPr>
        <w:t>National Parks &amp; Conservation Association v. Morton</w:t>
      </w:r>
      <w:r w:rsidRPr="009D70AA">
        <w:t>, 478 F.2d 765 (D.C. Cir. 1974)).</w:t>
      </w:r>
    </w:p>
  </w:footnote>
  <w:footnote w:id="8">
    <w:p w:rsidR="00596604" w:rsidRPr="009D70AA" w:rsidRDefault="00596604" w:rsidP="00DE7965">
      <w:pPr>
        <w:pStyle w:val="FootnoteText"/>
      </w:pPr>
    </w:p>
    <w:p w:rsidR="00596604" w:rsidRDefault="00596604" w:rsidP="00DE7965">
      <w:pPr>
        <w:pStyle w:val="FootnoteText"/>
      </w:pPr>
      <w:r w:rsidRPr="009D70AA">
        <w:rPr>
          <w:rStyle w:val="FootnoteReference"/>
        </w:rPr>
        <w:footnoteRef/>
      </w:r>
      <w:r w:rsidRPr="009D70AA">
        <w:t xml:space="preserve"> </w:t>
      </w:r>
      <w:proofErr w:type="spellStart"/>
      <w:proofErr w:type="gramStart"/>
      <w:r w:rsidRPr="009D70AA">
        <w:rPr>
          <w:u w:val="single"/>
        </w:rPr>
        <w:t>Jurewicz</w:t>
      </w:r>
      <w:proofErr w:type="spellEnd"/>
      <w:r w:rsidRPr="009D70AA">
        <w:rPr>
          <w:u w:val="single"/>
        </w:rPr>
        <w:t xml:space="preserve"> v. United States Dep’t of Agric.</w:t>
      </w:r>
      <w:r w:rsidRPr="009D70AA">
        <w:t>, 741 F.3d 1326, 1331 (D.C. Cir. 2014).</w:t>
      </w:r>
      <w:proofErr w:type="gramEnd"/>
      <w:r w:rsidRPr="009D70AA">
        <w:t xml:space="preserve"> There is no requirement to demonstrate actual competitive harm. </w:t>
      </w:r>
      <w:proofErr w:type="gramStart"/>
      <w:r w:rsidRPr="009D70AA">
        <w:rPr>
          <w:u w:val="single"/>
        </w:rPr>
        <w:t>Gulf &amp; Western Indus., Inc. v. United States</w:t>
      </w:r>
      <w:r w:rsidRPr="009D70AA">
        <w:t>, 615 F.2d 527, 530 (D.C. Cir. 1979).</w:t>
      </w:r>
      <w:proofErr w:type="gramEnd"/>
    </w:p>
    <w:p w:rsidR="009D70AA" w:rsidRPr="009D70AA" w:rsidRDefault="009D70AA" w:rsidP="00DE7965">
      <w:pPr>
        <w:pStyle w:val="FootnoteText"/>
      </w:pPr>
    </w:p>
  </w:footnote>
  <w:footnote w:id="9">
    <w:p w:rsidR="00596604" w:rsidRPr="009D70AA" w:rsidRDefault="00596604" w:rsidP="007372B0">
      <w:pPr>
        <w:pStyle w:val="FootnoteText"/>
        <w:rPr>
          <w:sz w:val="18"/>
          <w:szCs w:val="18"/>
        </w:rPr>
      </w:pPr>
      <w:r w:rsidRPr="009D70AA">
        <w:rPr>
          <w:rStyle w:val="FootnoteReference"/>
        </w:rPr>
        <w:footnoteRef/>
      </w:r>
      <w:r w:rsidRPr="009D70AA">
        <w:rPr>
          <w:lang w:val="nb-NO"/>
        </w:rPr>
        <w:t xml:space="preserve"> </w:t>
      </w:r>
      <w:r w:rsidRPr="009D70AA">
        <w:rPr>
          <w:u w:val="single"/>
          <w:lang w:val="nb-NO"/>
        </w:rPr>
        <w:t>Utah v. Bahe et al</w:t>
      </w:r>
      <w:r w:rsidRPr="009D70AA">
        <w:rPr>
          <w:lang w:val="nb-NO"/>
        </w:rPr>
        <w:t xml:space="preserve">. </w:t>
      </w:r>
      <w:proofErr w:type="gramStart"/>
      <w:r w:rsidRPr="009D70AA">
        <w:t>No. 00-4018, 2001 WL 777034, at 2 (10</w:t>
      </w:r>
      <w:r w:rsidRPr="009D70AA">
        <w:rPr>
          <w:vertAlign w:val="superscript"/>
        </w:rPr>
        <w:t>th</w:t>
      </w:r>
      <w:r w:rsidRPr="009D70AA">
        <w:t xml:space="preserve"> Cir. July 10, 2001); </w:t>
      </w:r>
      <w:r w:rsidRPr="009D70AA">
        <w:rPr>
          <w:u w:val="single"/>
        </w:rPr>
        <w:t>Pub.</w:t>
      </w:r>
      <w:proofErr w:type="gramEnd"/>
      <w:r w:rsidRPr="009D70AA">
        <w:rPr>
          <w:u w:val="single"/>
        </w:rPr>
        <w:t xml:space="preserve"> Citizen Health Research Group</w:t>
      </w:r>
      <w:r w:rsidRPr="009D70AA">
        <w:t>, 704 F2d</w:t>
      </w:r>
      <w:r w:rsidRPr="009D70AA">
        <w:rPr>
          <w:sz w:val="18"/>
          <w:szCs w:val="18"/>
        </w:rPr>
        <w:t xml:space="preserve"> at 1291.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604" w:rsidRDefault="00A972E7" w:rsidP="00A972E7">
    <w:pPr>
      <w:spacing w:after="280"/>
      <w:jc w:val="right"/>
    </w:pPr>
    <w:r>
      <w:rPr>
        <w:rFonts w:ascii="Arial" w:hAnsi="Arial" w:cs="Arial"/>
        <w:noProof/>
        <w:color w:val="009FC2"/>
        <w:sz w:val="21"/>
        <w:szCs w:val="21"/>
      </w:rPr>
      <w:drawing>
        <wp:inline distT="0" distB="0" distL="0" distR="0" wp14:anchorId="3899E33D" wp14:editId="2E188BD2">
          <wp:extent cx="1905000" cy="542925"/>
          <wp:effectExtent l="0" t="0" r="0" b="9525"/>
          <wp:docPr id="2" name="Picture 2" descr="https://www.nasdaqomxintranet.com/digitalAssets/21/21825_nasdaq_logo_09.30.14_iconforqn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sdaqomxintranet.com/digitalAssets/21/21825_nasdaq_logo_09.30.14_iconforqn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B4CF16"/>
    <w:lvl w:ilvl="0">
      <w:start w:val="1"/>
      <w:numFmt w:val="decimal"/>
      <w:lvlText w:val="%1."/>
      <w:lvlJc w:val="left"/>
      <w:pPr>
        <w:tabs>
          <w:tab w:val="num" w:pos="1492"/>
        </w:tabs>
        <w:ind w:left="1492" w:hanging="360"/>
      </w:pPr>
    </w:lvl>
  </w:abstractNum>
  <w:abstractNum w:abstractNumId="1">
    <w:nsid w:val="FFFFFF7D"/>
    <w:multiLevelType w:val="singleLevel"/>
    <w:tmpl w:val="77AEB836"/>
    <w:lvl w:ilvl="0">
      <w:start w:val="1"/>
      <w:numFmt w:val="decimal"/>
      <w:lvlText w:val="%1."/>
      <w:lvlJc w:val="left"/>
      <w:pPr>
        <w:tabs>
          <w:tab w:val="num" w:pos="1209"/>
        </w:tabs>
        <w:ind w:left="1209" w:hanging="360"/>
      </w:pPr>
    </w:lvl>
  </w:abstractNum>
  <w:abstractNum w:abstractNumId="2">
    <w:nsid w:val="FFFFFF7E"/>
    <w:multiLevelType w:val="singleLevel"/>
    <w:tmpl w:val="1180C9F8"/>
    <w:lvl w:ilvl="0">
      <w:start w:val="1"/>
      <w:numFmt w:val="decimal"/>
      <w:lvlText w:val="%1."/>
      <w:lvlJc w:val="left"/>
      <w:pPr>
        <w:tabs>
          <w:tab w:val="num" w:pos="926"/>
        </w:tabs>
        <w:ind w:left="926" w:hanging="360"/>
      </w:pPr>
    </w:lvl>
  </w:abstractNum>
  <w:abstractNum w:abstractNumId="3">
    <w:nsid w:val="FFFFFF7F"/>
    <w:multiLevelType w:val="singleLevel"/>
    <w:tmpl w:val="BF8292E6"/>
    <w:lvl w:ilvl="0">
      <w:start w:val="1"/>
      <w:numFmt w:val="decimal"/>
      <w:lvlText w:val="%1."/>
      <w:lvlJc w:val="left"/>
      <w:pPr>
        <w:tabs>
          <w:tab w:val="num" w:pos="643"/>
        </w:tabs>
        <w:ind w:left="643" w:hanging="360"/>
      </w:pPr>
    </w:lvl>
  </w:abstractNum>
  <w:abstractNum w:abstractNumId="4">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545526"/>
    <w:lvl w:ilvl="0">
      <w:start w:val="1"/>
      <w:numFmt w:val="decimal"/>
      <w:lvlText w:val="%1."/>
      <w:lvlJc w:val="left"/>
      <w:pPr>
        <w:tabs>
          <w:tab w:val="num" w:pos="360"/>
        </w:tabs>
        <w:ind w:left="360" w:hanging="360"/>
      </w:pPr>
    </w:lvl>
  </w:abstractNum>
  <w:abstractNum w:abstractNumId="9">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nsid w:val="1B7343D9"/>
    <w:multiLevelType w:val="multilevel"/>
    <w:tmpl w:val="217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FD4CE7"/>
    <w:multiLevelType w:val="hybridMultilevel"/>
    <w:tmpl w:val="D430CF0A"/>
    <w:lvl w:ilvl="0" w:tplc="B5DE7856">
      <w:start w:val="1"/>
      <w:numFmt w:val="bullet"/>
      <w:pStyle w:val="TableBulletlist"/>
      <w:lvlText w:val=""/>
      <w:lvlJc w:val="left"/>
      <w:pPr>
        <w:tabs>
          <w:tab w:val="num" w:pos="360"/>
        </w:tabs>
        <w:ind w:left="227" w:hanging="227"/>
      </w:pPr>
      <w:rPr>
        <w:rFonts w:ascii="Symbol" w:hAnsi="Symbol" w:hint="default"/>
      </w:rPr>
    </w:lvl>
    <w:lvl w:ilvl="1" w:tplc="0366AD0A" w:tentative="1">
      <w:start w:val="1"/>
      <w:numFmt w:val="bullet"/>
      <w:lvlText w:val="o"/>
      <w:lvlJc w:val="left"/>
      <w:pPr>
        <w:tabs>
          <w:tab w:val="num" w:pos="1440"/>
        </w:tabs>
        <w:ind w:left="1440" w:hanging="360"/>
      </w:pPr>
      <w:rPr>
        <w:rFonts w:ascii="Courier New" w:hAnsi="Courier New" w:hint="default"/>
      </w:rPr>
    </w:lvl>
    <w:lvl w:ilvl="2" w:tplc="C5E8EF9A" w:tentative="1">
      <w:start w:val="1"/>
      <w:numFmt w:val="bullet"/>
      <w:lvlText w:val=""/>
      <w:lvlJc w:val="left"/>
      <w:pPr>
        <w:tabs>
          <w:tab w:val="num" w:pos="2160"/>
        </w:tabs>
        <w:ind w:left="2160" w:hanging="360"/>
      </w:pPr>
      <w:rPr>
        <w:rFonts w:ascii="Wingdings" w:hAnsi="Wingdings" w:hint="default"/>
      </w:rPr>
    </w:lvl>
    <w:lvl w:ilvl="3" w:tplc="6768669C" w:tentative="1">
      <w:start w:val="1"/>
      <w:numFmt w:val="bullet"/>
      <w:lvlText w:val=""/>
      <w:lvlJc w:val="left"/>
      <w:pPr>
        <w:tabs>
          <w:tab w:val="num" w:pos="2880"/>
        </w:tabs>
        <w:ind w:left="2880" w:hanging="360"/>
      </w:pPr>
      <w:rPr>
        <w:rFonts w:ascii="Symbol" w:hAnsi="Symbol" w:hint="default"/>
      </w:rPr>
    </w:lvl>
    <w:lvl w:ilvl="4" w:tplc="E91A3158" w:tentative="1">
      <w:start w:val="1"/>
      <w:numFmt w:val="bullet"/>
      <w:lvlText w:val="o"/>
      <w:lvlJc w:val="left"/>
      <w:pPr>
        <w:tabs>
          <w:tab w:val="num" w:pos="3600"/>
        </w:tabs>
        <w:ind w:left="3600" w:hanging="360"/>
      </w:pPr>
      <w:rPr>
        <w:rFonts w:ascii="Courier New" w:hAnsi="Courier New" w:hint="default"/>
      </w:rPr>
    </w:lvl>
    <w:lvl w:ilvl="5" w:tplc="6494F776" w:tentative="1">
      <w:start w:val="1"/>
      <w:numFmt w:val="bullet"/>
      <w:lvlText w:val=""/>
      <w:lvlJc w:val="left"/>
      <w:pPr>
        <w:tabs>
          <w:tab w:val="num" w:pos="4320"/>
        </w:tabs>
        <w:ind w:left="4320" w:hanging="360"/>
      </w:pPr>
      <w:rPr>
        <w:rFonts w:ascii="Wingdings" w:hAnsi="Wingdings" w:hint="default"/>
      </w:rPr>
    </w:lvl>
    <w:lvl w:ilvl="6" w:tplc="03B204B4" w:tentative="1">
      <w:start w:val="1"/>
      <w:numFmt w:val="bullet"/>
      <w:lvlText w:val=""/>
      <w:lvlJc w:val="left"/>
      <w:pPr>
        <w:tabs>
          <w:tab w:val="num" w:pos="5040"/>
        </w:tabs>
        <w:ind w:left="5040" w:hanging="360"/>
      </w:pPr>
      <w:rPr>
        <w:rFonts w:ascii="Symbol" w:hAnsi="Symbol" w:hint="default"/>
      </w:rPr>
    </w:lvl>
    <w:lvl w:ilvl="7" w:tplc="CCAC7BC6" w:tentative="1">
      <w:start w:val="1"/>
      <w:numFmt w:val="bullet"/>
      <w:lvlText w:val="o"/>
      <w:lvlJc w:val="left"/>
      <w:pPr>
        <w:tabs>
          <w:tab w:val="num" w:pos="5760"/>
        </w:tabs>
        <w:ind w:left="5760" w:hanging="360"/>
      </w:pPr>
      <w:rPr>
        <w:rFonts w:ascii="Courier New" w:hAnsi="Courier New" w:hint="default"/>
      </w:rPr>
    </w:lvl>
    <w:lvl w:ilvl="8" w:tplc="FA842C02" w:tentative="1">
      <w:start w:val="1"/>
      <w:numFmt w:val="bullet"/>
      <w:lvlText w:val=""/>
      <w:lvlJc w:val="left"/>
      <w:pPr>
        <w:tabs>
          <w:tab w:val="num" w:pos="6480"/>
        </w:tabs>
        <w:ind w:left="6480" w:hanging="360"/>
      </w:pPr>
      <w:rPr>
        <w:rFonts w:ascii="Wingdings" w:hAnsi="Wingdings" w:hint="default"/>
      </w:rPr>
    </w:lvl>
  </w:abstractNum>
  <w:abstractNum w:abstractNumId="12">
    <w:nsid w:val="29112F3C"/>
    <w:multiLevelType w:val="hybridMultilevel"/>
    <w:tmpl w:val="D054DE18"/>
    <w:lvl w:ilvl="0" w:tplc="952EB1AE">
      <w:start w:val="1"/>
      <w:numFmt w:val="decimal"/>
      <w:pStyle w:val="TableNumberlist"/>
      <w:lvlText w:val="%1."/>
      <w:lvlJc w:val="left"/>
      <w:pPr>
        <w:tabs>
          <w:tab w:val="num" w:pos="227"/>
        </w:tabs>
        <w:ind w:left="227" w:hanging="227"/>
      </w:pPr>
      <w:rPr>
        <w:rFonts w:hint="default"/>
      </w:rPr>
    </w:lvl>
    <w:lvl w:ilvl="1" w:tplc="DE200A00" w:tentative="1">
      <w:start w:val="1"/>
      <w:numFmt w:val="lowerLetter"/>
      <w:lvlText w:val="%2."/>
      <w:lvlJc w:val="left"/>
      <w:pPr>
        <w:tabs>
          <w:tab w:val="num" w:pos="1440"/>
        </w:tabs>
        <w:ind w:left="1440" w:hanging="360"/>
      </w:pPr>
    </w:lvl>
    <w:lvl w:ilvl="2" w:tplc="028AC3AC" w:tentative="1">
      <w:start w:val="1"/>
      <w:numFmt w:val="lowerRoman"/>
      <w:lvlText w:val="%3."/>
      <w:lvlJc w:val="right"/>
      <w:pPr>
        <w:tabs>
          <w:tab w:val="num" w:pos="2160"/>
        </w:tabs>
        <w:ind w:left="2160" w:hanging="180"/>
      </w:pPr>
    </w:lvl>
    <w:lvl w:ilvl="3" w:tplc="40102E9E" w:tentative="1">
      <w:start w:val="1"/>
      <w:numFmt w:val="decimal"/>
      <w:lvlText w:val="%4."/>
      <w:lvlJc w:val="left"/>
      <w:pPr>
        <w:tabs>
          <w:tab w:val="num" w:pos="2880"/>
        </w:tabs>
        <w:ind w:left="2880" w:hanging="360"/>
      </w:pPr>
    </w:lvl>
    <w:lvl w:ilvl="4" w:tplc="B484B7DE" w:tentative="1">
      <w:start w:val="1"/>
      <w:numFmt w:val="lowerLetter"/>
      <w:lvlText w:val="%5."/>
      <w:lvlJc w:val="left"/>
      <w:pPr>
        <w:tabs>
          <w:tab w:val="num" w:pos="3600"/>
        </w:tabs>
        <w:ind w:left="3600" w:hanging="360"/>
      </w:pPr>
    </w:lvl>
    <w:lvl w:ilvl="5" w:tplc="5AAC0F3E" w:tentative="1">
      <w:start w:val="1"/>
      <w:numFmt w:val="lowerRoman"/>
      <w:lvlText w:val="%6."/>
      <w:lvlJc w:val="right"/>
      <w:pPr>
        <w:tabs>
          <w:tab w:val="num" w:pos="4320"/>
        </w:tabs>
        <w:ind w:left="4320" w:hanging="180"/>
      </w:pPr>
    </w:lvl>
    <w:lvl w:ilvl="6" w:tplc="39200626" w:tentative="1">
      <w:start w:val="1"/>
      <w:numFmt w:val="decimal"/>
      <w:lvlText w:val="%7."/>
      <w:lvlJc w:val="left"/>
      <w:pPr>
        <w:tabs>
          <w:tab w:val="num" w:pos="5040"/>
        </w:tabs>
        <w:ind w:left="5040" w:hanging="360"/>
      </w:pPr>
    </w:lvl>
    <w:lvl w:ilvl="7" w:tplc="62608D0E" w:tentative="1">
      <w:start w:val="1"/>
      <w:numFmt w:val="lowerLetter"/>
      <w:lvlText w:val="%8."/>
      <w:lvlJc w:val="left"/>
      <w:pPr>
        <w:tabs>
          <w:tab w:val="num" w:pos="5760"/>
        </w:tabs>
        <w:ind w:left="5760" w:hanging="360"/>
      </w:pPr>
    </w:lvl>
    <w:lvl w:ilvl="8" w:tplc="CEB69682" w:tentative="1">
      <w:start w:val="1"/>
      <w:numFmt w:val="lowerRoman"/>
      <w:lvlText w:val="%9."/>
      <w:lvlJc w:val="right"/>
      <w:pPr>
        <w:tabs>
          <w:tab w:val="num" w:pos="6480"/>
        </w:tabs>
        <w:ind w:left="6480" w:hanging="180"/>
      </w:pPr>
    </w:lvl>
  </w:abstractNum>
  <w:abstractNum w:abstractNumId="13">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C0D41"/>
    <w:multiLevelType w:val="multilevel"/>
    <w:tmpl w:val="3CA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12D8C"/>
    <w:multiLevelType w:val="hybridMultilevel"/>
    <w:tmpl w:val="F68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9">
    <w:nsid w:val="73F43343"/>
    <w:multiLevelType w:val="hybridMultilevel"/>
    <w:tmpl w:val="8B082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505087F"/>
    <w:multiLevelType w:val="hybridMultilevel"/>
    <w:tmpl w:val="A71C790C"/>
    <w:lvl w:ilvl="0" w:tplc="A7C0DB8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978C5C7C" w:tentative="1">
      <w:start w:val="1"/>
      <w:numFmt w:val="lowerLetter"/>
      <w:lvlText w:val="%2."/>
      <w:lvlJc w:val="left"/>
      <w:pPr>
        <w:tabs>
          <w:tab w:val="num" w:pos="1440"/>
        </w:tabs>
        <w:ind w:left="1440" w:hanging="360"/>
      </w:pPr>
    </w:lvl>
    <w:lvl w:ilvl="2" w:tplc="940AE828" w:tentative="1">
      <w:start w:val="1"/>
      <w:numFmt w:val="lowerRoman"/>
      <w:lvlText w:val="%3."/>
      <w:lvlJc w:val="right"/>
      <w:pPr>
        <w:tabs>
          <w:tab w:val="num" w:pos="2160"/>
        </w:tabs>
        <w:ind w:left="2160" w:hanging="180"/>
      </w:pPr>
    </w:lvl>
    <w:lvl w:ilvl="3" w:tplc="E9865EAA" w:tentative="1">
      <w:start w:val="1"/>
      <w:numFmt w:val="decimal"/>
      <w:lvlText w:val="%4."/>
      <w:lvlJc w:val="left"/>
      <w:pPr>
        <w:tabs>
          <w:tab w:val="num" w:pos="2880"/>
        </w:tabs>
        <w:ind w:left="2880" w:hanging="360"/>
      </w:pPr>
    </w:lvl>
    <w:lvl w:ilvl="4" w:tplc="3B2EB2A6" w:tentative="1">
      <w:start w:val="1"/>
      <w:numFmt w:val="lowerLetter"/>
      <w:lvlText w:val="%5."/>
      <w:lvlJc w:val="left"/>
      <w:pPr>
        <w:tabs>
          <w:tab w:val="num" w:pos="3600"/>
        </w:tabs>
        <w:ind w:left="3600" w:hanging="360"/>
      </w:pPr>
    </w:lvl>
    <w:lvl w:ilvl="5" w:tplc="0DF6F030" w:tentative="1">
      <w:start w:val="1"/>
      <w:numFmt w:val="lowerRoman"/>
      <w:lvlText w:val="%6."/>
      <w:lvlJc w:val="right"/>
      <w:pPr>
        <w:tabs>
          <w:tab w:val="num" w:pos="4320"/>
        </w:tabs>
        <w:ind w:left="4320" w:hanging="180"/>
      </w:pPr>
    </w:lvl>
    <w:lvl w:ilvl="6" w:tplc="FF642DBC" w:tentative="1">
      <w:start w:val="1"/>
      <w:numFmt w:val="decimal"/>
      <w:lvlText w:val="%7."/>
      <w:lvlJc w:val="left"/>
      <w:pPr>
        <w:tabs>
          <w:tab w:val="num" w:pos="5040"/>
        </w:tabs>
        <w:ind w:left="5040" w:hanging="360"/>
      </w:pPr>
    </w:lvl>
    <w:lvl w:ilvl="7" w:tplc="CC58D324" w:tentative="1">
      <w:start w:val="1"/>
      <w:numFmt w:val="lowerLetter"/>
      <w:lvlText w:val="%8."/>
      <w:lvlJc w:val="left"/>
      <w:pPr>
        <w:tabs>
          <w:tab w:val="num" w:pos="5760"/>
        </w:tabs>
        <w:ind w:left="5760" w:hanging="360"/>
      </w:pPr>
    </w:lvl>
    <w:lvl w:ilvl="8" w:tplc="AA24CFEC"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2"/>
  </w:num>
  <w:num w:numId="4">
    <w:abstractNumId w:val="20"/>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9"/>
  </w:num>
  <w:num w:numId="19">
    <w:abstractNumId w:val="12"/>
  </w:num>
  <w:num w:numId="20">
    <w:abstractNumId w:val="11"/>
  </w:num>
  <w:num w:numId="21">
    <w:abstractNumId w:val="20"/>
  </w:num>
  <w:num w:numId="22">
    <w:abstractNumId w:val="9"/>
  </w:num>
  <w:num w:numId="23">
    <w:abstractNumId w:val="12"/>
  </w:num>
  <w:num w:numId="24">
    <w:abstractNumId w:val="11"/>
  </w:num>
  <w:num w:numId="25">
    <w:abstractNumId w:val="20"/>
  </w:num>
  <w:num w:numId="26">
    <w:abstractNumId w:val="18"/>
  </w:num>
  <w:num w:numId="27">
    <w:abstractNumId w:val="20"/>
  </w:num>
  <w:num w:numId="28">
    <w:abstractNumId w:val="18"/>
  </w:num>
  <w:num w:numId="29">
    <w:abstractNumId w:val="17"/>
  </w:num>
  <w:num w:numId="30">
    <w:abstractNumId w:val="19"/>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9">
      <o:colormru v:ext="edit" colors="#3d0073"/>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4A09"/>
    <w:rsid w:val="000033C3"/>
    <w:rsid w:val="00034113"/>
    <w:rsid w:val="00044823"/>
    <w:rsid w:val="000608A0"/>
    <w:rsid w:val="00064CA4"/>
    <w:rsid w:val="0007266A"/>
    <w:rsid w:val="00077C4A"/>
    <w:rsid w:val="000A49A2"/>
    <w:rsid w:val="000A5291"/>
    <w:rsid w:val="000B3AF6"/>
    <w:rsid w:val="000B518D"/>
    <w:rsid w:val="000C743C"/>
    <w:rsid w:val="000D0302"/>
    <w:rsid w:val="0010773F"/>
    <w:rsid w:val="00116706"/>
    <w:rsid w:val="00135034"/>
    <w:rsid w:val="0013761A"/>
    <w:rsid w:val="0016079E"/>
    <w:rsid w:val="00186096"/>
    <w:rsid w:val="001931C3"/>
    <w:rsid w:val="00197708"/>
    <w:rsid w:val="001D7346"/>
    <w:rsid w:val="001E10B3"/>
    <w:rsid w:val="001E72EA"/>
    <w:rsid w:val="001F4C32"/>
    <w:rsid w:val="001F69A7"/>
    <w:rsid w:val="00216382"/>
    <w:rsid w:val="00295F33"/>
    <w:rsid w:val="002A49A7"/>
    <w:rsid w:val="002E5063"/>
    <w:rsid w:val="002F42E2"/>
    <w:rsid w:val="003018EB"/>
    <w:rsid w:val="00323DC9"/>
    <w:rsid w:val="003401DD"/>
    <w:rsid w:val="0034060B"/>
    <w:rsid w:val="00344C15"/>
    <w:rsid w:val="003730FB"/>
    <w:rsid w:val="00385D6D"/>
    <w:rsid w:val="003C4D34"/>
    <w:rsid w:val="003F111F"/>
    <w:rsid w:val="00411BC0"/>
    <w:rsid w:val="00412813"/>
    <w:rsid w:val="00414D87"/>
    <w:rsid w:val="0041530E"/>
    <w:rsid w:val="00420E90"/>
    <w:rsid w:val="00437891"/>
    <w:rsid w:val="00457A3D"/>
    <w:rsid w:val="00473618"/>
    <w:rsid w:val="004875C5"/>
    <w:rsid w:val="004B4073"/>
    <w:rsid w:val="004C6E04"/>
    <w:rsid w:val="004E2772"/>
    <w:rsid w:val="00515F0E"/>
    <w:rsid w:val="0053139E"/>
    <w:rsid w:val="00586577"/>
    <w:rsid w:val="005875D4"/>
    <w:rsid w:val="00591020"/>
    <w:rsid w:val="00591DF5"/>
    <w:rsid w:val="00596604"/>
    <w:rsid w:val="005B0FA8"/>
    <w:rsid w:val="005B273A"/>
    <w:rsid w:val="005D1E56"/>
    <w:rsid w:val="005D2C05"/>
    <w:rsid w:val="005D76FA"/>
    <w:rsid w:val="005D7710"/>
    <w:rsid w:val="005F17E5"/>
    <w:rsid w:val="00606291"/>
    <w:rsid w:val="0066767E"/>
    <w:rsid w:val="006C27B4"/>
    <w:rsid w:val="006E5E6A"/>
    <w:rsid w:val="006E743E"/>
    <w:rsid w:val="007029F5"/>
    <w:rsid w:val="00705FE7"/>
    <w:rsid w:val="0071008F"/>
    <w:rsid w:val="00716479"/>
    <w:rsid w:val="007372B0"/>
    <w:rsid w:val="00756867"/>
    <w:rsid w:val="00761FB9"/>
    <w:rsid w:val="00773B25"/>
    <w:rsid w:val="007926E8"/>
    <w:rsid w:val="007B445B"/>
    <w:rsid w:val="007C50D5"/>
    <w:rsid w:val="007D2C52"/>
    <w:rsid w:val="007D75C8"/>
    <w:rsid w:val="007E0DF1"/>
    <w:rsid w:val="007F2293"/>
    <w:rsid w:val="0083636E"/>
    <w:rsid w:val="00851A82"/>
    <w:rsid w:val="00852B9C"/>
    <w:rsid w:val="00855246"/>
    <w:rsid w:val="0086223D"/>
    <w:rsid w:val="008868CE"/>
    <w:rsid w:val="008B6281"/>
    <w:rsid w:val="008D3484"/>
    <w:rsid w:val="008D3859"/>
    <w:rsid w:val="009218E3"/>
    <w:rsid w:val="00922102"/>
    <w:rsid w:val="00942068"/>
    <w:rsid w:val="009951CA"/>
    <w:rsid w:val="009B55BF"/>
    <w:rsid w:val="009D70AA"/>
    <w:rsid w:val="009E7885"/>
    <w:rsid w:val="009F1714"/>
    <w:rsid w:val="00A336D2"/>
    <w:rsid w:val="00A564B3"/>
    <w:rsid w:val="00A570F5"/>
    <w:rsid w:val="00A847F2"/>
    <w:rsid w:val="00A84BE8"/>
    <w:rsid w:val="00A92DC5"/>
    <w:rsid w:val="00A972E7"/>
    <w:rsid w:val="00AA1433"/>
    <w:rsid w:val="00AC22BD"/>
    <w:rsid w:val="00AD1FF9"/>
    <w:rsid w:val="00AE51D8"/>
    <w:rsid w:val="00AE5C54"/>
    <w:rsid w:val="00AF3663"/>
    <w:rsid w:val="00AF51DB"/>
    <w:rsid w:val="00B0395A"/>
    <w:rsid w:val="00B0621B"/>
    <w:rsid w:val="00B1324E"/>
    <w:rsid w:val="00B13C45"/>
    <w:rsid w:val="00B2016E"/>
    <w:rsid w:val="00B50BAA"/>
    <w:rsid w:val="00B806E9"/>
    <w:rsid w:val="00BB1501"/>
    <w:rsid w:val="00BE2C51"/>
    <w:rsid w:val="00C11AD7"/>
    <w:rsid w:val="00C322A8"/>
    <w:rsid w:val="00C33797"/>
    <w:rsid w:val="00C51FAC"/>
    <w:rsid w:val="00C56C37"/>
    <w:rsid w:val="00C76B32"/>
    <w:rsid w:val="00CA5DA6"/>
    <w:rsid w:val="00CB0FF8"/>
    <w:rsid w:val="00CC71FA"/>
    <w:rsid w:val="00CD70EF"/>
    <w:rsid w:val="00D2756B"/>
    <w:rsid w:val="00D31D33"/>
    <w:rsid w:val="00D44913"/>
    <w:rsid w:val="00D87F24"/>
    <w:rsid w:val="00D91E2D"/>
    <w:rsid w:val="00DA484B"/>
    <w:rsid w:val="00DB161E"/>
    <w:rsid w:val="00DB3D56"/>
    <w:rsid w:val="00DB7A2D"/>
    <w:rsid w:val="00DE7965"/>
    <w:rsid w:val="00DF3368"/>
    <w:rsid w:val="00E02710"/>
    <w:rsid w:val="00E24DC9"/>
    <w:rsid w:val="00E353CA"/>
    <w:rsid w:val="00E54DE4"/>
    <w:rsid w:val="00E85CD3"/>
    <w:rsid w:val="00EB5650"/>
    <w:rsid w:val="00EC46BD"/>
    <w:rsid w:val="00ED4A09"/>
    <w:rsid w:val="00EF21AF"/>
    <w:rsid w:val="00F036EF"/>
    <w:rsid w:val="00F04078"/>
    <w:rsid w:val="00F058BE"/>
    <w:rsid w:val="00F23070"/>
    <w:rsid w:val="00F32765"/>
    <w:rsid w:val="00F34C73"/>
    <w:rsid w:val="00F612F3"/>
    <w:rsid w:val="00F74D60"/>
    <w:rsid w:val="00F8355C"/>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d00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56"/>
    <w:rPr>
      <w:sz w:val="24"/>
      <w:szCs w:val="24"/>
    </w:rPr>
  </w:style>
  <w:style w:type="paragraph" w:styleId="Heading1">
    <w:name w:val="heading 1"/>
    <w:basedOn w:val="Normal"/>
    <w:next w:val="BodyText"/>
    <w:qFormat/>
    <w:pPr>
      <w:keepNext/>
      <w:keepLines/>
      <w:spacing w:before="240" w:after="240" w:line="320" w:lineRule="exact"/>
      <w:outlineLvl w:val="0"/>
    </w:pPr>
    <w:rPr>
      <w:rFonts w:ascii="Verdana" w:hAnsi="Verdana"/>
      <w:kern w:val="20"/>
      <w:sz w:val="32"/>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link w:val="FooterChar"/>
    <w:uiPriority w:val="99"/>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BodyTextIndent">
    <w:name w:val="Body Text Indent"/>
    <w:basedOn w:val="Normal"/>
    <w:rsid w:val="005D1E56"/>
    <w:pPr>
      <w:overflowPunct w:val="0"/>
      <w:adjustRightInd w:val="0"/>
      <w:spacing w:before="100" w:beforeAutospacing="1" w:after="100" w:afterAutospacing="1"/>
      <w:ind w:firstLine="420"/>
    </w:pPr>
  </w:style>
  <w:style w:type="paragraph" w:customStyle="1" w:styleId="WSIndent-Just-5Indnt">
    <w:name w:val="WS Indent-Just-.5&quot; Indnt"/>
    <w:aliases w:val="I1"/>
    <w:basedOn w:val="Normal"/>
    <w:rsid w:val="00A92DC5"/>
    <w:pPr>
      <w:spacing w:after="240"/>
      <w:ind w:left="720"/>
      <w:jc w:val="both"/>
    </w:pPr>
    <w:rPr>
      <w:szCs w:val="20"/>
    </w:rPr>
  </w:style>
  <w:style w:type="paragraph" w:styleId="NormalWeb">
    <w:name w:val="Normal (Web)"/>
    <w:basedOn w:val="Normal"/>
    <w:uiPriority w:val="99"/>
    <w:unhideWhenUsed/>
    <w:rsid w:val="00A92DC5"/>
    <w:pPr>
      <w:spacing w:before="100" w:beforeAutospacing="1" w:after="100" w:afterAutospacing="1"/>
    </w:pPr>
    <w:rPr>
      <w:lang w:eastAsia="ko-KR"/>
    </w:rPr>
  </w:style>
  <w:style w:type="paragraph" w:styleId="BodyText3">
    <w:name w:val="Body Text 3"/>
    <w:basedOn w:val="Normal"/>
    <w:link w:val="BodyText3Char"/>
    <w:rsid w:val="007372B0"/>
    <w:pPr>
      <w:spacing w:after="120"/>
    </w:pPr>
    <w:rPr>
      <w:sz w:val="16"/>
      <w:szCs w:val="16"/>
    </w:rPr>
  </w:style>
  <w:style w:type="character" w:customStyle="1" w:styleId="BodyText3Char">
    <w:name w:val="Body Text 3 Char"/>
    <w:link w:val="BodyText3"/>
    <w:rsid w:val="007372B0"/>
    <w:rPr>
      <w:sz w:val="16"/>
      <w:szCs w:val="16"/>
    </w:rPr>
  </w:style>
  <w:style w:type="paragraph" w:customStyle="1" w:styleId="WSBodyStand-Just-11stLnIndnt">
    <w:name w:val="WS _Body Stand-Just-1&quot; 1st Ln Indnt"/>
    <w:aliases w:val="B1"/>
    <w:basedOn w:val="Normal"/>
    <w:rsid w:val="007372B0"/>
    <w:pPr>
      <w:spacing w:after="240"/>
      <w:jc w:val="both"/>
    </w:pPr>
    <w:rPr>
      <w:szCs w:val="20"/>
    </w:rPr>
  </w:style>
  <w:style w:type="paragraph" w:styleId="FootnoteText">
    <w:name w:val="footnote text"/>
    <w:basedOn w:val="Normal"/>
    <w:link w:val="FootnoteTextChar"/>
    <w:uiPriority w:val="99"/>
    <w:unhideWhenUsed/>
    <w:rsid w:val="007372B0"/>
    <w:rPr>
      <w:sz w:val="20"/>
      <w:szCs w:val="20"/>
    </w:rPr>
  </w:style>
  <w:style w:type="character" w:customStyle="1" w:styleId="FootnoteTextChar">
    <w:name w:val="Footnote Text Char"/>
    <w:basedOn w:val="DefaultParagraphFont"/>
    <w:link w:val="FootnoteText"/>
    <w:uiPriority w:val="99"/>
    <w:rsid w:val="007372B0"/>
  </w:style>
  <w:style w:type="character" w:styleId="FootnoteReference">
    <w:name w:val="footnote reference"/>
    <w:uiPriority w:val="99"/>
    <w:unhideWhenUsed/>
    <w:rsid w:val="007372B0"/>
    <w:rPr>
      <w:vertAlign w:val="superscript"/>
    </w:rPr>
  </w:style>
  <w:style w:type="character" w:customStyle="1" w:styleId="FooterChar">
    <w:name w:val="Footer Char"/>
    <w:link w:val="Footer"/>
    <w:uiPriority w:val="99"/>
    <w:rsid w:val="007B445B"/>
    <w:rPr>
      <w:sz w:val="24"/>
      <w:szCs w:val="24"/>
    </w:rPr>
  </w:style>
  <w:style w:type="paragraph" w:styleId="BalloonText">
    <w:name w:val="Balloon Text"/>
    <w:basedOn w:val="Normal"/>
    <w:link w:val="BalloonTextChar"/>
    <w:rsid w:val="000C743C"/>
    <w:rPr>
      <w:rFonts w:ascii="Tahoma" w:hAnsi="Tahoma" w:cs="Tahoma"/>
      <w:sz w:val="16"/>
      <w:szCs w:val="16"/>
    </w:rPr>
  </w:style>
  <w:style w:type="character" w:customStyle="1" w:styleId="BalloonTextChar">
    <w:name w:val="Balloon Text Char"/>
    <w:basedOn w:val="DefaultParagraphFont"/>
    <w:link w:val="BalloonText"/>
    <w:rsid w:val="000C743C"/>
    <w:rPr>
      <w:rFonts w:ascii="Tahoma" w:hAnsi="Tahoma" w:cs="Tahoma"/>
      <w:sz w:val="16"/>
      <w:szCs w:val="16"/>
    </w:rPr>
  </w:style>
  <w:style w:type="character" w:styleId="CommentReference">
    <w:name w:val="annotation reference"/>
    <w:basedOn w:val="DefaultParagraphFont"/>
    <w:rsid w:val="00C56C37"/>
    <w:rPr>
      <w:sz w:val="16"/>
      <w:szCs w:val="16"/>
    </w:rPr>
  </w:style>
  <w:style w:type="paragraph" w:styleId="CommentText">
    <w:name w:val="annotation text"/>
    <w:basedOn w:val="Normal"/>
    <w:link w:val="CommentTextChar"/>
    <w:rsid w:val="00C56C37"/>
    <w:rPr>
      <w:sz w:val="20"/>
      <w:szCs w:val="20"/>
    </w:rPr>
  </w:style>
  <w:style w:type="character" w:customStyle="1" w:styleId="CommentTextChar">
    <w:name w:val="Comment Text Char"/>
    <w:basedOn w:val="DefaultParagraphFont"/>
    <w:link w:val="CommentText"/>
    <w:rsid w:val="00C56C37"/>
  </w:style>
  <w:style w:type="paragraph" w:styleId="CommentSubject">
    <w:name w:val="annotation subject"/>
    <w:basedOn w:val="CommentText"/>
    <w:next w:val="CommentText"/>
    <w:link w:val="CommentSubjectChar"/>
    <w:rsid w:val="00C56C37"/>
    <w:rPr>
      <w:b/>
      <w:bCs/>
    </w:rPr>
  </w:style>
  <w:style w:type="character" w:customStyle="1" w:styleId="CommentSubjectChar">
    <w:name w:val="Comment Subject Char"/>
    <w:basedOn w:val="CommentTextChar"/>
    <w:link w:val="CommentSubject"/>
    <w:rsid w:val="00C56C37"/>
    <w:rPr>
      <w:b/>
      <w:bCs/>
    </w:rPr>
  </w:style>
  <w:style w:type="paragraph" w:styleId="NoSpacing">
    <w:name w:val="No Spacing"/>
    <w:uiPriority w:val="1"/>
    <w:qFormat/>
    <w:rsid w:val="0060629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56"/>
    <w:rPr>
      <w:sz w:val="24"/>
      <w:szCs w:val="24"/>
    </w:rPr>
  </w:style>
  <w:style w:type="paragraph" w:styleId="Heading1">
    <w:name w:val="heading 1"/>
    <w:basedOn w:val="Normal"/>
    <w:next w:val="BodyText"/>
    <w:qFormat/>
    <w:pPr>
      <w:keepNext/>
      <w:keepLines/>
      <w:spacing w:before="240" w:after="240" w:line="320" w:lineRule="exact"/>
      <w:outlineLvl w:val="0"/>
    </w:pPr>
    <w:rPr>
      <w:rFonts w:ascii="Verdana" w:hAnsi="Verdana"/>
      <w:kern w:val="20"/>
      <w:sz w:val="32"/>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link w:val="FooterChar"/>
    <w:uiPriority w:val="99"/>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BodyTextIndent">
    <w:name w:val="Body Text Indent"/>
    <w:basedOn w:val="Normal"/>
    <w:rsid w:val="005D1E56"/>
    <w:pPr>
      <w:overflowPunct w:val="0"/>
      <w:adjustRightInd w:val="0"/>
      <w:spacing w:before="100" w:beforeAutospacing="1" w:after="100" w:afterAutospacing="1"/>
      <w:ind w:firstLine="420"/>
    </w:pPr>
  </w:style>
  <w:style w:type="paragraph" w:customStyle="1" w:styleId="WSIndent-Just-5Indnt">
    <w:name w:val="WS Indent-Just-.5&quot; Indnt"/>
    <w:aliases w:val="I1"/>
    <w:basedOn w:val="Normal"/>
    <w:rsid w:val="00A92DC5"/>
    <w:pPr>
      <w:spacing w:after="240"/>
      <w:ind w:left="720"/>
      <w:jc w:val="both"/>
    </w:pPr>
    <w:rPr>
      <w:szCs w:val="20"/>
    </w:rPr>
  </w:style>
  <w:style w:type="paragraph" w:styleId="NormalWeb">
    <w:name w:val="Normal (Web)"/>
    <w:basedOn w:val="Normal"/>
    <w:uiPriority w:val="99"/>
    <w:unhideWhenUsed/>
    <w:rsid w:val="00A92DC5"/>
    <w:pPr>
      <w:spacing w:before="100" w:beforeAutospacing="1" w:after="100" w:afterAutospacing="1"/>
    </w:pPr>
    <w:rPr>
      <w:lang w:eastAsia="ko-KR"/>
    </w:rPr>
  </w:style>
  <w:style w:type="paragraph" w:styleId="BodyText3">
    <w:name w:val="Body Text 3"/>
    <w:basedOn w:val="Normal"/>
    <w:link w:val="BodyText3Char"/>
    <w:rsid w:val="007372B0"/>
    <w:pPr>
      <w:spacing w:after="120"/>
    </w:pPr>
    <w:rPr>
      <w:sz w:val="16"/>
      <w:szCs w:val="16"/>
    </w:rPr>
  </w:style>
  <w:style w:type="character" w:customStyle="1" w:styleId="BodyText3Char">
    <w:name w:val="Body Text 3 Char"/>
    <w:link w:val="BodyText3"/>
    <w:rsid w:val="007372B0"/>
    <w:rPr>
      <w:sz w:val="16"/>
      <w:szCs w:val="16"/>
    </w:rPr>
  </w:style>
  <w:style w:type="paragraph" w:customStyle="1" w:styleId="WSBodyStand-Just-11stLnIndnt">
    <w:name w:val="WS _Body Stand-Just-1&quot; 1st Ln Indnt"/>
    <w:aliases w:val="B1"/>
    <w:basedOn w:val="Normal"/>
    <w:rsid w:val="007372B0"/>
    <w:pPr>
      <w:spacing w:after="240"/>
      <w:jc w:val="both"/>
    </w:pPr>
    <w:rPr>
      <w:szCs w:val="20"/>
    </w:rPr>
  </w:style>
  <w:style w:type="paragraph" w:styleId="FootnoteText">
    <w:name w:val="footnote text"/>
    <w:basedOn w:val="Normal"/>
    <w:link w:val="FootnoteTextChar"/>
    <w:uiPriority w:val="99"/>
    <w:unhideWhenUsed/>
    <w:rsid w:val="007372B0"/>
    <w:rPr>
      <w:sz w:val="20"/>
      <w:szCs w:val="20"/>
    </w:rPr>
  </w:style>
  <w:style w:type="character" w:customStyle="1" w:styleId="FootnoteTextChar">
    <w:name w:val="Footnote Text Char"/>
    <w:basedOn w:val="DefaultParagraphFont"/>
    <w:link w:val="FootnoteText"/>
    <w:uiPriority w:val="99"/>
    <w:rsid w:val="007372B0"/>
  </w:style>
  <w:style w:type="character" w:styleId="FootnoteReference">
    <w:name w:val="footnote reference"/>
    <w:uiPriority w:val="99"/>
    <w:unhideWhenUsed/>
    <w:rsid w:val="007372B0"/>
    <w:rPr>
      <w:vertAlign w:val="superscript"/>
    </w:rPr>
  </w:style>
  <w:style w:type="character" w:customStyle="1" w:styleId="FooterChar">
    <w:name w:val="Footer Char"/>
    <w:link w:val="Footer"/>
    <w:uiPriority w:val="99"/>
    <w:rsid w:val="007B445B"/>
    <w:rPr>
      <w:sz w:val="24"/>
      <w:szCs w:val="24"/>
    </w:rPr>
  </w:style>
  <w:style w:type="paragraph" w:styleId="BalloonText">
    <w:name w:val="Balloon Text"/>
    <w:basedOn w:val="Normal"/>
    <w:link w:val="BalloonTextChar"/>
    <w:rsid w:val="000C743C"/>
    <w:rPr>
      <w:rFonts w:ascii="Tahoma" w:hAnsi="Tahoma" w:cs="Tahoma"/>
      <w:sz w:val="16"/>
      <w:szCs w:val="16"/>
    </w:rPr>
  </w:style>
  <w:style w:type="character" w:customStyle="1" w:styleId="BalloonTextChar">
    <w:name w:val="Balloon Text Char"/>
    <w:basedOn w:val="DefaultParagraphFont"/>
    <w:link w:val="BalloonText"/>
    <w:rsid w:val="000C743C"/>
    <w:rPr>
      <w:rFonts w:ascii="Tahoma" w:hAnsi="Tahoma" w:cs="Tahoma"/>
      <w:sz w:val="16"/>
      <w:szCs w:val="16"/>
    </w:rPr>
  </w:style>
  <w:style w:type="character" w:styleId="CommentReference">
    <w:name w:val="annotation reference"/>
    <w:basedOn w:val="DefaultParagraphFont"/>
    <w:rsid w:val="00C56C37"/>
    <w:rPr>
      <w:sz w:val="16"/>
      <w:szCs w:val="16"/>
    </w:rPr>
  </w:style>
  <w:style w:type="paragraph" w:styleId="CommentText">
    <w:name w:val="annotation text"/>
    <w:basedOn w:val="Normal"/>
    <w:link w:val="CommentTextChar"/>
    <w:rsid w:val="00C56C37"/>
    <w:rPr>
      <w:sz w:val="20"/>
      <w:szCs w:val="20"/>
    </w:rPr>
  </w:style>
  <w:style w:type="character" w:customStyle="1" w:styleId="CommentTextChar">
    <w:name w:val="Comment Text Char"/>
    <w:basedOn w:val="DefaultParagraphFont"/>
    <w:link w:val="CommentText"/>
    <w:rsid w:val="00C56C37"/>
  </w:style>
  <w:style w:type="paragraph" w:styleId="CommentSubject">
    <w:name w:val="annotation subject"/>
    <w:basedOn w:val="CommentText"/>
    <w:next w:val="CommentText"/>
    <w:link w:val="CommentSubjectChar"/>
    <w:rsid w:val="00C56C37"/>
    <w:rPr>
      <w:b/>
      <w:bCs/>
    </w:rPr>
  </w:style>
  <w:style w:type="character" w:customStyle="1" w:styleId="CommentSubjectChar">
    <w:name w:val="Comment Subject Char"/>
    <w:basedOn w:val="CommentTextChar"/>
    <w:link w:val="CommentSubject"/>
    <w:rsid w:val="00C56C37"/>
    <w:rPr>
      <w:b/>
      <w:bCs/>
    </w:rPr>
  </w:style>
  <w:style w:type="paragraph" w:styleId="NoSpacing">
    <w:name w:val="No Spacing"/>
    <w:uiPriority w:val="1"/>
    <w:qFormat/>
    <w:rsid w:val="006062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cid:image001.png@01D10C19.E39D2F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nasdaqomxintranet.com/digitalAssets/21/21827_nasdaq_logo_09.30.1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8ddc925-75d6-4761-96b6-1b97e4890734" ContentTypeId="0x01010045B0BEB1BCDC4B408D1662109AEB463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915a7c1f-67b8-4b64-89f2-62ebd6cb2981</DocGuid>
    <Published xmlns="4b47aac5-4c46-444f-8595-ce09b406fc61">false</Published>
    <Document_x0020_Type xmlns="4b47aac5-4c46-444f-8595-ce09b406fc61">Confidential Treatment</Document_x0020_Type>
    <Amendment_x0020_No xmlns="4b47aac5-4c46-444f-8595-ce09b406fc61">0</Amendment_x0020_No>
    <Publication_x0020_Url xmlns="4b47aac5-4c46-444f-8595-ce09b406fc61">
      <Url xsi:nil="true"/>
      <Description xsi:nil="true"/>
    </Publication_x0020_Url>
    <Document_x0020_Date xmlns="4b47aac5-4c46-444f-8595-ce09b406fc61">2016-01-22T19:32:53+00:00</Document_x0020_Date>
    <Document_x0020_No xmlns="4b47aac5-4c46-444f-8595-ce09b406fc61">22157</Document_x0020_No>
  </documentManagement>
</p:properties>
</file>

<file path=customXml/itemProps1.xml><?xml version="1.0" encoding="utf-8"?>
<ds:datastoreItem xmlns:ds="http://schemas.openxmlformats.org/officeDocument/2006/customXml" ds:itemID="{7A566574-08D2-4FB7-BF96-FE7F6C8516A2}"/>
</file>

<file path=customXml/itemProps2.xml><?xml version="1.0" encoding="utf-8"?>
<ds:datastoreItem xmlns:ds="http://schemas.openxmlformats.org/officeDocument/2006/customXml" ds:itemID="{CBFA0A40-7EB4-4778-A621-E62746CF8302}"/>
</file>

<file path=customXml/itemProps3.xml><?xml version="1.0" encoding="utf-8"?>
<ds:datastoreItem xmlns:ds="http://schemas.openxmlformats.org/officeDocument/2006/customXml" ds:itemID="{FB1210C1-5A8B-4ED1-82B6-894FC191A0A7}"/>
</file>

<file path=customXml/itemProps4.xml><?xml version="1.0" encoding="utf-8"?>
<ds:datastoreItem xmlns:ds="http://schemas.openxmlformats.org/officeDocument/2006/customXml" ds:itemID="{94C88058-A88D-4B91-A965-BB8081CA0781}"/>
</file>

<file path=customXml/itemProps5.xml><?xml version="1.0" encoding="utf-8"?>
<ds:datastoreItem xmlns:ds="http://schemas.openxmlformats.org/officeDocument/2006/customXml" ds:itemID="{A5B66354-4A28-4DC2-8BB1-329978CB4107}"/>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FOIA Justification Letter</dc:title>
  <dc:creator/>
  <cp:lastModifiedBy/>
  <cp:revision>1</cp:revision>
  <dcterms:created xsi:type="dcterms:W3CDTF">2016-01-22T16:40:00Z</dcterms:created>
  <dcterms:modified xsi:type="dcterms:W3CDTF">2016-01-22T16:46:00Z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gFAA5ajW4yTOEjsCF4AyI1xiqt8ke/0n4Gc5sn6Ml9QOis2/Sf/UrrKp1oNGAGpXHwUv4CTGKBix2/iS</vt:lpwstr>
  </property>
  <property fmtid="{D5CDD505-2E9C-101B-9397-08002B2CF9AE}" pid="3" name="MAIL_MSG_ID2">
    <vt:lpwstr>eSvgdPejZttqI9GRXXTN8H7Qu/OI22plm2Uk7CBgEEpWf+gAG7wUxPC6bbE</vt:lpwstr>
  </property>
  <property fmtid="{D5CDD505-2E9C-101B-9397-08002B2CF9AE}" pid="4" name="RESPONSE_SENDER_NAME">
    <vt:lpwstr>sAAA2RgG6J6jCJ2b8H++FzT2eg/+uhAlWlpYlZgW7fPSGsw=</vt:lpwstr>
  </property>
  <property fmtid="{D5CDD505-2E9C-101B-9397-08002B2CF9AE}" pid="5" name="EMAIL_OWNER_ADDRESS">
    <vt:lpwstr>sAAAE9kkUq3pEoI30FPlz5Ri5m8zqd5VPm9fKy27yY+ZyFY=</vt:lpwstr>
  </property>
  <property fmtid="{D5CDD505-2E9C-101B-9397-08002B2CF9AE}" pid="6" name="WS_TRACKING_ID">
    <vt:lpwstr>3d150ea1-b965-489e-8095-325f77f3058e</vt:lpwstr>
  </property>
  <property fmtid="{D5CDD505-2E9C-101B-9397-08002B2CF9AE}" pid="7" name="ContentTypeId">
    <vt:lpwstr>0x01010045B0BEB1BCDC4B408D1662109AEB4638006B158B764F294C4D8A41190AEF9B9696</vt:lpwstr>
  </property>
  <property fmtid="{D5CDD505-2E9C-101B-9397-08002B2CF9AE}" pid="8" name="_CopySource">
    <vt:lpwstr>\Cftc.gov</vt:lpwstr>
  </property>
  <property fmtid="{D5CDD505-2E9C-101B-9397-08002B2CF9AE}" pid="9" name="Order">
    <vt:r8>2127600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