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500d1342-e643-4d43-a618-9af2f6e560a3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2016-01-22T19:36:15+00:00</Document_x0020_Date>
    <Document_x0020_No xmlns="4b47aac5-4c46-444f-8595-ce09b406fc61">22159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019D-D95C-4F2E-98EC-CA850134BF3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6F00C18-09F3-4AB5-A9BF-EB020E2844D3}"/>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