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a6e6c6ae-e1c4-49ab-a796-2c220d7fe753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2016-01-22T19:36:15+00:00</Document_x0020_Date>
    <Document_x0020_No xmlns="4b47aac5-4c46-444f-8595-ce09b406fc61">22163</Document_x0020_No>
  </documentManagement>
</p:properties>
</file>

<file path=customXml/itemProps1.xml><?xml version="1.0" encoding="utf-8"?>
<ds:datastoreItem xmlns:ds="http://schemas.openxmlformats.org/officeDocument/2006/customXml" ds:itemID="{1698653A-105B-4463-B22C-00558177A2C2}"/>
</file>

<file path=customXml/itemProps2.xml><?xml version="1.0" encoding="utf-8"?>
<ds:datastoreItem xmlns:ds="http://schemas.openxmlformats.org/officeDocument/2006/customXml" ds:itemID="{398A55FE-105F-4A3F-A3F7-845ABC8ECCCE}"/>
</file>

<file path=customXml/itemProps3.xml><?xml version="1.0" encoding="utf-8"?>
<ds:datastoreItem xmlns:ds="http://schemas.openxmlformats.org/officeDocument/2006/customXml" ds:itemID="{4314C867-9898-4888-A0FD-5E1AC6FD38A2}"/>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BE6B9880-C39C-4167-8187-24BFA9F3943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2128500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