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03127"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w:t>
      </w:r>
      <w:r w:rsidR="00E36D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63601">
        <w:rPr>
          <w:rFonts w:ascii="Times New Roman" w:eastAsia="Times New Roman" w:hAnsi="Times New Roman" w:cs="Times New Roman"/>
          <w:b/>
          <w:bCs/>
          <w:sz w:val="24"/>
          <w:szCs w:val="24"/>
        </w:rPr>
        <w:t xml:space="preserve">Fifteen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C03127">
        <w:rPr>
          <w:rFonts w:ascii="Times New Roman" w:eastAsia="Calibri" w:hAnsi="Times New Roman" w:cs="Times New Roman"/>
          <w:b/>
          <w:sz w:val="24"/>
          <w:szCs w:val="24"/>
          <w:u w:val="single"/>
        </w:rPr>
        <w:t>07</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E0359">
        <w:rPr>
          <w:rFonts w:ascii="Times New Roman" w:eastAsia="Calibri" w:hAnsi="Times New Roman" w:cs="Times New Roman"/>
          <w:sz w:val="24"/>
          <w:szCs w:val="24"/>
        </w:rPr>
        <w:t xml:space="preserve">fifteen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February</w:t>
      </w:r>
      <w:r w:rsidR="00C03127">
        <w:rPr>
          <w:rFonts w:ascii="Times New Roman" w:eastAsia="Calibri" w:hAnsi="Times New Roman" w:cs="Times New Roman"/>
          <w:sz w:val="24"/>
          <w:szCs w:val="24"/>
        </w:rPr>
        <w:t xml:space="preserve"> 8</w:t>
      </w:r>
      <w:r w:rsidR="00352533">
        <w:rPr>
          <w:rFonts w:ascii="Times New Roman" w:eastAsia="Calibri" w:hAnsi="Times New Roman" w:cs="Times New Roman"/>
          <w:sz w:val="24"/>
          <w:szCs w:val="24"/>
        </w:rPr>
        <w:t xml:space="preserve">, 2016, for trade date February </w:t>
      </w:r>
      <w:r w:rsidR="00C03127">
        <w:rPr>
          <w:rFonts w:ascii="Times New Roman" w:eastAsia="Calibri" w:hAnsi="Times New Roman" w:cs="Times New Roman"/>
          <w:sz w:val="24"/>
          <w:szCs w:val="24"/>
        </w:rPr>
        <w:t>9</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63601">
        <w:rPr>
          <w:rFonts w:ascii="Times New Roman" w:eastAsia="Calibri" w:hAnsi="Times New Roman" w:cs="Times New Roman"/>
          <w:sz w:val="24"/>
          <w:szCs w:val="24"/>
        </w:rPr>
        <w:t xml:space="preserve">fifteen </w:t>
      </w:r>
      <w:r w:rsidR="00E74ECF">
        <w:rPr>
          <w:rFonts w:ascii="Times New Roman" w:eastAsia="Calibri" w:hAnsi="Times New Roman" w:cs="Times New Roman"/>
          <w:sz w:val="24"/>
          <w:szCs w:val="24"/>
        </w:rPr>
        <w:t>New Contracts</w:t>
      </w:r>
      <w:r w:rsidR="00E36D1C">
        <w:rPr>
          <w:rFonts w:ascii="Times New Roman" w:eastAsia="Calibri" w:hAnsi="Times New Roman" w:cs="Times New Roman"/>
          <w:sz w:val="24"/>
          <w:szCs w:val="24"/>
        </w:rPr>
        <w:t xml:space="preserve"> are “mini” versions of existing NFX listed power contracts</w:t>
      </w:r>
      <w:r w:rsidR="000D4A76">
        <w:rPr>
          <w:rFonts w:ascii="Times New Roman" w:eastAsia="Calibri" w:hAnsi="Times New Roman" w:cs="Times New Roman"/>
          <w:sz w:val="24"/>
          <w:szCs w:val="24"/>
        </w:rPr>
        <w:t xml:space="preserve">.  Each </w:t>
      </w:r>
      <w:r w:rsidR="00B5273F">
        <w:rPr>
          <w:rFonts w:ascii="Times New Roman" w:eastAsia="Calibri" w:hAnsi="Times New Roman" w:cs="Times New Roman"/>
          <w:sz w:val="24"/>
          <w:szCs w:val="24"/>
        </w:rPr>
        <w:t>New Contract</w:t>
      </w:r>
      <w:r w:rsidR="00471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w:t>
      </w:r>
      <w:r w:rsidR="00B5273F">
        <w:rPr>
          <w:rFonts w:ascii="Times New Roman" w:eastAsia="Calibri" w:hAnsi="Times New Roman" w:cs="Times New Roman"/>
          <w:sz w:val="24"/>
          <w:szCs w:val="24"/>
        </w:rPr>
        <w:t>its</w:t>
      </w:r>
      <w:r>
        <w:rPr>
          <w:rFonts w:ascii="Times New Roman" w:eastAsia="Calibri" w:hAnsi="Times New Roman" w:cs="Times New Roman"/>
          <w:sz w:val="24"/>
          <w:szCs w:val="24"/>
        </w:rPr>
        <w:t xml:space="preserve"> official </w:t>
      </w:r>
      <w:r w:rsidR="00C03127">
        <w:rPr>
          <w:rFonts w:ascii="Times New Roman" w:eastAsia="Calibri" w:hAnsi="Times New Roman" w:cs="Times New Roman"/>
          <w:sz w:val="24"/>
          <w:szCs w:val="24"/>
        </w:rPr>
        <w:t>name below</w:t>
      </w:r>
      <w:r>
        <w:rPr>
          <w:rFonts w:ascii="Times New Roman" w:eastAsia="Calibri" w:hAnsi="Times New Roman" w:cs="Times New Roman"/>
          <w:sz w:val="24"/>
          <w:szCs w:val="24"/>
        </w:rPr>
        <w:t>:</w:t>
      </w:r>
    </w:p>
    <w:p w:rsidR="008225AC" w:rsidRDefault="008225AC" w:rsidP="008225AC">
      <w:pPr>
        <w:pStyle w:val="NoSpacing"/>
        <w:ind w:firstLine="1310"/>
        <w:rPr>
          <w:rFonts w:ascii="Times New Roman" w:eastAsia="Calibri" w:hAnsi="Times New Roman" w:cs="Times New Roman"/>
          <w:sz w:val="24"/>
          <w:szCs w:val="24"/>
        </w:rPr>
      </w:pP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(NPNQ)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(NPPQ)</w:t>
      </w:r>
      <w:r w:rsidRPr="008F34CB">
        <w:t xml:space="preserve"> </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(SPZQ)</w:t>
      </w:r>
    </w:p>
    <w:p w:rsidR="000D4A76"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(SPVQ)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(NMMQ)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(NEMQ)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5 MW (MCHQ)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1 MW (MCGQ)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(MSSQ)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(MSTQ)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lastRenderedPageBreak/>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(PNQQ)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(PNPQ)</w:t>
      </w:r>
    </w:p>
    <w:p w:rsidR="004E0359" w:rsidRPr="008A5035" w:rsidRDefault="004E0359"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PJM Western Hub Real-Time Off-Peak Mini Financial Futures (OPKQ)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(PMJQ)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(PMIQ)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302A, 302B, 304A, 304B, 306A, 306B,</w:t>
      </w:r>
      <w:r w:rsidR="00E36D1C">
        <w:rPr>
          <w:rFonts w:ascii="Times New Roman" w:eastAsia="Calibri" w:hAnsi="Times New Roman" w:cs="Times New Roman"/>
          <w:sz w:val="24"/>
          <w:szCs w:val="24"/>
        </w:rPr>
        <w:t xml:space="preserve"> </w:t>
      </w:r>
      <w:r w:rsidR="00B040FC">
        <w:rPr>
          <w:rFonts w:ascii="Times New Roman" w:eastAsia="Calibri" w:hAnsi="Times New Roman" w:cs="Times New Roman"/>
          <w:sz w:val="24"/>
          <w:szCs w:val="24"/>
        </w:rPr>
        <w:t xml:space="preserve">308A, 308B, 310A, 310B, 312A, 312B, </w:t>
      </w:r>
      <w:r w:rsidR="004E0359">
        <w:rPr>
          <w:rFonts w:ascii="Times New Roman" w:eastAsia="Calibri" w:hAnsi="Times New Roman" w:cs="Times New Roman"/>
          <w:sz w:val="24"/>
          <w:szCs w:val="24"/>
        </w:rPr>
        <w:t xml:space="preserve">315A, </w:t>
      </w:r>
      <w:r w:rsidR="00B040FC">
        <w:rPr>
          <w:rFonts w:ascii="Times New Roman" w:eastAsia="Calibri" w:hAnsi="Times New Roman" w:cs="Times New Roman"/>
          <w:sz w:val="24"/>
          <w:szCs w:val="24"/>
        </w:rPr>
        <w:t>316A and 316B,</w:t>
      </w:r>
      <w:r w:rsidR="00E36D1C">
        <w:rPr>
          <w:rFonts w:ascii="Times New Roman" w:eastAsia="Calibri" w:hAnsi="Times New Roman" w:cs="Times New Roman"/>
          <w:sz w:val="24"/>
          <w:szCs w:val="24"/>
        </w:rPr>
        <w:t xml:space="preserve"> 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4E0359">
        <w:rPr>
          <w:rFonts w:ascii="Times New Roman" w:hAnsi="Times New Roman"/>
          <w:sz w:val="24"/>
          <w:szCs w:val="24"/>
        </w:rPr>
        <w:t xml:space="preserve">eight </w:t>
      </w:r>
      <w:r>
        <w:rPr>
          <w:rFonts w:ascii="Times New Roman" w:hAnsi="Times New Roman"/>
          <w:sz w:val="24"/>
          <w:szCs w:val="24"/>
        </w:rPr>
        <w:t>existing NFX day-ahead</w:t>
      </w:r>
      <w:r w:rsidR="004E0359">
        <w:rPr>
          <w:rFonts w:ascii="Times New Roman" w:hAnsi="Times New Roman"/>
          <w:sz w:val="24"/>
          <w:szCs w:val="24"/>
        </w:rPr>
        <w:t>,</w:t>
      </w:r>
      <w:r>
        <w:rPr>
          <w:rFonts w:ascii="Times New Roman" w:hAnsi="Times New Roman"/>
          <w:sz w:val="24"/>
          <w:szCs w:val="24"/>
        </w:rPr>
        <w:t xml:space="preserve"> real-time peak</w:t>
      </w:r>
      <w:r w:rsidR="004E0359">
        <w:rPr>
          <w:rFonts w:ascii="Times New Roman" w:hAnsi="Times New Roman"/>
          <w:sz w:val="24"/>
          <w:szCs w:val="24"/>
        </w:rPr>
        <w:t xml:space="preserve"> or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 two “mini” versions – a 5 MW version and a 1 MW version</w:t>
      </w:r>
      <w:r w:rsidR="00517EAC">
        <w:rPr>
          <w:rFonts w:ascii="Times New Roman" w:hAnsi="Times New Roman"/>
          <w:sz w:val="24"/>
          <w:szCs w:val="24"/>
        </w:rPr>
        <w:t xml:space="preserve"> </w:t>
      </w:r>
      <w:r w:rsidR="00517EAC" w:rsidRPr="00517EAC">
        <w:rPr>
          <w:rFonts w:ascii="Times New Roman" w:hAnsi="Times New Roman"/>
          <w:sz w:val="24"/>
          <w:szCs w:val="24"/>
        </w:rPr>
        <w:t>(except in the case of</w:t>
      </w:r>
      <w:r w:rsidR="00517EAC">
        <w:rPr>
          <w:rFonts w:ascii="Times New Roman" w:hAnsi="Times New Roman"/>
          <w:sz w:val="24"/>
          <w:szCs w:val="24"/>
        </w:rPr>
        <w:t xml:space="preserve"> </w:t>
      </w:r>
      <w:r w:rsidR="00517EAC" w:rsidRPr="00A03815">
        <w:rPr>
          <w:rFonts w:ascii="Times New Roman" w:hAnsi="Times New Roman"/>
          <w:sz w:val="24"/>
          <w:szCs w:val="24"/>
        </w:rPr>
        <w:t xml:space="preserve">NFX PJM Western Hub Real-Time Off-Peak </w:t>
      </w:r>
      <w:r w:rsidR="00E87C9F">
        <w:rPr>
          <w:rFonts w:ascii="Times New Roman" w:hAnsi="Times New Roman"/>
          <w:sz w:val="24"/>
          <w:szCs w:val="24"/>
        </w:rPr>
        <w:t xml:space="preserve">Mini </w:t>
      </w:r>
      <w:r w:rsidR="00517EAC" w:rsidRPr="00A03815">
        <w:rPr>
          <w:rFonts w:ascii="Times New Roman" w:hAnsi="Times New Roman"/>
          <w:sz w:val="24"/>
          <w:szCs w:val="24"/>
        </w:rPr>
        <w:t>Financial Futures (OP</w:t>
      </w:r>
      <w:r w:rsidR="00E87C9F">
        <w:rPr>
          <w:rFonts w:ascii="Times New Roman" w:hAnsi="Times New Roman"/>
          <w:sz w:val="24"/>
          <w:szCs w:val="24"/>
        </w:rPr>
        <w:t>K</w:t>
      </w:r>
      <w:r w:rsidR="00517EAC" w:rsidRPr="00A03815">
        <w:rPr>
          <w:rFonts w:ascii="Times New Roman" w:hAnsi="Times New Roman"/>
          <w:sz w:val="24"/>
          <w:szCs w:val="24"/>
        </w:rPr>
        <w:t>Q)</w:t>
      </w:r>
      <w:r w:rsidR="00517EAC">
        <w:rPr>
          <w:rFonts w:ascii="Times New Roman" w:hAnsi="Times New Roman"/>
          <w:sz w:val="24"/>
          <w:szCs w:val="24"/>
        </w:rPr>
        <w:t xml:space="preserve">, whereby only a 5 MWh version will be listed for </w:t>
      </w:r>
      <w:r w:rsidR="00517EAC">
        <w:rPr>
          <w:rFonts w:ascii="Times New Roman" w:hAnsi="Times New Roman"/>
          <w:sz w:val="24"/>
          <w:szCs w:val="24"/>
        </w:rPr>
        <w:lastRenderedPageBreak/>
        <w:t>trading)</w:t>
      </w:r>
      <w:r w:rsidR="00642E1A">
        <w:rPr>
          <w:rFonts w:ascii="Times New Roman" w:hAnsi="Times New Roman"/>
          <w:sz w:val="24"/>
          <w:szCs w:val="24"/>
        </w:rPr>
        <w:t>.</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peak</w:t>
      </w:r>
      <w:r w:rsidR="00E87C9F">
        <w:rPr>
          <w:rFonts w:ascii="Times New Roman" w:hAnsi="Times New Roman"/>
          <w:sz w:val="24"/>
          <w:szCs w:val="24"/>
        </w:rPr>
        <w:t>, off-peak,</w:t>
      </w:r>
      <w:r w:rsidR="00A35B1F" w:rsidRPr="00A35B1F">
        <w:rPr>
          <w:rFonts w:ascii="Times New Roman" w:hAnsi="Times New Roman"/>
          <w:sz w:val="24"/>
          <w:szCs w:val="24"/>
        </w:rPr>
        <w:t xml:space="preserve"> or day-ahead 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517EAC">
        <w:rPr>
          <w:rFonts w:ascii="Times New Roman" w:hAnsi="Times New Roman"/>
          <w:sz w:val="24"/>
          <w:szCs w:val="24"/>
        </w:rPr>
        <w:t xml:space="preserve"> </w:t>
      </w:r>
      <w:r w:rsidR="00517EAC" w:rsidRPr="00517EAC">
        <w:rPr>
          <w:rFonts w:ascii="Times New Roman" w:hAnsi="Times New Roman"/>
          <w:sz w:val="24"/>
          <w:szCs w:val="24"/>
        </w:rPr>
        <w:t xml:space="preserve">(except in the case of NFX PJM Western Hub Real-Time Off-Peak </w:t>
      </w:r>
      <w:r w:rsidR="00E87C9F">
        <w:rPr>
          <w:rFonts w:ascii="Times New Roman" w:hAnsi="Times New Roman"/>
          <w:sz w:val="24"/>
          <w:szCs w:val="24"/>
        </w:rPr>
        <w:t xml:space="preserve">Mini </w:t>
      </w:r>
      <w:r w:rsidR="00517EAC" w:rsidRPr="00517EAC">
        <w:rPr>
          <w:rFonts w:ascii="Times New Roman" w:hAnsi="Times New Roman"/>
          <w:sz w:val="24"/>
          <w:szCs w:val="24"/>
        </w:rPr>
        <w:t>Financial Futures (OP</w:t>
      </w:r>
      <w:r w:rsidR="00E87C9F">
        <w:rPr>
          <w:rFonts w:ascii="Times New Roman" w:hAnsi="Times New Roman"/>
          <w:sz w:val="24"/>
          <w:szCs w:val="24"/>
        </w:rPr>
        <w:t>K</w:t>
      </w:r>
      <w:r w:rsidR="00517EAC" w:rsidRPr="00517EAC">
        <w:rPr>
          <w:rFonts w:ascii="Times New Roman" w:hAnsi="Times New Roman"/>
          <w:sz w:val="24"/>
          <w:szCs w:val="24"/>
        </w:rPr>
        <w:t xml:space="preserve">Q), whereby </w:t>
      </w:r>
      <w:r w:rsidR="00687FED">
        <w:rPr>
          <w:rFonts w:ascii="Times New Roman" w:hAnsi="Times New Roman"/>
          <w:sz w:val="24"/>
          <w:szCs w:val="24"/>
        </w:rPr>
        <w:t>the total unit of trading listed for trading is</w:t>
      </w:r>
      <w:r w:rsidR="00E87C9F">
        <w:rPr>
          <w:rFonts w:ascii="Times New Roman" w:hAnsi="Times New Roman"/>
          <w:sz w:val="24"/>
          <w:szCs w:val="24"/>
        </w:rPr>
        <w:t xml:space="preserve"> </w:t>
      </w:r>
      <w:r w:rsidR="00517EAC" w:rsidRPr="00517EAC">
        <w:rPr>
          <w:rFonts w:ascii="Times New Roman" w:hAnsi="Times New Roman"/>
          <w:sz w:val="24"/>
          <w:szCs w:val="24"/>
        </w:rPr>
        <w:t>5 MWh)</w:t>
      </w:r>
      <w:r w:rsidR="00A35B1F">
        <w:rPr>
          <w:rFonts w:ascii="Times New Roman" w:hAnsi="Times New Roman"/>
          <w:sz w:val="24"/>
          <w:szCs w:val="24"/>
        </w:rPr>
        <w:t>.</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w:t>
      </w:r>
      <w:proofErr w:type="gramStart"/>
      <w:r w:rsidR="00A35B1F">
        <w:rPr>
          <w:rFonts w:ascii="Times New Roman" w:hAnsi="Times New Roman"/>
          <w:sz w:val="24"/>
          <w:szCs w:val="24"/>
        </w:rPr>
        <w:t>A</w:t>
      </w:r>
      <w:proofErr w:type="gramEnd"/>
      <w:r w:rsidR="00A35B1F">
        <w:rPr>
          <w:rFonts w:ascii="Times New Roman" w:hAnsi="Times New Roman"/>
          <w:sz w:val="24"/>
          <w:szCs w:val="24"/>
        </w:rPr>
        <w:t xml:space="preserve">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February 1, </w:t>
      </w:r>
      <w:r w:rsidR="008A5035">
        <w:rPr>
          <w:rFonts w:ascii="Times New Roman" w:hAnsi="Times New Roman"/>
          <w:sz w:val="24"/>
          <w:szCs w:val="24"/>
        </w:rPr>
        <w:t>201</w:t>
      </w:r>
      <w:r w:rsidR="008A5035">
        <w:rPr>
          <w:rFonts w:ascii="Times New Roman" w:hAnsi="Times New Roman"/>
          <w:sz w:val="24"/>
          <w:szCs w:val="24"/>
        </w:rPr>
        <w:t>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CF7C6B">
        <w:rPr>
          <w:rFonts w:ascii="Times New Roman" w:eastAsia="Calibri" w:hAnsi="Times New Roman" w:cs="Times New Roman"/>
          <w:sz w:val="24"/>
          <w:szCs w:val="24"/>
        </w:rPr>
        <w:t xml:space="preserve"> </w:t>
      </w:r>
      <w:r w:rsidR="00CF7C6B">
        <w:rPr>
          <w:rFonts w:ascii="Times New Roman" w:eastAsia="Calibri" w:hAnsi="Times New Roman" w:cs="Times New Roman"/>
          <w:sz w:val="24"/>
          <w:szCs w:val="24"/>
        </w:rPr>
        <w:lastRenderedPageBreak/>
        <w:t>peak</w:t>
      </w:r>
      <w:r w:rsidR="00E418B5">
        <w:rPr>
          <w:rFonts w:ascii="Times New Roman" w:eastAsia="Calibri" w:hAnsi="Times New Roman" w:cs="Times New Roman"/>
          <w:sz w:val="24"/>
          <w:szCs w:val="24"/>
        </w:rPr>
        <w:t>, off-peak,</w:t>
      </w:r>
      <w:r w:rsidRPr="00A35B1F">
        <w:rPr>
          <w:rFonts w:ascii="Times New Roman" w:eastAsia="Calibri" w:hAnsi="Times New Roman" w:cs="Times New Roman"/>
          <w:sz w:val="24"/>
          <w:szCs w:val="24"/>
        </w:rPr>
        <w:t xml:space="preserve"> and day-ahead 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set forth in the Cash Market Description and Deliverable Supply Analysis attached as 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E36D1C" w:rsidRPr="00E36D1C">
        <w:rPr>
          <w:rFonts w:ascii="Times New Roman" w:eastAsia="Calibri" w:hAnsi="Times New Roman" w:cs="Times New Roman"/>
          <w:sz w:val="24"/>
          <w:szCs w:val="24"/>
        </w:rPr>
        <w:t xml:space="preserve"> or 1 MWh versus </w:t>
      </w:r>
      <w:r w:rsidR="00704A07">
        <w:rPr>
          <w:rFonts w:ascii="Times New Roman" w:eastAsia="Calibri" w:hAnsi="Times New Roman" w:cs="Times New Roman"/>
          <w:sz w:val="24"/>
          <w:szCs w:val="24"/>
        </w:rPr>
        <w:t xml:space="preserve">50 MWh, </w:t>
      </w:r>
      <w:r w:rsidR="00B5273F">
        <w:rPr>
          <w:rFonts w:ascii="Times New Roman" w:eastAsia="Calibri" w:hAnsi="Times New Roman" w:cs="Times New Roman"/>
          <w:sz w:val="24"/>
          <w:szCs w:val="24"/>
        </w:rPr>
        <w:t xml:space="preserve">400MWh </w:t>
      </w:r>
      <w:r w:rsidR="00A35B1F">
        <w:rPr>
          <w:rFonts w:ascii="Times New Roman" w:eastAsia="Calibri" w:hAnsi="Times New Roman" w:cs="Times New Roman"/>
          <w:sz w:val="24"/>
          <w:szCs w:val="24"/>
        </w:rPr>
        <w:t xml:space="preserve">or </w:t>
      </w:r>
      <w:r w:rsidR="00E36D1C" w:rsidRPr="00E36D1C">
        <w:rPr>
          <w:rFonts w:ascii="Times New Roman" w:eastAsia="Calibri" w:hAnsi="Times New Roman" w:cs="Times New Roman"/>
          <w:sz w:val="24"/>
          <w:szCs w:val="24"/>
        </w:rPr>
        <w:t>800 MWh)</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66F5">
        <w:rPr>
          <w:rFonts w:ascii="Times New Roman" w:hAnsi="Times New Roman" w:cs="Times New Roman"/>
          <w:sz w:val="24"/>
          <w:szCs w:val="24"/>
        </w:rPr>
        <w:t>07</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bookmarkStart w:id="0" w:name="_GoBack"/>
      <w:bookmarkEnd w:id="0"/>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FED70EC-647E-4213-B834-16E021D4DB6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372973">
        <w:rPr>
          <w:rFonts w:ascii="Times New Roman" w:hAnsi="Times New Roman"/>
          <w:sz w:val="24"/>
          <w:szCs w:val="24"/>
        </w:rPr>
        <w:t>0</w:t>
      </w:r>
      <w:r w:rsidR="00E81CD4">
        <w:rPr>
          <w:rFonts w:ascii="Times New Roman" w:hAnsi="Times New Roman"/>
          <w:sz w:val="24"/>
          <w:szCs w:val="24"/>
        </w:rPr>
        <w:t>8</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-0</w:t>
      </w:r>
      <w:r w:rsidR="00E81CD4">
        <w:rPr>
          <w:rFonts w:ascii="Times New Roman" w:hAnsi="Times New Roman" w:cs="Times New Roman"/>
          <w:sz w:val="24"/>
          <w:szCs w:val="24"/>
        </w:rPr>
        <w:t>8</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642E1A" w:rsidRDefault="00B040FC" w:rsidP="008A5035">
      <w:pPr>
        <w:spacing w:line="240" w:lineRule="auto"/>
        <w:rPr>
          <w:rFonts w:ascii="Times New Roman" w:hAnsi="Times New Roman" w:cs="Times New Roman"/>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t xml:space="preserve">The </w:t>
      </w:r>
      <w:r w:rsidR="000A3874">
        <w:rPr>
          <w:rFonts w:ascii="Times New Roman" w:hAnsi="Times New Roman" w:cs="Times New Roman"/>
          <w:sz w:val="24"/>
          <w:szCs w:val="24"/>
        </w:rPr>
        <w:t>eight</w:t>
      </w:r>
      <w:r w:rsidR="000A3874" w:rsidRPr="00642E1A">
        <w:rPr>
          <w:rFonts w:ascii="Times New Roman" w:hAnsi="Times New Roman" w:cs="Times New Roman"/>
          <w:sz w:val="24"/>
          <w:szCs w:val="24"/>
        </w:rPr>
        <w:t xml:space="preserve"> </w:t>
      </w:r>
      <w:r w:rsidRPr="00642E1A">
        <w:rPr>
          <w:rFonts w:ascii="Times New Roman" w:hAnsi="Times New Roman" w:cs="Times New Roman"/>
          <w:sz w:val="24"/>
          <w:szCs w:val="24"/>
        </w:rPr>
        <w:t>Existing Contracts are NFX CAISO NP-15 Hub Day-Ahead Peak Financial Futures (NPMQ), NFX CAISO SP-15 Hub Day-Ahead Peak Financial Futures (SPMQ), NFX ISO-NE Massachusetts Hub Day-Ahead Peak Financial Futures (NEPQ)</w:t>
      </w:r>
      <w:r w:rsidR="00372973" w:rsidRPr="00642E1A">
        <w:rPr>
          <w:rFonts w:ascii="Times New Roman" w:hAnsi="Times New Roman" w:cs="Times New Roman"/>
          <w:sz w:val="24"/>
          <w:szCs w:val="24"/>
        </w:rPr>
        <w:t>,</w:t>
      </w:r>
      <w:r w:rsidR="00E81CD4">
        <w:rPr>
          <w:rFonts w:ascii="Times New Roman" w:hAnsi="Times New Roman" w:cs="Times New Roman"/>
          <w:sz w:val="24"/>
          <w:szCs w:val="24"/>
        </w:rPr>
        <w:t xml:space="preserve"> </w:t>
      </w:r>
      <w:r w:rsidR="00642E1A" w:rsidRPr="00642E1A">
        <w:rPr>
          <w:rFonts w:ascii="Times New Roman" w:hAnsi="Times New Roman" w:cs="Times New Roman"/>
          <w:sz w:val="24"/>
          <w:szCs w:val="24"/>
        </w:rPr>
        <w:t xml:space="preserve">NFX MISO Indiana Hub Real-Time Peak Financial Futures (CINQ), NFX PJM AEP Dayton Hub Real-Time Peak Financial Futures (MSOQ), NFX PJM Northern Illinois Hub Real-Time Peak Financial Futures  (PNLQ), </w:t>
      </w:r>
      <w:r w:rsidR="004E0359" w:rsidRPr="004E0359">
        <w:rPr>
          <w:rFonts w:ascii="Times New Roman" w:hAnsi="Times New Roman" w:cs="Times New Roman"/>
          <w:sz w:val="24"/>
          <w:szCs w:val="24"/>
        </w:rPr>
        <w:t>NFX PJM Western Hub Real-Time Off-Peak Financial Futures (OPJQ)</w:t>
      </w:r>
      <w:r w:rsidR="004E0359">
        <w:rPr>
          <w:rFonts w:ascii="Times New Roman" w:hAnsi="Times New Roman" w:cs="Times New Roman"/>
          <w:sz w:val="24"/>
          <w:szCs w:val="24"/>
        </w:rPr>
        <w:t xml:space="preserve">, </w:t>
      </w:r>
      <w:r w:rsidR="00642E1A" w:rsidRPr="00642E1A">
        <w:rPr>
          <w:rFonts w:ascii="Times New Roman" w:hAnsi="Times New Roman" w:cs="Times New Roman"/>
          <w:sz w:val="24"/>
          <w:szCs w:val="24"/>
        </w:rPr>
        <w:t>and NFX PJM Western Hub Real-Time Peak Financial Futures (PJMQ).</w:t>
      </w:r>
    </w:p>
  </w:footnote>
  <w:footnote w:id="3">
    <w:p w:rsidR="007F6B89" w:rsidRPr="007F6B89" w:rsidRDefault="007F6B89">
      <w:pPr>
        <w:pStyle w:val="FootnoteText"/>
        <w:rPr>
          <w:rFonts w:ascii="Times New Roman" w:hAnsi="Times New Roman" w:cs="Times New Roman"/>
          <w:sz w:val="24"/>
          <w:szCs w:val="24"/>
        </w:rPr>
      </w:pPr>
      <w:r w:rsidRPr="007F6B89">
        <w:rPr>
          <w:rStyle w:val="FootnoteReference"/>
          <w:rFonts w:ascii="Times New Roman" w:hAnsi="Times New Roman" w:cs="Times New Roman"/>
          <w:sz w:val="24"/>
          <w:szCs w:val="24"/>
        </w:rPr>
        <w:footnoteRef/>
      </w:r>
      <w:r w:rsidRPr="007F6B89">
        <w:rPr>
          <w:rFonts w:ascii="Times New Roman" w:hAnsi="Times New Roman" w:cs="Times New Roman"/>
          <w:sz w:val="24"/>
          <w:szCs w:val="24"/>
        </w:rPr>
        <w:t xml:space="preserve"> </w:t>
      </w:r>
      <w:r w:rsidRPr="007F6B89">
        <w:rPr>
          <w:rFonts w:ascii="Times New Roman" w:hAnsi="Times New Roman" w:cs="Times New Roman"/>
          <w:sz w:val="24"/>
          <w:szCs w:val="24"/>
        </w:rPr>
        <w:tab/>
        <w:t>The New Contracts</w:t>
      </w:r>
      <w:r>
        <w:rPr>
          <w:rFonts w:ascii="Times New Roman" w:hAnsi="Times New Roman" w:cs="Times New Roman"/>
          <w:sz w:val="24"/>
          <w:szCs w:val="24"/>
        </w:rPr>
        <w:t>’ rules</w:t>
      </w:r>
      <w:r w:rsidRPr="007F6B89">
        <w:rPr>
          <w:rFonts w:ascii="Times New Roman" w:hAnsi="Times New Roman" w:cs="Times New Roman"/>
          <w:sz w:val="24"/>
          <w:szCs w:val="24"/>
        </w:rPr>
        <w:t xml:space="preserve"> specify that daily settlement prices are determined by Exchange staff by 5:45 PM EPT or as soon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642E1A" w:rsidRPr="00B5273F" w:rsidRDefault="00642E1A">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800 MWh (except in the case of </w:t>
      </w:r>
      <w:r w:rsidR="00B5273F" w:rsidRPr="00B5273F">
        <w:rPr>
          <w:rFonts w:ascii="Times New Roman" w:hAnsi="Times New Roman" w:cs="Times New Roman"/>
          <w:sz w:val="24"/>
          <w:szCs w:val="24"/>
        </w:rPr>
        <w:t>NFX CAISO NP-15 Hub Day-Ahead Peak Financial Futures (NPMQ)</w:t>
      </w:r>
      <w:r w:rsidR="00687FED">
        <w:rPr>
          <w:rFonts w:ascii="Times New Roman" w:hAnsi="Times New Roman" w:cs="Times New Roman"/>
          <w:sz w:val="24"/>
          <w:szCs w:val="24"/>
        </w:rPr>
        <w:t>,</w:t>
      </w:r>
      <w:r w:rsidR="00B5273F" w:rsidRPr="00B5273F">
        <w:rPr>
          <w:rFonts w:ascii="Times New Roman" w:hAnsi="Times New Roman" w:cs="Times New Roman"/>
          <w:sz w:val="24"/>
          <w:szCs w:val="24"/>
        </w:rPr>
        <w:t xml:space="preserve"> NFX CAISO SP-15 Hub Day-Ahead Peak Financial Futures (SPMQ), where the unit of trading is 400 MWh</w:t>
      </w:r>
      <w:r w:rsidR="00A03815">
        <w:rPr>
          <w:rFonts w:ascii="Times New Roman" w:hAnsi="Times New Roman" w:cs="Times New Roman"/>
          <w:sz w:val="24"/>
          <w:szCs w:val="24"/>
        </w:rPr>
        <w:t xml:space="preserve">, and in the case of </w:t>
      </w:r>
      <w:r w:rsidR="00A03815" w:rsidRPr="00A03815">
        <w:rPr>
          <w:rFonts w:ascii="Times New Roman" w:hAnsi="Times New Roman" w:cs="Times New Roman"/>
          <w:sz w:val="24"/>
          <w:szCs w:val="24"/>
        </w:rPr>
        <w:t>NFX PJM Western Hub Real-Time Off-Peak Financial Futures (OPJQ)</w:t>
      </w:r>
      <w:r w:rsidR="00A03815">
        <w:rPr>
          <w:rFonts w:ascii="Times New Roman" w:hAnsi="Times New Roman" w:cs="Times New Roman"/>
          <w:sz w:val="24"/>
          <w:szCs w:val="24"/>
        </w:rPr>
        <w:t>, where the unit of trading is 5</w:t>
      </w:r>
      <w:r w:rsidR="00400D58">
        <w:rPr>
          <w:rFonts w:ascii="Times New Roman" w:hAnsi="Times New Roman" w:cs="Times New Roman"/>
          <w:sz w:val="24"/>
          <w:szCs w:val="24"/>
        </w:rPr>
        <w:t>0</w:t>
      </w:r>
      <w:r w:rsidR="00A03815">
        <w:rPr>
          <w:rFonts w:ascii="Times New Roman" w:hAnsi="Times New Roman" w:cs="Times New Roman"/>
          <w:sz w:val="24"/>
          <w:szCs w:val="24"/>
        </w:rPr>
        <w:t xml:space="preserve"> MWh)</w:t>
      </w:r>
      <w:r w:rsidR="00B5273F" w:rsidRPr="00B5273F">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0312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03127">
      <w:rPr>
        <w:rFonts w:ascii="Times New Roman" w:hAnsi="Times New Roman" w:cs="Times New Roman"/>
        <w:sz w:val="20"/>
        <w:szCs w:val="20"/>
      </w:rPr>
      <w:t>07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43BF8">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9"/>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9"/>
  </w:num>
  <w:num w:numId="19">
    <w:abstractNumId w:val="11"/>
  </w:num>
  <w:num w:numId="20">
    <w:abstractNumId w:val="10"/>
  </w:num>
  <w:num w:numId="21">
    <w:abstractNumId w:val="19"/>
  </w:num>
  <w:num w:numId="22">
    <w:abstractNumId w:val="9"/>
  </w:num>
  <w:num w:numId="23">
    <w:abstractNumId w:val="11"/>
  </w:num>
  <w:num w:numId="24">
    <w:abstractNumId w:val="10"/>
  </w:num>
  <w:num w:numId="25">
    <w:abstractNumId w:val="19"/>
  </w:num>
  <w:num w:numId="26">
    <w:abstractNumId w:val="17"/>
  </w:num>
  <w:num w:numId="27">
    <w:abstractNumId w:val="19"/>
  </w:num>
  <w:num w:numId="28">
    <w:abstractNumId w:val="17"/>
  </w:num>
  <w:num w:numId="29">
    <w:abstractNumId w:val="1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517EAC"/>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A6A"/>
    <w:rsid w:val="007667BD"/>
    <w:rsid w:val="0079548F"/>
    <w:rsid w:val="007B39B4"/>
    <w:rsid w:val="007D48A6"/>
    <w:rsid w:val="007F6B89"/>
    <w:rsid w:val="00803051"/>
    <w:rsid w:val="008225AC"/>
    <w:rsid w:val="0083294B"/>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63f0ab7b-2fc4-42af-9043-717e3eda8795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2016-01-22T20:05:13+00:00</Document_x0020_Date>
    <Document_x0020_No xmlns="4b47aac5-4c46-444f-8595-ce09b406fc61">22201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4BB7-2BDD-45CB-80BB-DE7D238E4CB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949BA932-F06A-4C4B-A663-B439C39982AC}"/>
</file>

<file path=customXml/itemProps5.xml><?xml version="1.0" encoding="utf-8"?>
<ds:datastoreItem xmlns:ds="http://schemas.openxmlformats.org/officeDocument/2006/customXml" ds:itemID="{7DF3F2B9-EF65-431B-B61A-0E3B46E911A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2225</Words>
  <Characters>12684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2008-04-01T17:51:00Z</cp:lastPrinted>
  <dcterms:created xsi:type="dcterms:W3CDTF">2016-01-22T16:35:00Z</dcterms:created>
  <dcterms:modified xsi:type="dcterms:W3CDTF">2016-01-22T16:35:00Z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2134400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