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fc991b52-5b50-4faa-a1e7-c57e267e381c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2018-02-07T22:07:32+00:00</Document_x0020_Date>
    <Document_x0020_No xmlns="4b47aac5-4c46-444f-8595-ce09b406fc61">37866</Document_x0020_No>
  </documentManagement>
</p:properties>
</file>

<file path=customXml/itemProps1.xml><?xml version="1.0" encoding="utf-8"?>
<ds:datastoreItem xmlns:ds="http://schemas.openxmlformats.org/officeDocument/2006/customXml" ds:itemID="{68D48479-A4C2-4205-8066-0AD073087A98}"/>
</file>

<file path=customXml/itemProps2.xml><?xml version="1.0" encoding="utf-8"?>
<ds:datastoreItem xmlns:ds="http://schemas.openxmlformats.org/officeDocument/2006/customXml" ds:itemID="{62806A90-1C20-4F38-B620-D2A6A474FB94}"/>
</file>

<file path=customXml/itemProps3.xml><?xml version="1.0" encoding="utf-8"?>
<ds:datastoreItem xmlns:ds="http://schemas.openxmlformats.org/officeDocument/2006/customXml" ds:itemID="{6C320F07-ACFF-4D98-A833-81B1EF18693D}"/>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06A89995-92B2-4806-8B48-2C19F0C4CA9E}"/>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