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CB8" w:rsidRPr="00EA4F65" w:rsidRDefault="00710CB8" w:rsidP="00710CB8">
      <w:pPr>
        <w:rPr>
          <w:rFonts w:ascii="Times New Roman" w:hAnsi="Times New Roman" w:cs="Times New Roman"/>
        </w:rPr>
      </w:pPr>
    </w:p>
    <w:p w:rsidR="00710CB8" w:rsidRPr="0065736C" w:rsidRDefault="00710CB8" w:rsidP="00710CB8">
      <w:pPr>
        <w:spacing w:before="150" w:after="15" w:line="240" w:lineRule="auto"/>
        <w:jc w:val="center"/>
        <w:outlineLvl w:val="3"/>
        <w:rPr>
          <w:rFonts w:ascii="Times New Roman" w:eastAsia="Times New Roman" w:hAnsi="Times New Roman" w:cs="Times New Roman"/>
          <w:b/>
          <w:bCs/>
          <w:color w:val="333333"/>
          <w:sz w:val="24"/>
          <w:szCs w:val="24"/>
          <w:u w:val="single"/>
        </w:rPr>
      </w:pPr>
      <w:r w:rsidRPr="0065736C">
        <w:rPr>
          <w:rFonts w:ascii="Times New Roman" w:eastAsia="Times New Roman" w:hAnsi="Times New Roman" w:cs="Times New Roman"/>
          <w:b/>
          <w:bCs/>
          <w:color w:val="333333"/>
          <w:sz w:val="24"/>
          <w:szCs w:val="24"/>
          <w:u w:val="single"/>
        </w:rPr>
        <w:t>Exhibit A to SR-NFX-2018-</w:t>
      </w:r>
      <w:r w:rsidR="00F01271">
        <w:rPr>
          <w:rFonts w:ascii="Times New Roman" w:eastAsia="Times New Roman" w:hAnsi="Times New Roman" w:cs="Times New Roman"/>
          <w:b/>
          <w:bCs/>
          <w:color w:val="333333"/>
          <w:sz w:val="24"/>
          <w:szCs w:val="24"/>
          <w:u w:val="single"/>
        </w:rPr>
        <w:t>XX</w:t>
      </w:r>
    </w:p>
    <w:p w:rsidR="00710CB8" w:rsidRPr="0065736C" w:rsidRDefault="00710CB8" w:rsidP="00710CB8">
      <w:pPr>
        <w:spacing w:before="150" w:after="15" w:line="240" w:lineRule="auto"/>
        <w:outlineLvl w:val="3"/>
        <w:rPr>
          <w:rFonts w:ascii="Times New Roman" w:eastAsia="Times New Roman" w:hAnsi="Times New Roman" w:cs="Times New Roman"/>
          <w:bCs/>
          <w:color w:val="333333"/>
          <w:sz w:val="24"/>
          <w:szCs w:val="24"/>
        </w:rPr>
      </w:pPr>
    </w:p>
    <w:p w:rsidR="00710CB8" w:rsidRPr="0065736C" w:rsidRDefault="00710CB8" w:rsidP="00710CB8">
      <w:pPr>
        <w:spacing w:line="240" w:lineRule="auto"/>
        <w:rPr>
          <w:rFonts w:ascii="Times New Roman" w:hAnsi="Times New Roman" w:cs="Times New Roman"/>
          <w:sz w:val="24"/>
          <w:szCs w:val="24"/>
        </w:rPr>
      </w:pPr>
      <w:r w:rsidRPr="0065736C">
        <w:rPr>
          <w:rFonts w:ascii="Times New Roman" w:hAnsi="Times New Roman" w:cs="Times New Roman"/>
          <w:sz w:val="24"/>
          <w:szCs w:val="24"/>
        </w:rPr>
        <w:t xml:space="preserve">New language is </w:t>
      </w:r>
      <w:r w:rsidRPr="0065736C">
        <w:rPr>
          <w:rFonts w:ascii="Times New Roman" w:hAnsi="Times New Roman" w:cs="Times New Roman"/>
          <w:sz w:val="24"/>
          <w:szCs w:val="24"/>
          <w:u w:val="single"/>
        </w:rPr>
        <w:t>underlined</w:t>
      </w:r>
      <w:r w:rsidRPr="0065736C">
        <w:rPr>
          <w:rFonts w:ascii="Times New Roman" w:hAnsi="Times New Roman" w:cs="Times New Roman"/>
          <w:sz w:val="24"/>
          <w:szCs w:val="24"/>
        </w:rPr>
        <w:t>.</w:t>
      </w:r>
    </w:p>
    <w:p w:rsidR="00710CB8" w:rsidRPr="0065736C" w:rsidRDefault="00710CB8" w:rsidP="00710CB8">
      <w:pPr>
        <w:spacing w:before="100" w:beforeAutospacing="1" w:after="100" w:afterAutospacing="1" w:line="240" w:lineRule="auto"/>
        <w:outlineLvl w:val="2"/>
        <w:rPr>
          <w:rFonts w:ascii="Times New Roman" w:eastAsia="Times New Roman" w:hAnsi="Times New Roman" w:cs="Times New Roman"/>
          <w:b/>
          <w:bCs/>
          <w:sz w:val="24"/>
          <w:szCs w:val="24"/>
        </w:rPr>
      </w:pPr>
      <w:r w:rsidRPr="0065736C">
        <w:rPr>
          <w:rFonts w:ascii="Times New Roman" w:eastAsia="Times New Roman" w:hAnsi="Times New Roman" w:cs="Times New Roman"/>
          <w:b/>
          <w:bCs/>
          <w:sz w:val="24"/>
          <w:szCs w:val="24"/>
        </w:rPr>
        <w:t>Rulebook Appendix A - Listed Contracts</w:t>
      </w:r>
    </w:p>
    <w:p w:rsidR="00710CB8" w:rsidRPr="0065736C" w:rsidRDefault="00710CB8" w:rsidP="00C10F42">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0" w:name="sx-policymanual-phlx-philabot_Aintro"/>
      <w:bookmarkStart w:id="1" w:name="chp_1_1_1_9_1"/>
      <w:bookmarkEnd w:id="0"/>
      <w:bookmarkEnd w:id="1"/>
      <w:r w:rsidRPr="0065736C">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2150"/>
        <w:gridCol w:w="7272"/>
      </w:tblGrid>
      <w:tr w:rsidR="00710CB8" w:rsidRPr="0065736C" w:rsidTr="00C10F42">
        <w:trPr>
          <w:tblHeader/>
        </w:trPr>
        <w:tc>
          <w:tcPr>
            <w:tcW w:w="2150" w:type="dxa"/>
          </w:tcPr>
          <w:p w:rsidR="00710CB8" w:rsidRPr="002807E3" w:rsidRDefault="00710CB8" w:rsidP="00EA0C8B">
            <w:pPr>
              <w:spacing w:line="240" w:lineRule="auto"/>
              <w:jc w:val="both"/>
              <w:rPr>
                <w:b/>
                <w:sz w:val="24"/>
                <w:szCs w:val="24"/>
              </w:rPr>
            </w:pPr>
            <w:r w:rsidRPr="002807E3">
              <w:rPr>
                <w:b/>
                <w:sz w:val="24"/>
                <w:szCs w:val="24"/>
              </w:rPr>
              <w:t>CHAPTER</w:t>
            </w:r>
          </w:p>
        </w:tc>
        <w:tc>
          <w:tcPr>
            <w:tcW w:w="7272" w:type="dxa"/>
          </w:tcPr>
          <w:p w:rsidR="00710CB8" w:rsidRPr="0065736C" w:rsidRDefault="00710CB8" w:rsidP="00EA0C8B">
            <w:pPr>
              <w:spacing w:line="240" w:lineRule="auto"/>
              <w:jc w:val="both"/>
              <w:rPr>
                <w:b/>
                <w:sz w:val="24"/>
                <w:szCs w:val="24"/>
              </w:rPr>
            </w:pPr>
            <w:r w:rsidRPr="0065736C">
              <w:rPr>
                <w:b/>
                <w:sz w:val="24"/>
                <w:szCs w:val="24"/>
              </w:rPr>
              <w:t>PRODUCT NAME AND SYMBOL</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OIL AND REFINED PRODUCTS – No Change</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 xml:space="preserve">NATURAL GAS PRODUCTS – No Change </w:t>
            </w: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sz w:val="24"/>
                <w:szCs w:val="24"/>
              </w:rPr>
            </w:pPr>
          </w:p>
        </w:tc>
      </w:tr>
      <w:tr w:rsidR="00710CB8" w:rsidRPr="0065736C" w:rsidTr="00EA0C8B">
        <w:tc>
          <w:tcPr>
            <w:tcW w:w="2150" w:type="dxa"/>
          </w:tcPr>
          <w:p w:rsidR="00710CB8" w:rsidRPr="002807E3" w:rsidRDefault="00710CB8" w:rsidP="00EA0C8B">
            <w:pPr>
              <w:spacing w:line="240" w:lineRule="auto"/>
              <w:jc w:val="both"/>
              <w:rPr>
                <w:sz w:val="24"/>
                <w:szCs w:val="24"/>
              </w:rPr>
            </w:pPr>
          </w:p>
        </w:tc>
        <w:tc>
          <w:tcPr>
            <w:tcW w:w="7272" w:type="dxa"/>
          </w:tcPr>
          <w:p w:rsidR="00710CB8" w:rsidRPr="0065736C" w:rsidRDefault="00710CB8" w:rsidP="00EA0C8B">
            <w:pPr>
              <w:spacing w:line="240" w:lineRule="auto"/>
              <w:jc w:val="both"/>
              <w:rPr>
                <w:b/>
                <w:sz w:val="24"/>
                <w:szCs w:val="24"/>
              </w:rPr>
            </w:pPr>
            <w:r w:rsidRPr="0065736C">
              <w:rPr>
                <w:b/>
                <w:sz w:val="24"/>
                <w:szCs w:val="24"/>
              </w:rPr>
              <w:t>POWER CONTRACTS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321C</w:t>
            </w:r>
          </w:p>
        </w:tc>
        <w:tc>
          <w:tcPr>
            <w:tcW w:w="7272" w:type="dxa"/>
          </w:tcPr>
          <w:p w:rsidR="00C10F42" w:rsidRPr="00025F0B" w:rsidRDefault="00C10F42" w:rsidP="00C10F42">
            <w:pPr>
              <w:rPr>
                <w:sz w:val="24"/>
                <w:u w:val="single"/>
              </w:rPr>
            </w:pPr>
            <w:r w:rsidRPr="00025F0B">
              <w:rPr>
                <w:sz w:val="24"/>
                <w:u w:val="single"/>
              </w:rPr>
              <w:t>NFX ERCOT North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321D</w:t>
            </w:r>
          </w:p>
        </w:tc>
        <w:tc>
          <w:tcPr>
            <w:tcW w:w="7272" w:type="dxa"/>
          </w:tcPr>
          <w:p w:rsidR="00C10F42" w:rsidRPr="00025F0B" w:rsidRDefault="00C10F42" w:rsidP="00C10F42">
            <w:pPr>
              <w:rPr>
                <w:sz w:val="24"/>
                <w:u w:val="single"/>
              </w:rPr>
            </w:pPr>
            <w:r w:rsidRPr="00025F0B">
              <w:rPr>
                <w:sz w:val="24"/>
                <w:u w:val="single"/>
              </w:rPr>
              <w:t>NFX ERCOT North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321E</w:t>
            </w:r>
          </w:p>
        </w:tc>
        <w:tc>
          <w:tcPr>
            <w:tcW w:w="7272" w:type="dxa"/>
          </w:tcPr>
          <w:p w:rsidR="00C10F42" w:rsidRPr="00025F0B" w:rsidRDefault="00C10F42" w:rsidP="00C10F42">
            <w:pPr>
              <w:rPr>
                <w:sz w:val="24"/>
                <w:u w:val="single"/>
              </w:rPr>
            </w:pPr>
            <w:r w:rsidRPr="00025F0B">
              <w:rPr>
                <w:sz w:val="24"/>
                <w:u w:val="single"/>
              </w:rPr>
              <w:t>NFX ERCOT North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321F</w:t>
            </w:r>
          </w:p>
        </w:tc>
        <w:tc>
          <w:tcPr>
            <w:tcW w:w="7272" w:type="dxa"/>
          </w:tcPr>
          <w:p w:rsidR="00C10F42" w:rsidRPr="00025F0B" w:rsidRDefault="00C10F42" w:rsidP="00C10F42">
            <w:pPr>
              <w:rPr>
                <w:sz w:val="24"/>
                <w:u w:val="single"/>
              </w:rPr>
            </w:pPr>
            <w:r w:rsidRPr="00025F0B">
              <w:rPr>
                <w:sz w:val="24"/>
                <w:u w:val="single"/>
              </w:rPr>
              <w:t>NFX ERCOT North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321G</w:t>
            </w:r>
          </w:p>
        </w:tc>
        <w:tc>
          <w:tcPr>
            <w:tcW w:w="7272" w:type="dxa"/>
          </w:tcPr>
          <w:p w:rsidR="00C10F42" w:rsidRPr="00025F0B" w:rsidRDefault="00C10F42" w:rsidP="00C10F42">
            <w:pPr>
              <w:rPr>
                <w:sz w:val="24"/>
                <w:u w:val="single"/>
              </w:rPr>
            </w:pPr>
            <w:r w:rsidRPr="00025F0B">
              <w:rPr>
                <w:sz w:val="24"/>
                <w:u w:val="single"/>
              </w:rPr>
              <w:t>NFX ERCOT North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321H</w:t>
            </w:r>
          </w:p>
        </w:tc>
        <w:tc>
          <w:tcPr>
            <w:tcW w:w="7272" w:type="dxa"/>
          </w:tcPr>
          <w:p w:rsidR="00C10F42" w:rsidRPr="00025F0B" w:rsidRDefault="00C10F42" w:rsidP="00C10F42">
            <w:pPr>
              <w:rPr>
                <w:sz w:val="24"/>
                <w:u w:val="single"/>
              </w:rPr>
            </w:pPr>
            <w:r w:rsidRPr="00025F0B">
              <w:rPr>
                <w:sz w:val="24"/>
                <w:u w:val="single"/>
              </w:rPr>
              <w:t>NFX ERCOT North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322C</w:t>
            </w:r>
          </w:p>
        </w:tc>
        <w:tc>
          <w:tcPr>
            <w:tcW w:w="7272" w:type="dxa"/>
          </w:tcPr>
          <w:p w:rsidR="00C10F42" w:rsidRPr="00025F0B" w:rsidRDefault="00C10F42" w:rsidP="00C10F42">
            <w:pPr>
              <w:rPr>
                <w:sz w:val="24"/>
                <w:u w:val="single"/>
              </w:rPr>
            </w:pPr>
            <w:r w:rsidRPr="00025F0B">
              <w:rPr>
                <w:sz w:val="24"/>
                <w:u w:val="single"/>
              </w:rPr>
              <w:t>NFX ERCOT Houston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lastRenderedPageBreak/>
              <w:t>322D</w:t>
            </w:r>
          </w:p>
        </w:tc>
        <w:tc>
          <w:tcPr>
            <w:tcW w:w="7272" w:type="dxa"/>
          </w:tcPr>
          <w:p w:rsidR="00C10F42" w:rsidRPr="00025F0B" w:rsidRDefault="00C10F42" w:rsidP="00C10F42">
            <w:pPr>
              <w:rPr>
                <w:sz w:val="24"/>
                <w:u w:val="single"/>
              </w:rPr>
            </w:pPr>
            <w:r w:rsidRPr="00025F0B">
              <w:rPr>
                <w:sz w:val="24"/>
                <w:u w:val="single"/>
              </w:rPr>
              <w:t>NFX ERCOT Houston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322E</w:t>
            </w:r>
          </w:p>
        </w:tc>
        <w:tc>
          <w:tcPr>
            <w:tcW w:w="7272" w:type="dxa"/>
          </w:tcPr>
          <w:p w:rsidR="00C10F42" w:rsidRPr="00025F0B" w:rsidRDefault="00C10F42" w:rsidP="00C10F42">
            <w:pPr>
              <w:rPr>
                <w:sz w:val="24"/>
                <w:u w:val="single"/>
              </w:rPr>
            </w:pPr>
            <w:r w:rsidRPr="00025F0B">
              <w:rPr>
                <w:sz w:val="24"/>
                <w:u w:val="single"/>
              </w:rPr>
              <w:t>NFX ERCOT Houston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322F</w:t>
            </w:r>
          </w:p>
        </w:tc>
        <w:tc>
          <w:tcPr>
            <w:tcW w:w="7272" w:type="dxa"/>
          </w:tcPr>
          <w:p w:rsidR="00C10F42" w:rsidRPr="00025F0B" w:rsidRDefault="00C10F42" w:rsidP="00C10F42">
            <w:pPr>
              <w:rPr>
                <w:sz w:val="24"/>
                <w:u w:val="single"/>
              </w:rPr>
            </w:pPr>
            <w:r w:rsidRPr="00025F0B">
              <w:rPr>
                <w:sz w:val="24"/>
                <w:u w:val="single"/>
              </w:rPr>
              <w:t>NFX ERCOT Houston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322G</w:t>
            </w:r>
          </w:p>
        </w:tc>
        <w:tc>
          <w:tcPr>
            <w:tcW w:w="7272" w:type="dxa"/>
          </w:tcPr>
          <w:p w:rsidR="00C10F42" w:rsidRPr="00025F0B" w:rsidRDefault="00C10F42" w:rsidP="00C10F42">
            <w:pPr>
              <w:rPr>
                <w:sz w:val="24"/>
                <w:u w:val="single"/>
              </w:rPr>
            </w:pPr>
            <w:r w:rsidRPr="00025F0B">
              <w:rPr>
                <w:sz w:val="24"/>
                <w:u w:val="single"/>
              </w:rPr>
              <w:t>NFX ERCOT Houston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322H</w:t>
            </w:r>
          </w:p>
        </w:tc>
        <w:tc>
          <w:tcPr>
            <w:tcW w:w="7272" w:type="dxa"/>
          </w:tcPr>
          <w:p w:rsidR="00C10F42" w:rsidRPr="00025F0B" w:rsidRDefault="00C10F42" w:rsidP="00C10F42">
            <w:pPr>
              <w:rPr>
                <w:sz w:val="24"/>
                <w:u w:val="single"/>
              </w:rPr>
            </w:pPr>
            <w:r w:rsidRPr="00025F0B">
              <w:rPr>
                <w:sz w:val="24"/>
                <w:u w:val="single"/>
              </w:rPr>
              <w:t>NFX ERCOT Houston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323C</w:t>
            </w:r>
          </w:p>
        </w:tc>
        <w:tc>
          <w:tcPr>
            <w:tcW w:w="7272" w:type="dxa"/>
          </w:tcPr>
          <w:p w:rsidR="00C10F42" w:rsidRPr="00025F0B" w:rsidRDefault="00C10F42" w:rsidP="00C10F42">
            <w:pPr>
              <w:rPr>
                <w:sz w:val="24"/>
                <w:u w:val="single"/>
              </w:rPr>
            </w:pPr>
            <w:r w:rsidRPr="00025F0B">
              <w:rPr>
                <w:sz w:val="24"/>
                <w:u w:val="single"/>
              </w:rPr>
              <w:t>NFX ERCOT South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323D</w:t>
            </w:r>
          </w:p>
        </w:tc>
        <w:tc>
          <w:tcPr>
            <w:tcW w:w="7272" w:type="dxa"/>
          </w:tcPr>
          <w:p w:rsidR="00C10F42" w:rsidRPr="00025F0B" w:rsidRDefault="00C10F42" w:rsidP="00C10F42">
            <w:pPr>
              <w:rPr>
                <w:sz w:val="24"/>
                <w:u w:val="single"/>
              </w:rPr>
            </w:pPr>
            <w:r w:rsidRPr="00025F0B">
              <w:rPr>
                <w:sz w:val="24"/>
                <w:u w:val="single"/>
              </w:rPr>
              <w:t>NFX ERCOT South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323E</w:t>
            </w:r>
          </w:p>
        </w:tc>
        <w:tc>
          <w:tcPr>
            <w:tcW w:w="7272" w:type="dxa"/>
          </w:tcPr>
          <w:p w:rsidR="00C10F42" w:rsidRPr="00025F0B" w:rsidRDefault="00C10F42" w:rsidP="00C10F42">
            <w:pPr>
              <w:rPr>
                <w:sz w:val="24"/>
                <w:u w:val="single"/>
              </w:rPr>
            </w:pPr>
            <w:r w:rsidRPr="00025F0B">
              <w:rPr>
                <w:sz w:val="24"/>
                <w:u w:val="single"/>
              </w:rPr>
              <w:t>NFX ERCOT South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323F</w:t>
            </w:r>
          </w:p>
        </w:tc>
        <w:tc>
          <w:tcPr>
            <w:tcW w:w="7272" w:type="dxa"/>
          </w:tcPr>
          <w:p w:rsidR="00C10F42" w:rsidRPr="00025F0B" w:rsidRDefault="00C10F42" w:rsidP="00C10F42">
            <w:pPr>
              <w:rPr>
                <w:sz w:val="24"/>
                <w:u w:val="single"/>
              </w:rPr>
            </w:pPr>
            <w:r w:rsidRPr="00025F0B">
              <w:rPr>
                <w:sz w:val="24"/>
                <w:u w:val="single"/>
              </w:rPr>
              <w:t>NFX ERCOT South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323G</w:t>
            </w:r>
          </w:p>
        </w:tc>
        <w:tc>
          <w:tcPr>
            <w:tcW w:w="7272" w:type="dxa"/>
          </w:tcPr>
          <w:p w:rsidR="00C10F42" w:rsidRPr="00025F0B" w:rsidRDefault="00C10F42" w:rsidP="00C10F42">
            <w:pPr>
              <w:rPr>
                <w:sz w:val="24"/>
                <w:u w:val="single"/>
              </w:rPr>
            </w:pPr>
            <w:r w:rsidRPr="00025F0B">
              <w:rPr>
                <w:sz w:val="24"/>
                <w:u w:val="single"/>
              </w:rPr>
              <w:t>NFX ERCOT South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323H</w:t>
            </w:r>
          </w:p>
        </w:tc>
        <w:tc>
          <w:tcPr>
            <w:tcW w:w="7272" w:type="dxa"/>
          </w:tcPr>
          <w:p w:rsidR="00C10F42" w:rsidRPr="00025F0B" w:rsidRDefault="00C10F42" w:rsidP="00C10F42">
            <w:pPr>
              <w:rPr>
                <w:sz w:val="24"/>
                <w:u w:val="single"/>
              </w:rPr>
            </w:pPr>
            <w:r w:rsidRPr="00025F0B">
              <w:rPr>
                <w:sz w:val="24"/>
                <w:u w:val="single"/>
              </w:rPr>
              <w:t>NFX ERCOT South 345KV Hub Real-Time Off-Peak Mini 7X8 Financial Futures - 1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324C</w:t>
            </w:r>
          </w:p>
        </w:tc>
        <w:tc>
          <w:tcPr>
            <w:tcW w:w="7272" w:type="dxa"/>
          </w:tcPr>
          <w:p w:rsidR="00C10F42" w:rsidRPr="00025F0B" w:rsidRDefault="00C10F42" w:rsidP="00C10F42">
            <w:pPr>
              <w:rPr>
                <w:sz w:val="24"/>
                <w:u w:val="single"/>
              </w:rPr>
            </w:pPr>
            <w:r w:rsidRPr="00025F0B">
              <w:rPr>
                <w:sz w:val="24"/>
                <w:u w:val="single"/>
              </w:rPr>
              <w:t>NFX ERCOT West 345KV Hub Real-Time Off-Peak Weekend 2x16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324D</w:t>
            </w:r>
          </w:p>
        </w:tc>
        <w:tc>
          <w:tcPr>
            <w:tcW w:w="7272" w:type="dxa"/>
          </w:tcPr>
          <w:p w:rsidR="00C10F42" w:rsidRPr="00025F0B" w:rsidRDefault="00C10F42" w:rsidP="00C10F42">
            <w:pPr>
              <w:rPr>
                <w:sz w:val="24"/>
                <w:u w:val="single"/>
              </w:rPr>
            </w:pPr>
            <w:r w:rsidRPr="00025F0B">
              <w:rPr>
                <w:sz w:val="24"/>
                <w:u w:val="single"/>
              </w:rPr>
              <w:t>NFX ERCOT West 345KV Hub Real-Time Off-Peak Mini Weekend 2x16 Financial Futures - 80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324E</w:t>
            </w:r>
          </w:p>
        </w:tc>
        <w:tc>
          <w:tcPr>
            <w:tcW w:w="7272" w:type="dxa"/>
          </w:tcPr>
          <w:p w:rsidR="00C10F42" w:rsidRPr="00025F0B" w:rsidRDefault="00C10F42" w:rsidP="00C10F42">
            <w:pPr>
              <w:rPr>
                <w:sz w:val="24"/>
                <w:u w:val="single"/>
              </w:rPr>
            </w:pPr>
            <w:r w:rsidRPr="00025F0B">
              <w:rPr>
                <w:sz w:val="24"/>
                <w:u w:val="single"/>
              </w:rPr>
              <w:t>NFX ERCOT West 345KV Hub Real-Time Off-Peak Mini Weekend 2x16 Financial Futures - 16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lastRenderedPageBreak/>
              <w:t>324F</w:t>
            </w:r>
          </w:p>
        </w:tc>
        <w:tc>
          <w:tcPr>
            <w:tcW w:w="7272" w:type="dxa"/>
          </w:tcPr>
          <w:p w:rsidR="00C10F42" w:rsidRPr="00025F0B" w:rsidRDefault="00C10F42" w:rsidP="00C10F42">
            <w:pPr>
              <w:rPr>
                <w:sz w:val="24"/>
                <w:u w:val="single"/>
              </w:rPr>
            </w:pPr>
            <w:r w:rsidRPr="00025F0B">
              <w:rPr>
                <w:sz w:val="24"/>
                <w:u w:val="single"/>
              </w:rPr>
              <w:t>NFX ERCOT West 345KV Hub Real-Time Off-Peak 7X8 Financial Futures</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324G</w:t>
            </w:r>
          </w:p>
        </w:tc>
        <w:tc>
          <w:tcPr>
            <w:tcW w:w="7272" w:type="dxa"/>
          </w:tcPr>
          <w:p w:rsidR="00C10F42" w:rsidRPr="00025F0B" w:rsidRDefault="00C10F42" w:rsidP="00C10F42">
            <w:pPr>
              <w:rPr>
                <w:sz w:val="24"/>
                <w:u w:val="single"/>
              </w:rPr>
            </w:pPr>
            <w:r w:rsidRPr="00025F0B">
              <w:rPr>
                <w:sz w:val="24"/>
                <w:u w:val="single"/>
              </w:rPr>
              <w:t>NFX ERCOT West 345KV Hub Real-Time Off-Peak Mini 7X8 Financial Futures - 5 MWh</w:t>
            </w:r>
          </w:p>
        </w:tc>
      </w:tr>
      <w:tr w:rsidR="00C10F42" w:rsidRPr="0065736C" w:rsidTr="00EA0C8B">
        <w:tc>
          <w:tcPr>
            <w:tcW w:w="2150" w:type="dxa"/>
          </w:tcPr>
          <w:p w:rsidR="00C10F42" w:rsidRPr="00025F0B" w:rsidRDefault="00C10F42" w:rsidP="00C10F42">
            <w:pPr>
              <w:rPr>
                <w:sz w:val="24"/>
                <w:u w:val="single"/>
              </w:rPr>
            </w:pPr>
            <w:r w:rsidRPr="00025F0B">
              <w:rPr>
                <w:sz w:val="24"/>
                <w:u w:val="single"/>
              </w:rPr>
              <w:t>324H</w:t>
            </w:r>
          </w:p>
        </w:tc>
        <w:tc>
          <w:tcPr>
            <w:tcW w:w="7272" w:type="dxa"/>
          </w:tcPr>
          <w:p w:rsidR="00C10F42" w:rsidRPr="00025F0B" w:rsidRDefault="00C10F42" w:rsidP="00C10F42">
            <w:pPr>
              <w:rPr>
                <w:sz w:val="24"/>
                <w:u w:val="single"/>
              </w:rPr>
            </w:pPr>
            <w:r w:rsidRPr="00025F0B">
              <w:rPr>
                <w:sz w:val="24"/>
                <w:u w:val="single"/>
              </w:rPr>
              <w:t>NFX ERCOT West 345KV Hub Real-Time Off-Peak Mini 7X8 Financial Futures - 1 MWh</w:t>
            </w:r>
          </w:p>
        </w:tc>
      </w:tr>
      <w:tr w:rsidR="00C10F42" w:rsidRPr="0065736C" w:rsidTr="00EA0C8B">
        <w:tc>
          <w:tcPr>
            <w:tcW w:w="2150" w:type="dxa"/>
          </w:tcPr>
          <w:p w:rsidR="00C10F42" w:rsidRPr="002807E3" w:rsidRDefault="00C10F42" w:rsidP="00EA0C8B">
            <w:pPr>
              <w:spacing w:line="240" w:lineRule="auto"/>
              <w:jc w:val="both"/>
              <w:rPr>
                <w:sz w:val="24"/>
                <w:szCs w:val="24"/>
              </w:rPr>
            </w:pPr>
          </w:p>
        </w:tc>
        <w:tc>
          <w:tcPr>
            <w:tcW w:w="7272" w:type="dxa"/>
          </w:tcPr>
          <w:p w:rsidR="00C10F42" w:rsidRPr="0065736C" w:rsidRDefault="00C10F42" w:rsidP="00EA0C8B">
            <w:pPr>
              <w:spacing w:line="240" w:lineRule="auto"/>
              <w:jc w:val="both"/>
              <w:rPr>
                <w:b/>
                <w:sz w:val="24"/>
                <w:szCs w:val="24"/>
              </w:rPr>
            </w:pPr>
          </w:p>
        </w:tc>
      </w:tr>
      <w:tr w:rsidR="00C10F42" w:rsidRPr="0065736C" w:rsidTr="00EA0C8B">
        <w:tc>
          <w:tcPr>
            <w:tcW w:w="2150" w:type="dxa"/>
          </w:tcPr>
          <w:p w:rsidR="00C10F42" w:rsidRPr="002807E3" w:rsidRDefault="00C10F42" w:rsidP="00EA0C8B">
            <w:pPr>
              <w:spacing w:line="240" w:lineRule="auto"/>
              <w:jc w:val="both"/>
              <w:rPr>
                <w:sz w:val="24"/>
                <w:szCs w:val="24"/>
                <w:u w:val="single"/>
              </w:rPr>
            </w:pPr>
          </w:p>
        </w:tc>
        <w:tc>
          <w:tcPr>
            <w:tcW w:w="7272" w:type="dxa"/>
          </w:tcPr>
          <w:p w:rsidR="00C10F42" w:rsidRPr="008B74E5" w:rsidRDefault="00C10F42" w:rsidP="00EA0C8B">
            <w:pPr>
              <w:spacing w:after="0" w:line="240" w:lineRule="auto"/>
              <w:rPr>
                <w:rFonts w:eastAsia="Calibri"/>
                <w:b/>
                <w:sz w:val="24"/>
                <w:szCs w:val="24"/>
              </w:rPr>
            </w:pPr>
            <w:r w:rsidRPr="008B74E5">
              <w:rPr>
                <w:rFonts w:eastAsia="Calibri"/>
                <w:b/>
                <w:sz w:val="24"/>
                <w:szCs w:val="24"/>
              </w:rPr>
              <w:t>PETROCHEMICALS PRODUCTS</w:t>
            </w:r>
            <w:r w:rsidRPr="0065736C">
              <w:rPr>
                <w:b/>
                <w:sz w:val="24"/>
                <w:szCs w:val="24"/>
              </w:rPr>
              <w:t>– No Change</w:t>
            </w:r>
            <w:r>
              <w:rPr>
                <w:b/>
                <w:sz w:val="24"/>
                <w:szCs w:val="24"/>
              </w:rPr>
              <w:t xml:space="preserve"> </w:t>
            </w:r>
          </w:p>
        </w:tc>
      </w:tr>
      <w:tr w:rsidR="009D18FC" w:rsidRPr="0065736C" w:rsidTr="00EA0C8B">
        <w:tc>
          <w:tcPr>
            <w:tcW w:w="2150" w:type="dxa"/>
          </w:tcPr>
          <w:p w:rsidR="009D18FC" w:rsidRPr="002807E3" w:rsidRDefault="009D18FC" w:rsidP="00EA0C8B">
            <w:pPr>
              <w:spacing w:line="240" w:lineRule="auto"/>
              <w:jc w:val="both"/>
              <w:rPr>
                <w:sz w:val="24"/>
                <w:szCs w:val="24"/>
                <w:u w:val="single"/>
              </w:rPr>
            </w:pPr>
          </w:p>
        </w:tc>
        <w:tc>
          <w:tcPr>
            <w:tcW w:w="7272" w:type="dxa"/>
          </w:tcPr>
          <w:p w:rsidR="009D18FC" w:rsidRPr="008B74E5" w:rsidRDefault="009D18FC" w:rsidP="00EA0C8B">
            <w:pPr>
              <w:spacing w:after="0" w:line="240" w:lineRule="auto"/>
              <w:rPr>
                <w:rFonts w:eastAsia="Calibri"/>
                <w:b/>
                <w:sz w:val="24"/>
                <w:szCs w:val="24"/>
              </w:rPr>
            </w:pPr>
          </w:p>
        </w:tc>
      </w:tr>
      <w:tr w:rsidR="009D18FC" w:rsidRPr="0065736C" w:rsidTr="00EA0C8B">
        <w:tc>
          <w:tcPr>
            <w:tcW w:w="2150" w:type="dxa"/>
          </w:tcPr>
          <w:p w:rsidR="009D18FC" w:rsidRPr="002807E3" w:rsidRDefault="009D18FC" w:rsidP="00EA0C8B">
            <w:pPr>
              <w:spacing w:line="240" w:lineRule="auto"/>
              <w:jc w:val="both"/>
              <w:rPr>
                <w:sz w:val="24"/>
                <w:szCs w:val="24"/>
                <w:u w:val="single"/>
              </w:rPr>
            </w:pPr>
          </w:p>
        </w:tc>
        <w:tc>
          <w:tcPr>
            <w:tcW w:w="7272" w:type="dxa"/>
          </w:tcPr>
          <w:p w:rsidR="009D18FC" w:rsidRPr="008B74E5" w:rsidRDefault="009D18FC" w:rsidP="00EA0C8B">
            <w:pPr>
              <w:spacing w:after="0" w:line="240" w:lineRule="auto"/>
              <w:rPr>
                <w:rFonts w:eastAsia="Calibri"/>
                <w:b/>
                <w:sz w:val="24"/>
                <w:szCs w:val="24"/>
              </w:rPr>
            </w:pPr>
            <w:r w:rsidRPr="009D18FC">
              <w:rPr>
                <w:rFonts w:eastAsia="Calibri"/>
                <w:b/>
                <w:sz w:val="24"/>
                <w:szCs w:val="24"/>
              </w:rPr>
              <w:t>FERROUS METALS</w:t>
            </w:r>
            <w:r>
              <w:rPr>
                <w:rFonts w:eastAsia="Calibri"/>
                <w:b/>
                <w:sz w:val="24"/>
                <w:szCs w:val="24"/>
              </w:rPr>
              <w:t xml:space="preserve"> – No Change</w:t>
            </w:r>
          </w:p>
        </w:tc>
      </w:tr>
    </w:tbl>
    <w:p w:rsidR="00710CB8" w:rsidRPr="0065736C" w:rsidRDefault="00710CB8" w:rsidP="00710CB8">
      <w:pPr>
        <w:spacing w:line="240" w:lineRule="auto"/>
        <w:rPr>
          <w:rFonts w:ascii="Times New Roman" w:hAnsi="Times New Roman" w:cs="Times New Roman"/>
          <w:sz w:val="24"/>
          <w:szCs w:val="24"/>
        </w:rPr>
      </w:pPr>
    </w:p>
    <w:p w:rsidR="00710CB8" w:rsidRPr="0065736C" w:rsidRDefault="00710CB8" w:rsidP="00EA0C8B">
      <w:pPr>
        <w:spacing w:line="240" w:lineRule="auto"/>
        <w:rPr>
          <w:rFonts w:ascii="Times New Roman" w:hAnsi="Times New Roman" w:cs="Times New Roman"/>
          <w:sz w:val="24"/>
          <w:szCs w:val="24"/>
        </w:rPr>
      </w:pPr>
      <w:r w:rsidRPr="0065736C">
        <w:rPr>
          <w:rFonts w:ascii="Times New Roman" w:hAnsi="Times New Roman" w:cs="Times New Roman"/>
          <w:sz w:val="24"/>
          <w:szCs w:val="24"/>
        </w:rPr>
        <w:t>*****</w:t>
      </w: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t>321C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XPCQ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7E1D8C" w:rsidRDefault="008F199B" w:rsidP="008F199B">
      <w:pPr>
        <w:keepNext/>
        <w:spacing w:line="240" w:lineRule="auto"/>
        <w:rPr>
          <w:rFonts w:ascii="Times New Roman" w:hAnsi="Times New Roman" w:cs="Times New Roman"/>
          <w:b/>
          <w:sz w:val="24"/>
          <w:szCs w:val="24"/>
          <w:u w:val="single"/>
        </w:rPr>
      </w:pPr>
      <w:r w:rsidRPr="007E1D8C">
        <w:rPr>
          <w:rFonts w:ascii="Times New Roman" w:hAnsi="Times New Roman" w:cs="Times New Roman"/>
          <w:b/>
          <w:noProof/>
          <w:sz w:val="24"/>
          <w:szCs w:val="24"/>
          <w:u w:val="single"/>
        </w:rPr>
        <w:t>321C</w:t>
      </w:r>
      <w:r w:rsidRPr="007E1D8C">
        <w:rPr>
          <w:rFonts w:ascii="Times New Roman" w:hAnsi="Times New Roman" w:cs="Times New Roman"/>
          <w:b/>
          <w:sz w:val="24"/>
          <w:szCs w:val="24"/>
          <w:u w:val="single"/>
        </w:rPr>
        <w:t>.03 Prices and Minimum Increments</w:t>
      </w:r>
    </w:p>
    <w:p w:rsidR="008F199B" w:rsidRPr="007E1D8C" w:rsidRDefault="008F199B" w:rsidP="008F199B">
      <w:pPr>
        <w:spacing w:line="240" w:lineRule="auto"/>
        <w:rPr>
          <w:rFonts w:ascii="Times New Roman" w:hAnsi="Times New Roman" w:cs="Times New Roman"/>
          <w:sz w:val="24"/>
          <w:szCs w:val="24"/>
          <w:u w:val="single"/>
        </w:rPr>
      </w:pPr>
      <w:r w:rsidRPr="007E1D8C">
        <w:rPr>
          <w:rFonts w:ascii="Times New Roman" w:hAnsi="Times New Roman" w:cs="Times New Roman"/>
          <w:sz w:val="24"/>
          <w:szCs w:val="24"/>
          <w:u w:val="single"/>
        </w:rPr>
        <w:t xml:space="preserve">Prices are quoted in U.S. dollars and cents per </w:t>
      </w:r>
      <w:r w:rsidRPr="007E1D8C">
        <w:rPr>
          <w:rFonts w:ascii="Times New Roman" w:hAnsi="Times New Roman" w:cs="Times New Roman"/>
          <w:noProof/>
          <w:sz w:val="24"/>
          <w:szCs w:val="24"/>
          <w:u w:val="single"/>
        </w:rPr>
        <w:t>MWh</w:t>
      </w:r>
      <w:r w:rsidRPr="007E1D8C">
        <w:rPr>
          <w:rFonts w:ascii="Times New Roman" w:hAnsi="Times New Roman" w:cs="Times New Roman"/>
          <w:sz w:val="24"/>
          <w:szCs w:val="24"/>
          <w:u w:val="single"/>
        </w:rPr>
        <w:t>. The minimum trading increment is $</w:t>
      </w:r>
      <w:r w:rsidRPr="007E1D8C">
        <w:rPr>
          <w:rFonts w:ascii="Times New Roman" w:hAnsi="Times New Roman" w:cs="Times New Roman"/>
          <w:noProof/>
          <w:sz w:val="24"/>
          <w:szCs w:val="24"/>
          <w:u w:val="single"/>
        </w:rPr>
        <w:t>0.01</w:t>
      </w:r>
      <w:r w:rsidRPr="007E1D8C">
        <w:rPr>
          <w:rFonts w:ascii="Times New Roman" w:hAnsi="Times New Roman" w:cs="Times New Roman"/>
          <w:sz w:val="24"/>
          <w:szCs w:val="24"/>
          <w:u w:val="single"/>
        </w:rPr>
        <w:t xml:space="preserve"> per </w:t>
      </w:r>
      <w:r w:rsidRPr="007E1D8C">
        <w:rPr>
          <w:rFonts w:ascii="Times New Roman" w:hAnsi="Times New Roman" w:cs="Times New Roman"/>
          <w:noProof/>
          <w:sz w:val="24"/>
          <w:szCs w:val="24"/>
          <w:u w:val="single"/>
        </w:rPr>
        <w:t>MWh</w:t>
      </w:r>
      <w:r w:rsidRPr="007E1D8C">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7E1D8C">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lastRenderedPageBreak/>
        <w:t>321C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AE4AB1">
        <w:rPr>
          <w:rStyle w:val="FootnoteReference"/>
          <w:rFonts w:ascii="Times New Roman" w:hAnsi="Times New Roman" w:cs="Times New Roman"/>
          <w:sz w:val="24"/>
          <w:szCs w:val="24"/>
          <w:u w:val="single"/>
        </w:rPr>
        <w:t xml:space="preserve"> </w:t>
      </w:r>
      <w:r w:rsidRPr="003E2D5A">
        <w:rPr>
          <w:rStyle w:val="FootnoteReference"/>
          <w:rFonts w:ascii="Times New Roman" w:hAnsi="Times New Roman" w:cs="Times New Roman"/>
          <w:sz w:val="24"/>
          <w:szCs w:val="24"/>
          <w:u w:val="single"/>
        </w:rPr>
        <w:footnoteReference w:id="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lastRenderedPageBreak/>
        <w:t>321C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XPIQ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XPMQ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XPBQ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3E2D5A">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5"/>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321H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North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North Hub as published by ERCOT.</w:t>
      </w:r>
      <w:r w:rsidRPr="003E2D5A">
        <w:rPr>
          <w:rStyle w:val="FootnoteReference"/>
          <w:rFonts w:ascii="Times New Roman" w:hAnsi="Times New Roman" w:cs="Times New Roman"/>
          <w:sz w:val="24"/>
          <w:szCs w:val="24"/>
          <w:u w:val="single"/>
        </w:rPr>
        <w:footnoteReference w:id="6"/>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321H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XPLQ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7"/>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XPHQ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8"/>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XPUQ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9"/>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XPKQ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0"/>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XPVQ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322H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Houston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XPNQ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Houston Hub as published by ERCOT.</w:t>
      </w:r>
      <w:r w:rsidRPr="003E2D5A">
        <w:rPr>
          <w:rStyle w:val="FootnoteReference"/>
          <w:rFonts w:ascii="Times New Roman" w:hAnsi="Times New Roman" w:cs="Times New Roman"/>
          <w:sz w:val="24"/>
          <w:szCs w:val="24"/>
          <w:u w:val="single"/>
        </w:rPr>
        <w:footnoteReference w:id="1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322H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YFSQ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YFIQ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YFNQ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5"/>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XOKQ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6"/>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XOVQ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7"/>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323H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South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XOEQ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South Hub as published by ERCOT.</w:t>
      </w:r>
      <w:r w:rsidRPr="003E2D5A">
        <w:rPr>
          <w:rStyle w:val="FootnoteReference"/>
          <w:rFonts w:ascii="Times New Roman" w:hAnsi="Times New Roman" w:cs="Times New Roman"/>
          <w:sz w:val="24"/>
          <w:szCs w:val="24"/>
          <w:u w:val="single"/>
        </w:rPr>
        <w:footnoteReference w:id="18"/>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323H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324C</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Weekend 2x16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YGYQ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Pr="007E1D8C">
        <w:rPr>
          <w:rStyle w:val="Strong"/>
          <w:rFonts w:ascii="Times New Roman" w:hAnsi="Times New Roman" w:cs="Times New Roman"/>
          <w:noProof/>
          <w:color w:val="000000"/>
          <w:sz w:val="24"/>
          <w:szCs w:val="24"/>
          <w:u w:val="single"/>
        </w:rPr>
        <w:t>$8.00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19"/>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324C</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324D</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Weekend 2x16 Financial Futures - 80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80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80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0"/>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324D</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324E</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Weekend 2x16 Financial Futures - 16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YGOQ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16</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16</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07:00-22:00 on Saturday, Sunday and NERC holidays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1"/>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324E</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324F</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7X8 Financial Futures</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YFTQ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50</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50</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2"/>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3E2D5A">
        <w:rPr>
          <w:rFonts w:ascii="Times New Roman" w:hAnsi="Times New Roman" w:cs="Times New Roman"/>
          <w:sz w:val="24"/>
          <w:szCs w:val="24"/>
          <w:u w:val="single"/>
        </w:rPr>
        <w:lastRenderedPageBreak/>
        <w:t>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324F</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324G</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7X8 Financial Futures - 5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YFFQ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5</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05</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3"/>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324G</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Default="008F199B" w:rsidP="008F199B">
      <w:pPr>
        <w:spacing w:line="240" w:lineRule="auto"/>
        <w:rPr>
          <w:rFonts w:ascii="Times New Roman" w:hAnsi="Times New Roman" w:cs="Times New Roman"/>
          <w:sz w:val="24"/>
          <w:szCs w:val="24"/>
          <w:u w:val="single"/>
        </w:rPr>
        <w:sectPr w:rsidR="008F199B" w:rsidSect="00EA0C8B">
          <w:footnotePr>
            <w:numRestart w:val="eachSect"/>
          </w:footnotePr>
          <w:pgSz w:w="12240" w:h="15840"/>
          <w:pgMar w:top="1440" w:right="1440" w:bottom="1440" w:left="1440" w:header="720" w:footer="720" w:gutter="0"/>
          <w:pgNumType w:start="1"/>
          <w:cols w:space="720"/>
          <w:docGrid w:linePitch="360"/>
        </w:sectPr>
      </w:pPr>
    </w:p>
    <w:p w:rsidR="008F199B" w:rsidRPr="003E2D5A" w:rsidRDefault="008F199B" w:rsidP="008F199B">
      <w:pPr>
        <w:keepNext/>
        <w:spacing w:line="240" w:lineRule="auto"/>
        <w:rPr>
          <w:rFonts w:ascii="Times New Roman" w:eastAsia="Times New Roman" w:hAnsi="Times New Roman" w:cs="Times New Roman"/>
          <w:b/>
          <w:color w:val="000000"/>
          <w:sz w:val="24"/>
          <w:szCs w:val="24"/>
          <w:u w:val="single"/>
        </w:rPr>
      </w:pPr>
      <w:r w:rsidRPr="007A4E85">
        <w:rPr>
          <w:rFonts w:ascii="Times New Roman" w:eastAsia="Times New Roman" w:hAnsi="Times New Roman" w:cs="Times New Roman"/>
          <w:b/>
          <w:bCs/>
          <w:noProof/>
          <w:sz w:val="24"/>
          <w:szCs w:val="24"/>
          <w:u w:val="single"/>
        </w:rPr>
        <w:lastRenderedPageBreak/>
        <w:t>324H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NFX ERCOT West 345KV Hub Real-Time Off-Peak Mini 7X8 Financial Futures - 1 MWh</w:t>
      </w:r>
      <w:r w:rsidRPr="003E2D5A">
        <w:rPr>
          <w:rFonts w:ascii="Times New Roman" w:eastAsia="Times New Roman" w:hAnsi="Times New Roman" w:cs="Times New Roman"/>
          <w:b/>
          <w:bCs/>
          <w:sz w:val="24"/>
          <w:szCs w:val="24"/>
          <w:u w:val="single"/>
        </w:rPr>
        <w:t xml:space="preserve"> (</w:t>
      </w:r>
      <w:r w:rsidRPr="007A4E85">
        <w:rPr>
          <w:rFonts w:ascii="Times New Roman" w:eastAsia="Times New Roman" w:hAnsi="Times New Roman" w:cs="Times New Roman"/>
          <w:b/>
          <w:bCs/>
          <w:noProof/>
          <w:sz w:val="24"/>
          <w:szCs w:val="24"/>
          <w:u w:val="single"/>
        </w:rPr>
        <w:t>YFOQ</w:t>
      </w:r>
      <w:r w:rsidRPr="003E2D5A">
        <w:rPr>
          <w:rFonts w:ascii="Times New Roman" w:eastAsia="Times New Roman" w:hAnsi="Times New Roman" w:cs="Times New Roman"/>
          <w:b/>
          <w:bCs/>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.01 Unit of Trading</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unit of trading for one contract is </w:t>
      </w:r>
      <w:r w:rsidRPr="007A4E85">
        <w:rPr>
          <w:rFonts w:ascii="Times New Roman" w:hAnsi="Times New Roman" w:cs="Times New Roman"/>
          <w:noProof/>
          <w:sz w:val="24"/>
          <w:szCs w:val="24"/>
          <w:u w:val="single"/>
        </w:rPr>
        <w:t>1</w:t>
      </w:r>
      <w:r w:rsidRPr="003E2D5A">
        <w:rPr>
          <w:rFonts w:ascii="Times New Roman" w:hAnsi="Times New Roman" w:cs="Times New Roman"/>
          <w:sz w:val="24"/>
          <w:szCs w:val="24"/>
          <w:u w:val="single"/>
        </w:rPr>
        <w:t xml:space="preserve">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.02 Contract Months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The Exchange may list for trading up to </w:t>
      </w:r>
      <w:r w:rsidRPr="007A4E85">
        <w:rPr>
          <w:rFonts w:ascii="Times New Roman" w:hAnsi="Times New Roman" w:cs="Times New Roman"/>
          <w:noProof/>
          <w:sz w:val="24"/>
          <w:szCs w:val="24"/>
          <w:u w:val="single"/>
        </w:rPr>
        <w:t>120</w:t>
      </w:r>
      <w:r w:rsidRPr="003E2D5A">
        <w:rPr>
          <w:rFonts w:ascii="Times New Roman" w:hAnsi="Times New Roman" w:cs="Times New Roman"/>
          <w:sz w:val="24"/>
          <w:szCs w:val="24"/>
          <w:u w:val="single"/>
        </w:rPr>
        <w:t xml:space="preserve"> consecutive or non-consecutive monthly contracts, beginning with the nearest available contract month.</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.03 Prices and Minimum Increments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Prices are quoted in U.S. dollars and cents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The minimum trading increment is $</w:t>
      </w:r>
      <w:r w:rsidRPr="007A4E85">
        <w:rPr>
          <w:rFonts w:ascii="Times New Roman" w:hAnsi="Times New Roman" w:cs="Times New Roman"/>
          <w:noProof/>
          <w:sz w:val="24"/>
          <w:szCs w:val="24"/>
          <w:u w:val="single"/>
        </w:rPr>
        <w:t>0.01</w:t>
      </w:r>
      <w:r w:rsidRPr="003E2D5A">
        <w:rPr>
          <w:rFonts w:ascii="Times New Roman" w:hAnsi="Times New Roman" w:cs="Times New Roman"/>
          <w:sz w:val="24"/>
          <w:szCs w:val="24"/>
          <w:u w:val="single"/>
        </w:rPr>
        <w:t xml:space="preserve"> per </w:t>
      </w:r>
      <w:r w:rsidRPr="007A4E85">
        <w:rPr>
          <w:rFonts w:ascii="Times New Roman" w:hAnsi="Times New Roman" w:cs="Times New Roman"/>
          <w:noProof/>
          <w:sz w:val="24"/>
          <w:szCs w:val="24"/>
          <w:u w:val="single"/>
        </w:rPr>
        <w:t>MWh</w:t>
      </w:r>
      <w:r w:rsidRPr="003E2D5A">
        <w:rPr>
          <w:rFonts w:ascii="Times New Roman" w:hAnsi="Times New Roman" w:cs="Times New Roman"/>
          <w:sz w:val="24"/>
          <w:szCs w:val="24"/>
          <w:u w:val="single"/>
        </w:rPr>
        <w:t xml:space="preserve"> which is equal to </w:t>
      </w:r>
      <w:r w:rsidR="007E1D8C" w:rsidRPr="007E1D8C">
        <w:rPr>
          <w:rStyle w:val="Strong"/>
          <w:rFonts w:ascii="Times New Roman" w:hAnsi="Times New Roman" w:cs="Times New Roman"/>
          <w:noProof/>
          <w:color w:val="000000"/>
          <w:sz w:val="24"/>
          <w:szCs w:val="24"/>
          <w:u w:val="single"/>
        </w:rPr>
        <w:t>$0.</w:t>
      </w:r>
      <w:r w:rsidRPr="007E1D8C">
        <w:rPr>
          <w:rStyle w:val="Strong"/>
          <w:rFonts w:ascii="Times New Roman" w:hAnsi="Times New Roman" w:cs="Times New Roman"/>
          <w:noProof/>
          <w:color w:val="000000"/>
          <w:sz w:val="24"/>
          <w:szCs w:val="24"/>
          <w:u w:val="single"/>
        </w:rPr>
        <w:t>01</w:t>
      </w:r>
      <w:r w:rsidRPr="003E2D5A">
        <w:rPr>
          <w:rFonts w:ascii="Times New Roman" w:hAnsi="Times New Roman" w:cs="Times New Roman"/>
          <w:sz w:val="24"/>
          <w:szCs w:val="24"/>
          <w:u w:val="single"/>
        </w:rPr>
        <w:t xml:space="preserve"> per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.04 Last Trading Day</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Trading for a particular contract month terminates on the last business day of the contract month. </w:t>
      </w:r>
      <w:r w:rsidRPr="003E2D5A">
        <w:rPr>
          <w:rFonts w:ascii="Times New Roman" w:hAnsi="Times New Roman" w:cs="Times New Roman"/>
          <w:sz w:val="24"/>
          <w:szCs w:val="24"/>
        </w:rPr>
        <w:t>Trading ceases at the end of the Open Session on the last trading day.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.05 Final Settlement Date</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.06 Final and Daily Settlement and Settlement Prices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(a) Final settlement for contracts held to their maturity date is by cash settlement in U.S. dollars.</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(b) Pursuant to Chapter V, Section III, the daily settlement price shall be set by exchange staff by 5:45 PM EPT or as soon as practicable thereafter based on third-party broker quotes and transactions as well as transactions executed on the Exchange.</w:t>
      </w:r>
    </w:p>
    <w:p w:rsidR="008F199B" w:rsidRPr="003E2D5A" w:rsidRDefault="008F199B" w:rsidP="008F199B">
      <w:pPr>
        <w:spacing w:after="0" w:line="240" w:lineRule="auto"/>
        <w:rPr>
          <w:rFonts w:ascii="Calibri" w:eastAsia="Times New Roman" w:hAnsi="Calibri" w:cs="Times New Roman"/>
          <w:color w:val="000000"/>
        </w:rPr>
      </w:pPr>
      <w:r w:rsidRPr="003E2D5A">
        <w:rPr>
          <w:rFonts w:ascii="Times New Roman" w:hAnsi="Times New Roman" w:cs="Times New Roman"/>
          <w:sz w:val="24"/>
          <w:szCs w:val="24"/>
          <w:u w:val="single"/>
        </w:rPr>
        <w:t xml:space="preserve">(c) </w:t>
      </w:r>
      <w:r w:rsidRPr="007A4E85">
        <w:rPr>
          <w:rFonts w:ascii="Times New Roman" w:hAnsi="Times New Roman" w:cs="Times New Roman"/>
          <w:noProof/>
          <w:sz w:val="24"/>
          <w:szCs w:val="24"/>
          <w:u w:val="single"/>
        </w:rPr>
        <w:t>Pursuant to Chapter V, Section III, the final settlement price will be equal to the arithmetic average of the applicable strip length referenced by the market for hours ending 01:00-06:00 and 23:00-24:00 on all seven days in the central (CPT) prevailing time zone of the Real-Time hourly Off-Peak SPPs for the West Hub as published by ERCOT.</w:t>
      </w:r>
      <w:r w:rsidRPr="003E2D5A">
        <w:rPr>
          <w:rStyle w:val="FootnoteReference"/>
          <w:rFonts w:ascii="Times New Roman" w:hAnsi="Times New Roman" w:cs="Times New Roman"/>
          <w:sz w:val="24"/>
          <w:szCs w:val="24"/>
          <w:u w:val="single"/>
        </w:rPr>
        <w:footnoteReference w:id="24"/>
      </w:r>
      <w:r w:rsidRPr="007A4E85">
        <w:rPr>
          <w:rFonts w:ascii="Times New Roman" w:hAnsi="Times New Roman" w:cs="Times New Roman"/>
          <w:noProof/>
          <w:sz w:val="24"/>
          <w:szCs w:val="24"/>
          <w:u w:val="single"/>
        </w:rPr>
        <w:t xml:space="preserve">  All ERCOT REAL-TIME hourly Off-Peak SPPs for the contract month will be considered final at 5:00 PM EPT on the fifth business day following the last trading day, and the final settlement price will not be adjusted in the event that ERCOT adjusts any SPPs at a later time for any reason.</w:t>
      </w:r>
      <w:r w:rsidRPr="003E2D5A">
        <w:rPr>
          <w:rFonts w:ascii="Times New Roman" w:hAnsi="Times New Roman" w:cs="Times New Roman"/>
          <w:sz w:val="24"/>
          <w:szCs w:val="24"/>
          <w:u w:val="single"/>
        </w:rPr>
        <w:t xml:space="preserve">  </w:t>
      </w:r>
    </w:p>
    <w:p w:rsidR="008F199B" w:rsidRPr="003E2D5A" w:rsidRDefault="008F199B" w:rsidP="008F199B">
      <w:pPr>
        <w:spacing w:after="0" w:line="240" w:lineRule="auto"/>
        <w:rPr>
          <w:rFonts w:ascii="Times New Roman" w:eastAsia="Times New Roman" w:hAnsi="Times New Roman" w:cs="Times New Roman"/>
          <w:color w:val="000000"/>
          <w:sz w:val="24"/>
          <w:szCs w:val="24"/>
          <w:u w:val="single"/>
        </w:rPr>
      </w:pP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(d) If the daily settlement price described in (b) above is unavailable the Exchange may in its sole discretion establish a daily settlement price that it deems to be a fair and reasonable </w:t>
      </w:r>
      <w:r w:rsidRPr="003E2D5A">
        <w:rPr>
          <w:rFonts w:ascii="Times New Roman" w:hAnsi="Times New Roman" w:cs="Times New Roman"/>
          <w:sz w:val="24"/>
          <w:szCs w:val="24"/>
          <w:u w:val="single"/>
        </w:rPr>
        <w:lastRenderedPageBreak/>
        <w:t>reflection of the market.  If the final settlement price is not available or the normal settlement procedure cannot be utilized due to a trading disruption or other unusual circumstance, the final settlement price will be determined in accordance with the Rules and By-Laws of the Clearing Corporation.</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.07 Trading Algorithm</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5, the trading system shall execute orders within the trading system pursuant to the price-time priority execution algorithm.</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.08 Block Trade Minimum Quantity Threshold and Reporting Window</w:t>
      </w:r>
    </w:p>
    <w:p w:rsidR="008F199B" w:rsidRPr="003E2D5A" w:rsidRDefault="008F199B" w:rsidP="008F199B">
      <w:pPr>
        <w:autoSpaceDE w:val="0"/>
        <w:autoSpaceDN w:val="0"/>
        <w:rPr>
          <w:rFonts w:ascii="Times New Roman" w:hAnsi="Times New Roman" w:cs="Times New Roman"/>
          <w:sz w:val="24"/>
          <w:szCs w:val="24"/>
        </w:rPr>
      </w:pPr>
      <w:r w:rsidRPr="003E2D5A">
        <w:rPr>
          <w:rFonts w:ascii="Times New Roman" w:hAnsi="Times New Roman" w:cs="Times New Roman"/>
          <w:sz w:val="24"/>
          <w:szCs w:val="24"/>
        </w:rPr>
        <w:t xml:space="preserve">Pursuant to Chapter IV, Section 10, block trades shall be permitted with a minimum quantity threshold of 10 contracts and the Reporting Window shall be fifteen minutes.  </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.09 Order Price Limit Protection</w:t>
      </w:r>
    </w:p>
    <w:p w:rsidR="008F199B" w:rsidRPr="003E2D5A"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Pursuant to Chapter IV, Section 8, the Order Price Limits shall be $2.00 above and $2.00 below the Reference Price as defined in Chapter IV, Section 8.</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.10 Non-Reviewable Range</w:t>
      </w:r>
    </w:p>
    <w:p w:rsidR="008F199B" w:rsidRPr="003E2D5A" w:rsidRDefault="008F199B" w:rsidP="008F199B">
      <w:pPr>
        <w:spacing w:line="240" w:lineRule="auto"/>
        <w:rPr>
          <w:rFonts w:ascii="Times New Roman" w:hAnsi="Times New Roman" w:cs="Times New Roman"/>
          <w:sz w:val="24"/>
          <w:szCs w:val="24"/>
        </w:rPr>
      </w:pPr>
      <w:r w:rsidRPr="003E2D5A">
        <w:rPr>
          <w:rFonts w:ascii="Times New Roman" w:hAnsi="Times New Roman" w:cs="Times New Roman"/>
          <w:sz w:val="24"/>
          <w:szCs w:val="24"/>
        </w:rPr>
        <w:t>For purposes of Chapter V, Section 5, the non-reviewable range shall be from $2.00 above to $2.00 below the true market price for the Contract as set forth in the Exchange's Error Trade Policy.</w:t>
      </w:r>
    </w:p>
    <w:p w:rsidR="008F199B" w:rsidRPr="003E2D5A" w:rsidRDefault="008F199B" w:rsidP="008F199B">
      <w:pPr>
        <w:keepNext/>
        <w:spacing w:line="240" w:lineRule="auto"/>
        <w:rPr>
          <w:rFonts w:ascii="Times New Roman" w:hAnsi="Times New Roman" w:cs="Times New Roman"/>
          <w:b/>
          <w:sz w:val="24"/>
          <w:szCs w:val="24"/>
          <w:u w:val="single"/>
        </w:rPr>
      </w:pPr>
      <w:r w:rsidRPr="007A4E85">
        <w:rPr>
          <w:rFonts w:ascii="Times New Roman" w:hAnsi="Times New Roman" w:cs="Times New Roman"/>
          <w:b/>
          <w:noProof/>
          <w:sz w:val="24"/>
          <w:szCs w:val="24"/>
          <w:u w:val="single"/>
        </w:rPr>
        <w:t>324H</w:t>
      </w:r>
      <w:r w:rsidRPr="003E2D5A">
        <w:rPr>
          <w:rFonts w:ascii="Times New Roman" w:hAnsi="Times New Roman" w:cs="Times New Roman"/>
          <w:b/>
          <w:sz w:val="24"/>
          <w:szCs w:val="24"/>
          <w:u w:val="single"/>
        </w:rPr>
        <w:t>.11 Disclaimer</w:t>
      </w:r>
    </w:p>
    <w:p w:rsidR="008F199B" w:rsidRPr="00EA4F65" w:rsidRDefault="008F199B" w:rsidP="008F199B">
      <w:pPr>
        <w:spacing w:line="240" w:lineRule="auto"/>
        <w:rPr>
          <w:rFonts w:ascii="Times New Roman" w:hAnsi="Times New Roman" w:cs="Times New Roman"/>
          <w:sz w:val="24"/>
          <w:szCs w:val="24"/>
          <w:u w:val="single"/>
        </w:rPr>
      </w:pPr>
      <w:r w:rsidRPr="003E2D5A">
        <w:rPr>
          <w:rFonts w:ascii="Times New Roman" w:hAnsi="Times New Roman" w:cs="Times New Roman"/>
          <w:sz w:val="24"/>
          <w:szCs w:val="24"/>
          <w:u w:val="single"/>
        </w:rPr>
        <w:t xml:space="preserve">NEITHER NASDAQ FUTURES, INC. ("NFX"), ITS AFFILIATES NOR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OR ITS AFFILIATES GUARANTEES THE ACCURACY NOR COMPLETENESS OF THE PRICE ASSESSMENT OR ANY OF THE DATA INCLUDED THEREIN.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7A4E85">
        <w:rPr>
          <w:rFonts w:ascii="Times New Roman" w:hAnsi="Times New Roman" w:cs="Times New Roman"/>
          <w:noProof/>
          <w:sz w:val="24"/>
          <w:szCs w:val="24"/>
          <w:u w:val="single"/>
        </w:rPr>
        <w:t>ERCOT</w:t>
      </w:r>
      <w:r w:rsidRPr="003E2D5A">
        <w:rPr>
          <w:rFonts w:ascii="Times New Roman" w:hAnsi="Times New Roman" w:cs="Times New Roman"/>
          <w:sz w:val="24"/>
          <w:szCs w:val="24"/>
          <w:u w:val="single"/>
        </w:rPr>
        <w:t xml:space="preserve"> HAVE ANY LIABILITY FOR ANY LOST PROFITS OR INDIRECT, PUNITIVE, SPECIAL OR CONSEQUENTIAL DAMAGES (INCLUDING LOST PROFITS), EVEN IF NOTIFIED OF THE POSSIBILITY OF SUCH DAMAGES.</w:t>
      </w:r>
    </w:p>
    <w:p w:rsidR="008F199B" w:rsidRPr="00EA4F65" w:rsidRDefault="008F199B" w:rsidP="008F199B">
      <w:pPr>
        <w:spacing w:line="240" w:lineRule="auto"/>
        <w:rPr>
          <w:rFonts w:ascii="Times New Roman" w:hAnsi="Times New Roman" w:cs="Times New Roman"/>
          <w:sz w:val="24"/>
          <w:szCs w:val="24"/>
          <w:u w:val="single"/>
        </w:rPr>
      </w:pPr>
    </w:p>
    <w:sectPr w:rsidR="008F199B" w:rsidRPr="00EA4F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F79" w:rsidRDefault="00D50F79" w:rsidP="008F199B">
      <w:pPr>
        <w:spacing w:after="0" w:line="240" w:lineRule="auto"/>
      </w:pPr>
      <w:r>
        <w:separator/>
      </w:r>
    </w:p>
  </w:endnote>
  <w:endnote w:type="continuationSeparator" w:id="0">
    <w:p w:rsidR="00D50F79" w:rsidRDefault="00D50F79" w:rsidP="008F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F79" w:rsidRDefault="00D50F79" w:rsidP="008F199B">
      <w:pPr>
        <w:spacing w:after="0" w:line="240" w:lineRule="auto"/>
      </w:pPr>
      <w:r>
        <w:separator/>
      </w:r>
    </w:p>
  </w:footnote>
  <w:footnote w:type="continuationSeparator" w:id="0">
    <w:p w:rsidR="00D50F79" w:rsidRDefault="00D50F79" w:rsidP="008F199B">
      <w:pPr>
        <w:spacing w:after="0" w:line="240" w:lineRule="auto"/>
      </w:pPr>
      <w:r>
        <w:continuationSeparator/>
      </w:r>
    </w:p>
  </w:footnote>
  <w:footnote w:id="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ofFebruary 7, 2018 ERCOT published the SPPs at http://www.ercot.com/content/cdr/html/real_time_spp. The webpage where the information is available could change.</w:t>
      </w:r>
    </w:p>
  </w:footnote>
  <w:footnote w:id="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w:t>
      </w:r>
      <w:r w:rsidR="00267562" w:rsidRPr="00267562">
        <w:rPr>
          <w:rFonts w:ascii="Times New Roman" w:hAnsi="Times New Roman" w:cs="Times New Roman"/>
          <w:noProof/>
        </w:rPr>
        <w:t xml:space="preserve"> </w:t>
      </w:r>
      <w:r w:rsidRPr="00267562">
        <w:rPr>
          <w:rFonts w:ascii="Times New Roman" w:hAnsi="Times New Roman" w:cs="Times New Roman"/>
          <w:noProof/>
        </w:rPr>
        <w:t>February 7, 2018 ERCOT published the SPPs at http://www.ercot.com/content/cdr/html/real_time_spp. The webpage where the information is available could change.</w:t>
      </w:r>
    </w:p>
  </w:footnote>
  <w:footnote w:id="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As of</w:t>
      </w:r>
      <w:r w:rsidR="00267562" w:rsidRPr="00267562">
        <w:rPr>
          <w:rFonts w:ascii="Times New Roman" w:hAnsi="Times New Roman" w:cs="Times New Roman"/>
          <w:noProof/>
        </w:rPr>
        <w:t xml:space="preserve">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5">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6">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7">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bookmarkStart w:id="2" w:name="_GoBack"/>
      <w:bookmarkEnd w:id="2"/>
    </w:p>
  </w:footnote>
  <w:footnote w:id="8">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9">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AB01D7"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0">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5">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6">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E70F4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7">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8">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19">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0">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1">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2">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3">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 w:id="24">
    <w:p w:rsidR="00F77313" w:rsidRPr="00267562" w:rsidRDefault="00F77313" w:rsidP="008F199B">
      <w:pPr>
        <w:pStyle w:val="FootnoteText"/>
        <w:ind w:left="720" w:hanging="720"/>
        <w:rPr>
          <w:rFonts w:ascii="Times New Roman" w:hAnsi="Times New Roman" w:cs="Times New Roman"/>
        </w:rPr>
      </w:pPr>
      <w:r w:rsidRPr="00267562">
        <w:rPr>
          <w:rStyle w:val="FootnoteReference"/>
          <w:rFonts w:ascii="Times New Roman" w:hAnsi="Times New Roman" w:cs="Times New Roman"/>
        </w:rPr>
        <w:footnoteRef/>
      </w:r>
      <w:r w:rsidRPr="00267562">
        <w:rPr>
          <w:rFonts w:ascii="Times New Roman" w:hAnsi="Times New Roman" w:cs="Times New Roman"/>
        </w:rPr>
        <w:t xml:space="preserve"> </w:t>
      </w:r>
      <w:r w:rsidRPr="00267562">
        <w:rPr>
          <w:rFonts w:ascii="Times New Roman" w:hAnsi="Times New Roman" w:cs="Times New Roman"/>
        </w:rPr>
        <w:tab/>
      </w:r>
      <w:r w:rsidRPr="00267562">
        <w:rPr>
          <w:rFonts w:ascii="Times New Roman" w:hAnsi="Times New Roman" w:cs="Times New Roman"/>
          <w:noProof/>
        </w:rPr>
        <w:t xml:space="preserve">As of </w:t>
      </w:r>
      <w:r w:rsidR="009804A6" w:rsidRPr="00267562">
        <w:rPr>
          <w:rFonts w:ascii="Times New Roman" w:hAnsi="Times New Roman" w:cs="Times New Roman"/>
          <w:noProof/>
        </w:rPr>
        <w:t>February 7</w:t>
      </w:r>
      <w:r w:rsidRPr="00267562">
        <w:rPr>
          <w:rFonts w:ascii="Times New Roman" w:hAnsi="Times New Roman" w:cs="Times New Roman"/>
          <w:noProof/>
        </w:rPr>
        <w:t>, 2018 ERCOT published the SPPs at http://www.ercot.com/content/cdr/html/real_time_spp. The webpage where the information is available could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075C0A0F"/>
    <w:multiLevelType w:val="hybridMultilevel"/>
    <w:tmpl w:val="1418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4"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4E5E2F0C"/>
    <w:multiLevelType w:val="hybridMultilevel"/>
    <w:tmpl w:val="2E00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2"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4"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3"/>
  </w:num>
  <w:num w:numId="5">
    <w:abstractNumId w:val="16"/>
  </w:num>
  <w:num w:numId="6">
    <w:abstractNumId w:val="15"/>
  </w:num>
  <w:num w:numId="7">
    <w:abstractNumId w:val="14"/>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20"/>
  </w:num>
  <w:num w:numId="19">
    <w:abstractNumId w:val="22"/>
  </w:num>
  <w:num w:numId="20">
    <w:abstractNumId w:val="1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9"/>
  </w:num>
  <w:num w:numId="24">
    <w:abstractNumId w:val="12"/>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B8"/>
    <w:rsid w:val="0001013A"/>
    <w:rsid w:val="000E4B6E"/>
    <w:rsid w:val="00267562"/>
    <w:rsid w:val="00710CB8"/>
    <w:rsid w:val="007E1D8C"/>
    <w:rsid w:val="008F199B"/>
    <w:rsid w:val="009804A6"/>
    <w:rsid w:val="009D18FC"/>
    <w:rsid w:val="00AB01D7"/>
    <w:rsid w:val="00B26CDC"/>
    <w:rsid w:val="00C10F42"/>
    <w:rsid w:val="00D50F79"/>
    <w:rsid w:val="00E70F46"/>
    <w:rsid w:val="00EA0C8B"/>
    <w:rsid w:val="00EA3E64"/>
    <w:rsid w:val="00F01271"/>
    <w:rsid w:val="00F7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A3C56-3130-4A22-88BB-A894637A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CB8"/>
    <w:pPr>
      <w:spacing w:after="200" w:line="276" w:lineRule="auto"/>
    </w:pPr>
  </w:style>
  <w:style w:type="paragraph" w:styleId="Heading1">
    <w:name w:val="heading 1"/>
    <w:basedOn w:val="Normal"/>
    <w:next w:val="BodyText"/>
    <w:link w:val="Heading1Char"/>
    <w:qFormat/>
    <w:rsid w:val="008F199B"/>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8F199B"/>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8F199B"/>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8F199B"/>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8F199B"/>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C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F199B"/>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8F199B"/>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8F199B"/>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8F199B"/>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8F199B"/>
    <w:rPr>
      <w:rFonts w:ascii="Verdana" w:eastAsia="Times New Roman" w:hAnsi="Verdana" w:cs="Times New Roman"/>
      <w:i/>
      <w:kern w:val="20"/>
      <w:sz w:val="16"/>
      <w:szCs w:val="20"/>
      <w:lang w:eastAsia="sv-SE"/>
    </w:rPr>
  </w:style>
  <w:style w:type="paragraph" w:customStyle="1" w:styleId="Noparagraphstyle">
    <w:name w:val="[No paragraph style]"/>
    <w:rsid w:val="008F199B"/>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8F199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8F199B"/>
    <w:rPr>
      <w:rFonts w:ascii="Arial Narrow" w:eastAsia="Times New Roman" w:hAnsi="Arial Narrow" w:cs="Times New Roman"/>
      <w:szCs w:val="20"/>
      <w:lang w:eastAsia="sv-SE"/>
    </w:rPr>
  </w:style>
  <w:style w:type="character" w:styleId="Hyperlink">
    <w:name w:val="Hyperlink"/>
    <w:basedOn w:val="DefaultParagraphFont"/>
    <w:uiPriority w:val="99"/>
    <w:rsid w:val="008F199B"/>
    <w:rPr>
      <w:color w:val="808080"/>
      <w:spacing w:val="0"/>
      <w:u w:val="single"/>
    </w:rPr>
  </w:style>
  <w:style w:type="paragraph" w:customStyle="1" w:styleId="ImageText">
    <w:name w:val="Image Text"/>
    <w:basedOn w:val="BodyText"/>
    <w:rsid w:val="008F199B"/>
    <w:pPr>
      <w:keepNext/>
      <w:spacing w:after="60" w:line="200" w:lineRule="exact"/>
    </w:pPr>
    <w:rPr>
      <w:rFonts w:ascii="Verdana" w:hAnsi="Verdana"/>
      <w:sz w:val="16"/>
    </w:rPr>
  </w:style>
  <w:style w:type="paragraph" w:styleId="Index1">
    <w:name w:val="index 1"/>
    <w:basedOn w:val="Normal"/>
    <w:next w:val="Normal"/>
    <w:autoRedefine/>
    <w:semiHidden/>
    <w:rsid w:val="008F199B"/>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8F199B"/>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8F199B"/>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8F199B"/>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8F199B"/>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8F199B"/>
  </w:style>
  <w:style w:type="paragraph" w:styleId="TOC1">
    <w:name w:val="toc 1"/>
    <w:basedOn w:val="Normal"/>
    <w:next w:val="Normal"/>
    <w:autoRedefine/>
    <w:semiHidden/>
    <w:rsid w:val="008F199B"/>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8F199B"/>
    <w:pPr>
      <w:ind w:left="220"/>
    </w:pPr>
  </w:style>
  <w:style w:type="paragraph" w:styleId="TOC3">
    <w:name w:val="toc 3"/>
    <w:basedOn w:val="TOC1"/>
    <w:next w:val="Normal"/>
    <w:autoRedefine/>
    <w:semiHidden/>
    <w:rsid w:val="008F199B"/>
    <w:pPr>
      <w:ind w:left="440"/>
    </w:pPr>
    <w:rPr>
      <w:sz w:val="16"/>
    </w:rPr>
  </w:style>
  <w:style w:type="paragraph" w:styleId="TOC4">
    <w:name w:val="toc 4"/>
    <w:basedOn w:val="TOC1"/>
    <w:next w:val="Normal"/>
    <w:autoRedefine/>
    <w:semiHidden/>
    <w:rsid w:val="008F199B"/>
    <w:pPr>
      <w:ind w:left="660"/>
    </w:pPr>
    <w:rPr>
      <w:sz w:val="16"/>
    </w:rPr>
  </w:style>
  <w:style w:type="paragraph" w:styleId="TOC5">
    <w:name w:val="toc 5"/>
    <w:basedOn w:val="TOC1"/>
    <w:next w:val="Normal"/>
    <w:autoRedefine/>
    <w:semiHidden/>
    <w:rsid w:val="008F199B"/>
    <w:pPr>
      <w:ind w:left="880"/>
    </w:pPr>
    <w:rPr>
      <w:sz w:val="16"/>
    </w:rPr>
  </w:style>
  <w:style w:type="paragraph" w:styleId="TOC6">
    <w:name w:val="toc 6"/>
    <w:basedOn w:val="TOC1"/>
    <w:next w:val="Normal"/>
    <w:autoRedefine/>
    <w:semiHidden/>
    <w:rsid w:val="008F199B"/>
    <w:pPr>
      <w:ind w:left="1100"/>
    </w:pPr>
    <w:rPr>
      <w:sz w:val="16"/>
    </w:rPr>
  </w:style>
  <w:style w:type="paragraph" w:styleId="TOC7">
    <w:name w:val="toc 7"/>
    <w:basedOn w:val="TOC1"/>
    <w:next w:val="Normal"/>
    <w:autoRedefine/>
    <w:semiHidden/>
    <w:rsid w:val="008F199B"/>
    <w:pPr>
      <w:ind w:left="1320"/>
    </w:pPr>
    <w:rPr>
      <w:sz w:val="16"/>
    </w:rPr>
  </w:style>
  <w:style w:type="paragraph" w:styleId="TOC8">
    <w:name w:val="toc 8"/>
    <w:basedOn w:val="TOC1"/>
    <w:next w:val="Normal"/>
    <w:autoRedefine/>
    <w:semiHidden/>
    <w:rsid w:val="008F199B"/>
    <w:pPr>
      <w:ind w:left="1540"/>
    </w:pPr>
    <w:rPr>
      <w:sz w:val="16"/>
    </w:rPr>
  </w:style>
  <w:style w:type="paragraph" w:styleId="TOC9">
    <w:name w:val="toc 9"/>
    <w:basedOn w:val="TOC1"/>
    <w:next w:val="Normal"/>
    <w:autoRedefine/>
    <w:semiHidden/>
    <w:rsid w:val="008F199B"/>
    <w:pPr>
      <w:ind w:left="1760"/>
    </w:pPr>
    <w:rPr>
      <w:sz w:val="16"/>
    </w:rPr>
  </w:style>
  <w:style w:type="paragraph" w:styleId="ListNumber">
    <w:name w:val="List Number"/>
    <w:basedOn w:val="BodyText"/>
    <w:rsid w:val="008F199B"/>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8F199B"/>
    <w:pPr>
      <w:numPr>
        <w:numId w:val="17"/>
      </w:numPr>
      <w:tabs>
        <w:tab w:val="clear" w:pos="113"/>
        <w:tab w:val="num" w:pos="195"/>
      </w:tabs>
      <w:ind w:left="195" w:hanging="195"/>
    </w:pPr>
  </w:style>
  <w:style w:type="paragraph" w:styleId="Footer">
    <w:name w:val="footer"/>
    <w:basedOn w:val="Normal"/>
    <w:link w:val="FooterChar"/>
    <w:rsid w:val="008F199B"/>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8F199B"/>
    <w:rPr>
      <w:rFonts w:ascii="Arial Narrow" w:eastAsia="Times New Roman" w:hAnsi="Arial Narrow" w:cs="Times New Roman"/>
      <w:szCs w:val="20"/>
      <w:lang w:eastAsia="sv-SE"/>
    </w:rPr>
  </w:style>
  <w:style w:type="paragraph" w:styleId="Header">
    <w:name w:val="header"/>
    <w:basedOn w:val="Footer"/>
    <w:link w:val="HeaderChar"/>
    <w:rsid w:val="008F199B"/>
    <w:pPr>
      <w:tabs>
        <w:tab w:val="center" w:pos="4536"/>
        <w:tab w:val="right" w:pos="9072"/>
      </w:tabs>
      <w:ind w:right="1134"/>
    </w:pPr>
    <w:rPr>
      <w:noProof/>
    </w:rPr>
  </w:style>
  <w:style w:type="character" w:customStyle="1" w:styleId="HeaderChar">
    <w:name w:val="Header Char"/>
    <w:basedOn w:val="DefaultParagraphFont"/>
    <w:link w:val="Header"/>
    <w:rsid w:val="008F199B"/>
    <w:rPr>
      <w:rFonts w:ascii="Arial Narrow" w:eastAsia="Times New Roman" w:hAnsi="Arial Narrow" w:cs="Times New Roman"/>
      <w:noProof/>
      <w:szCs w:val="20"/>
      <w:lang w:eastAsia="sv-SE"/>
    </w:rPr>
  </w:style>
  <w:style w:type="character" w:styleId="PageNumber">
    <w:name w:val="page number"/>
    <w:basedOn w:val="DefaultParagraphFont"/>
    <w:rsid w:val="008F199B"/>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8F199B"/>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8F199B"/>
    <w:pPr>
      <w:spacing w:before="0" w:after="40"/>
    </w:pPr>
    <w:rPr>
      <w:caps w:val="0"/>
    </w:rPr>
  </w:style>
  <w:style w:type="paragraph" w:customStyle="1" w:styleId="TableNumberlist">
    <w:name w:val="Table Numberlist"/>
    <w:basedOn w:val="Normal"/>
    <w:rsid w:val="008F199B"/>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8F199B"/>
    <w:pPr>
      <w:numPr>
        <w:numId w:val="2"/>
      </w:numPr>
      <w:tabs>
        <w:tab w:val="clear" w:pos="308"/>
        <w:tab w:val="clear" w:pos="360"/>
      </w:tabs>
      <w:ind w:left="308" w:hanging="294"/>
    </w:pPr>
  </w:style>
  <w:style w:type="paragraph" w:customStyle="1" w:styleId="TableFooter">
    <w:name w:val="Table Footer"/>
    <w:basedOn w:val="BodyText"/>
    <w:rsid w:val="008F199B"/>
    <w:pPr>
      <w:spacing w:before="120" w:line="180" w:lineRule="exact"/>
    </w:pPr>
    <w:rPr>
      <w:rFonts w:ascii="Verdana" w:eastAsia="MS Mincho" w:hAnsi="Verdana"/>
      <w:sz w:val="16"/>
    </w:rPr>
  </w:style>
  <w:style w:type="paragraph" w:customStyle="1" w:styleId="TableHeading2">
    <w:name w:val="Table Heading2"/>
    <w:basedOn w:val="TableHeading1"/>
    <w:rsid w:val="008F199B"/>
    <w:pPr>
      <w:spacing w:before="120" w:after="60" w:line="180" w:lineRule="exact"/>
    </w:pPr>
    <w:rPr>
      <w:sz w:val="14"/>
    </w:rPr>
  </w:style>
  <w:style w:type="paragraph" w:styleId="BalloonText">
    <w:name w:val="Balloon Text"/>
    <w:basedOn w:val="Normal"/>
    <w:link w:val="BalloonTextChar"/>
    <w:rsid w:val="008F199B"/>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8F199B"/>
    <w:rPr>
      <w:rFonts w:ascii="Lucida Grande" w:eastAsia="Times New Roman" w:hAnsi="Lucida Grande" w:cs="Lucida Grande"/>
      <w:sz w:val="18"/>
      <w:szCs w:val="18"/>
      <w:lang w:eastAsia="sv-SE"/>
    </w:rPr>
  </w:style>
  <w:style w:type="paragraph" w:styleId="NoSpacing">
    <w:name w:val="No Spacing"/>
    <w:uiPriority w:val="1"/>
    <w:qFormat/>
    <w:rsid w:val="008F199B"/>
    <w:pPr>
      <w:spacing w:after="0" w:line="240" w:lineRule="auto"/>
    </w:pPr>
  </w:style>
  <w:style w:type="paragraph" w:styleId="NormalWeb">
    <w:name w:val="Normal (Web)"/>
    <w:basedOn w:val="Normal"/>
    <w:uiPriority w:val="99"/>
    <w:unhideWhenUsed/>
    <w:rsid w:val="008F199B"/>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8F199B"/>
    <w:pPr>
      <w:ind w:left="720"/>
      <w:contextualSpacing/>
    </w:pPr>
  </w:style>
  <w:style w:type="paragraph" w:styleId="PlainText">
    <w:name w:val="Plain Text"/>
    <w:basedOn w:val="Normal"/>
    <w:link w:val="PlainTextChar"/>
    <w:uiPriority w:val="99"/>
    <w:rsid w:val="008F199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8F199B"/>
    <w:rPr>
      <w:rFonts w:ascii="Calibri" w:hAnsi="Calibri" w:cs="Times New Roman"/>
    </w:rPr>
  </w:style>
  <w:style w:type="paragraph" w:styleId="FootnoteText">
    <w:name w:val="footnote text"/>
    <w:basedOn w:val="Normal"/>
    <w:link w:val="FootnoteTextChar"/>
    <w:rsid w:val="008F199B"/>
    <w:pPr>
      <w:spacing w:after="0" w:line="240" w:lineRule="auto"/>
    </w:pPr>
    <w:rPr>
      <w:sz w:val="20"/>
      <w:szCs w:val="20"/>
    </w:rPr>
  </w:style>
  <w:style w:type="character" w:customStyle="1" w:styleId="FootnoteTextChar">
    <w:name w:val="Footnote Text Char"/>
    <w:basedOn w:val="DefaultParagraphFont"/>
    <w:link w:val="FootnoteText"/>
    <w:rsid w:val="008F199B"/>
    <w:rPr>
      <w:sz w:val="20"/>
      <w:szCs w:val="20"/>
    </w:rPr>
  </w:style>
  <w:style w:type="character" w:styleId="FootnoteReference">
    <w:name w:val="footnote reference"/>
    <w:basedOn w:val="DefaultParagraphFont"/>
    <w:rsid w:val="008F199B"/>
    <w:rPr>
      <w:vertAlign w:val="superscript"/>
    </w:rPr>
  </w:style>
  <w:style w:type="character" w:styleId="CommentReference">
    <w:name w:val="annotation reference"/>
    <w:basedOn w:val="DefaultParagraphFont"/>
    <w:rsid w:val="008F199B"/>
    <w:rPr>
      <w:sz w:val="16"/>
      <w:szCs w:val="16"/>
    </w:rPr>
  </w:style>
  <w:style w:type="paragraph" w:styleId="CommentText">
    <w:name w:val="annotation text"/>
    <w:basedOn w:val="Normal"/>
    <w:link w:val="CommentTextChar"/>
    <w:rsid w:val="008F199B"/>
    <w:pPr>
      <w:spacing w:line="240" w:lineRule="auto"/>
    </w:pPr>
    <w:rPr>
      <w:sz w:val="20"/>
      <w:szCs w:val="20"/>
    </w:rPr>
  </w:style>
  <w:style w:type="character" w:customStyle="1" w:styleId="CommentTextChar">
    <w:name w:val="Comment Text Char"/>
    <w:basedOn w:val="DefaultParagraphFont"/>
    <w:link w:val="CommentText"/>
    <w:rsid w:val="008F199B"/>
    <w:rPr>
      <w:sz w:val="20"/>
      <w:szCs w:val="20"/>
    </w:rPr>
  </w:style>
  <w:style w:type="paragraph" w:styleId="CommentSubject">
    <w:name w:val="annotation subject"/>
    <w:basedOn w:val="CommentText"/>
    <w:next w:val="CommentText"/>
    <w:link w:val="CommentSubjectChar"/>
    <w:rsid w:val="008F199B"/>
    <w:rPr>
      <w:b/>
      <w:bCs/>
    </w:rPr>
  </w:style>
  <w:style w:type="character" w:customStyle="1" w:styleId="CommentSubjectChar">
    <w:name w:val="Comment Subject Char"/>
    <w:basedOn w:val="CommentTextChar"/>
    <w:link w:val="CommentSubject"/>
    <w:rsid w:val="008F199B"/>
    <w:rPr>
      <w:b/>
      <w:bCs/>
      <w:sz w:val="20"/>
      <w:szCs w:val="20"/>
    </w:rPr>
  </w:style>
  <w:style w:type="paragraph" w:customStyle="1" w:styleId="LetterheadAddress">
    <w:name w:val="Letterhead Address"/>
    <w:basedOn w:val="Normal"/>
    <w:qFormat/>
    <w:rsid w:val="008F199B"/>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8F19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8F199B"/>
    <w:pPr>
      <w:spacing w:after="0" w:line="240" w:lineRule="auto"/>
    </w:pPr>
  </w:style>
  <w:style w:type="paragraph" w:customStyle="1" w:styleId="ol-1">
    <w:name w:val="ol-1"/>
    <w:basedOn w:val="Normal"/>
    <w:uiPriority w:val="99"/>
    <w:rsid w:val="008F199B"/>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8F199B"/>
    <w:rPr>
      <w:color w:val="954F72" w:themeColor="followedHyperlink"/>
      <w:u w:val="single"/>
    </w:rPr>
  </w:style>
  <w:style w:type="character" w:styleId="Strong">
    <w:name w:val="Strong"/>
    <w:basedOn w:val="DefaultParagraphFont"/>
    <w:uiPriority w:val="22"/>
    <w:qFormat/>
    <w:rsid w:val="008F199B"/>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dd752e3c-f827-428b-8b52-61f8a9fe5a0e</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2018-02-07T22:12:55+00:00</Document_x0020_Date>
    <Document_x0020_No xmlns="4b47aac5-4c46-444f-8595-ce09b406fc61">37878</Document_x0020_No>
  </documentManagement>
</p:properties>
</file>

<file path=customXml/itemProps1.xml><?xml version="1.0" encoding="utf-8"?>
<ds:datastoreItem xmlns:ds="http://schemas.openxmlformats.org/officeDocument/2006/customXml" ds:itemID="{3202A0FE-7CAF-4D25-9EF9-3BF79A8DB442}"/>
</file>

<file path=customXml/itemProps2.xml><?xml version="1.0" encoding="utf-8"?>
<ds:datastoreItem xmlns:ds="http://schemas.openxmlformats.org/officeDocument/2006/customXml" ds:itemID="{E5AA7B17-BFFA-43AA-A8B1-AF39D98482C8}"/>
</file>

<file path=customXml/itemProps3.xml><?xml version="1.0" encoding="utf-8"?>
<ds:datastoreItem xmlns:ds="http://schemas.openxmlformats.org/officeDocument/2006/customXml" ds:itemID="{7B1B6184-1FEE-4017-8FDF-8354E6F03EF4}"/>
</file>

<file path=customXml/itemProps4.xml><?xml version="1.0" encoding="utf-8"?>
<ds:datastoreItem xmlns:ds="http://schemas.openxmlformats.org/officeDocument/2006/customXml" ds:itemID="{92D869B3-9F64-47F4-B7DB-E72724324F63}"/>
</file>

<file path=customXml/itemProps5.xml><?xml version="1.0" encoding="utf-8"?>
<ds:datastoreItem xmlns:ds="http://schemas.openxmlformats.org/officeDocument/2006/customXml" ds:itemID="{ACBB4FB0-7DFE-4F2C-86E4-B1F0F473ED8B}"/>
</file>

<file path=docProps/app.xml><?xml version="1.0" encoding="utf-8"?>
<Properties xmlns="http://schemas.openxmlformats.org/officeDocument/2006/extended-properties" xmlns:vt="http://schemas.openxmlformats.org/officeDocument/2006/docPropsVTypes">
  <Template>Normal</Template>
  <TotalTime>2</TotalTime>
  <Pages>51</Pages>
  <Words>16352</Words>
  <Characters>93210</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109344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2018-02-07T19:42:00Z</dcterms:created>
  <dcterms:modified xsi:type="dcterms:W3CDTF">2018-02-07T19:42:00Z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5144900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